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03362" w:rsidTr="007F20FA">
        <w:trPr>
          <w:trHeight w:hRule="exact" w:val="851"/>
        </w:trPr>
        <w:tc>
          <w:tcPr>
            <w:tcW w:w="1276" w:type="dxa"/>
            <w:tcBorders>
              <w:bottom w:val="single" w:sz="4" w:space="0" w:color="auto"/>
            </w:tcBorders>
          </w:tcPr>
          <w:p w:rsidR="00F35BAF" w:rsidRPr="00D03362" w:rsidRDefault="00F35BAF" w:rsidP="00D03362">
            <w:bookmarkStart w:id="0" w:name="_GoBack"/>
            <w:bookmarkEnd w:id="0"/>
          </w:p>
        </w:tc>
        <w:tc>
          <w:tcPr>
            <w:tcW w:w="2268" w:type="dxa"/>
            <w:tcBorders>
              <w:bottom w:val="single" w:sz="4" w:space="0" w:color="auto"/>
            </w:tcBorders>
            <w:vAlign w:val="bottom"/>
          </w:tcPr>
          <w:p w:rsidR="00F35BAF" w:rsidRPr="00D03362" w:rsidRDefault="00F35BAF" w:rsidP="00892A2F">
            <w:pPr>
              <w:spacing w:after="80" w:line="300" w:lineRule="exact"/>
              <w:rPr>
                <w:sz w:val="28"/>
              </w:rPr>
            </w:pPr>
            <w:r w:rsidRPr="00D03362">
              <w:rPr>
                <w:sz w:val="28"/>
              </w:rPr>
              <w:t>Nations Unies</w:t>
            </w:r>
          </w:p>
        </w:tc>
        <w:tc>
          <w:tcPr>
            <w:tcW w:w="6095" w:type="dxa"/>
            <w:gridSpan w:val="2"/>
            <w:tcBorders>
              <w:bottom w:val="single" w:sz="4" w:space="0" w:color="auto"/>
            </w:tcBorders>
            <w:vAlign w:val="bottom"/>
          </w:tcPr>
          <w:p w:rsidR="00F35BAF" w:rsidRPr="00D03362" w:rsidRDefault="00D03362" w:rsidP="00D03362">
            <w:pPr>
              <w:jc w:val="right"/>
            </w:pPr>
            <w:r w:rsidRPr="00D03362">
              <w:rPr>
                <w:sz w:val="40"/>
              </w:rPr>
              <w:t>ECE</w:t>
            </w:r>
            <w:r w:rsidRPr="00D03362">
              <w:t>/TRANS/WP.29/GRSG/2017/5</w:t>
            </w:r>
          </w:p>
        </w:tc>
      </w:tr>
      <w:tr w:rsidR="00F35BAF" w:rsidRPr="00D03362" w:rsidTr="00892A2F">
        <w:trPr>
          <w:trHeight w:hRule="exact" w:val="2835"/>
        </w:trPr>
        <w:tc>
          <w:tcPr>
            <w:tcW w:w="1276" w:type="dxa"/>
            <w:tcBorders>
              <w:top w:val="single" w:sz="4" w:space="0" w:color="auto"/>
              <w:bottom w:val="single" w:sz="12" w:space="0" w:color="auto"/>
            </w:tcBorders>
          </w:tcPr>
          <w:p w:rsidR="00F35BAF" w:rsidRPr="00D03362" w:rsidRDefault="00F35BAF" w:rsidP="00892A2F">
            <w:pPr>
              <w:spacing w:before="120"/>
              <w:jc w:val="center"/>
            </w:pPr>
            <w:r w:rsidRPr="00D03362">
              <w:rPr>
                <w:noProof/>
                <w:lang w:val="fr-FR" w:eastAsia="fr-FR"/>
              </w:rPr>
              <w:drawing>
                <wp:inline distT="0" distB="0" distL="0" distR="0" wp14:anchorId="7856B3E0" wp14:editId="313F8B7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D03362" w:rsidRDefault="00F35BAF" w:rsidP="00892A2F">
            <w:pPr>
              <w:spacing w:before="120" w:line="420" w:lineRule="exact"/>
              <w:rPr>
                <w:b/>
                <w:sz w:val="40"/>
                <w:szCs w:val="40"/>
              </w:rPr>
            </w:pPr>
            <w:r w:rsidRPr="00D03362">
              <w:rPr>
                <w:b/>
                <w:sz w:val="40"/>
                <w:szCs w:val="40"/>
              </w:rPr>
              <w:t>Conseil économique et social</w:t>
            </w:r>
          </w:p>
        </w:tc>
        <w:tc>
          <w:tcPr>
            <w:tcW w:w="2835" w:type="dxa"/>
            <w:tcBorders>
              <w:top w:val="single" w:sz="4" w:space="0" w:color="auto"/>
              <w:bottom w:val="single" w:sz="12" w:space="0" w:color="auto"/>
            </w:tcBorders>
          </w:tcPr>
          <w:p w:rsidR="00F35BAF" w:rsidRPr="00D03362" w:rsidRDefault="00D03362" w:rsidP="00892A2F">
            <w:pPr>
              <w:spacing w:before="240"/>
            </w:pPr>
            <w:r w:rsidRPr="00D03362">
              <w:t>Distr. générale</w:t>
            </w:r>
          </w:p>
          <w:p w:rsidR="00D03362" w:rsidRPr="00D03362" w:rsidRDefault="00D03362" w:rsidP="00D03362">
            <w:pPr>
              <w:spacing w:line="240" w:lineRule="exact"/>
            </w:pPr>
            <w:r w:rsidRPr="00D03362">
              <w:t>1</w:t>
            </w:r>
            <w:r w:rsidRPr="00D03362">
              <w:rPr>
                <w:vertAlign w:val="superscript"/>
              </w:rPr>
              <w:t>er</w:t>
            </w:r>
            <w:r w:rsidRPr="00D03362">
              <w:t> février 2017</w:t>
            </w:r>
          </w:p>
          <w:p w:rsidR="00D03362" w:rsidRPr="00D03362" w:rsidRDefault="00D03362" w:rsidP="00D03362">
            <w:pPr>
              <w:spacing w:line="240" w:lineRule="exact"/>
            </w:pPr>
            <w:r w:rsidRPr="00D03362">
              <w:t>Français</w:t>
            </w:r>
          </w:p>
          <w:p w:rsidR="00D03362" w:rsidRPr="00D03362" w:rsidRDefault="00D03362" w:rsidP="00D03362">
            <w:pPr>
              <w:spacing w:line="240" w:lineRule="exact"/>
            </w:pPr>
            <w:r w:rsidRPr="00D03362">
              <w:t>Original</w:t>
            </w:r>
            <w:r w:rsidR="00E543AE">
              <w:t> :</w:t>
            </w:r>
            <w:r w:rsidRPr="00D03362">
              <w:t xml:space="preserve"> anglais</w:t>
            </w:r>
          </w:p>
        </w:tc>
      </w:tr>
    </w:tbl>
    <w:p w:rsidR="007F20FA" w:rsidRPr="00D03362" w:rsidRDefault="007F20FA" w:rsidP="007F20FA">
      <w:pPr>
        <w:spacing w:before="120"/>
        <w:rPr>
          <w:b/>
          <w:sz w:val="28"/>
          <w:szCs w:val="28"/>
        </w:rPr>
      </w:pPr>
      <w:r w:rsidRPr="00D03362">
        <w:rPr>
          <w:b/>
          <w:sz w:val="28"/>
          <w:szCs w:val="28"/>
        </w:rPr>
        <w:t>Commission économique pour l’Europe</w:t>
      </w:r>
    </w:p>
    <w:p w:rsidR="007F20FA" w:rsidRPr="00D03362" w:rsidRDefault="007F20FA" w:rsidP="007F20FA">
      <w:pPr>
        <w:spacing w:before="120"/>
        <w:rPr>
          <w:sz w:val="28"/>
          <w:szCs w:val="28"/>
        </w:rPr>
      </w:pPr>
      <w:r w:rsidRPr="00D03362">
        <w:rPr>
          <w:sz w:val="28"/>
          <w:szCs w:val="28"/>
        </w:rPr>
        <w:t>Comité des transports intérieurs</w:t>
      </w:r>
    </w:p>
    <w:p w:rsidR="00D03362" w:rsidRPr="00D03362" w:rsidRDefault="00D03362" w:rsidP="00D03362">
      <w:pPr>
        <w:spacing w:before="120"/>
        <w:rPr>
          <w:b/>
          <w:bCs/>
          <w:sz w:val="24"/>
          <w:szCs w:val="24"/>
        </w:rPr>
      </w:pPr>
      <w:r w:rsidRPr="00D03362">
        <w:rPr>
          <w:b/>
          <w:bCs/>
          <w:sz w:val="24"/>
          <w:szCs w:val="24"/>
        </w:rPr>
        <w:t xml:space="preserve">Forum mondial de l’harmonisation </w:t>
      </w:r>
      <w:r w:rsidRPr="00D03362">
        <w:rPr>
          <w:b/>
          <w:bCs/>
          <w:sz w:val="24"/>
          <w:szCs w:val="24"/>
        </w:rPr>
        <w:br/>
        <w:t>des Règlements concernant les véhicules</w:t>
      </w:r>
    </w:p>
    <w:p w:rsidR="00D03362" w:rsidRPr="00D03362" w:rsidRDefault="00D03362" w:rsidP="00D03362">
      <w:pPr>
        <w:spacing w:before="120"/>
        <w:rPr>
          <w:b/>
          <w:bCs/>
        </w:rPr>
      </w:pPr>
      <w:r w:rsidRPr="00D03362">
        <w:rPr>
          <w:b/>
          <w:bCs/>
        </w:rPr>
        <w:t>Groupe de travail des dispositions générales de sécurité</w:t>
      </w:r>
    </w:p>
    <w:p w:rsidR="00D03362" w:rsidRPr="00D03362" w:rsidRDefault="00D03362" w:rsidP="00D03362">
      <w:pPr>
        <w:spacing w:before="120"/>
        <w:rPr>
          <w:b/>
          <w:bCs/>
        </w:rPr>
      </w:pPr>
      <w:r w:rsidRPr="00D03362">
        <w:rPr>
          <w:b/>
          <w:bCs/>
        </w:rPr>
        <w:t>112</w:t>
      </w:r>
      <w:r w:rsidRPr="00D03362">
        <w:rPr>
          <w:b/>
          <w:bCs/>
          <w:vertAlign w:val="superscript"/>
        </w:rPr>
        <w:t>e</w:t>
      </w:r>
      <w:r w:rsidRPr="00D03362">
        <w:rPr>
          <w:b/>
          <w:bCs/>
        </w:rPr>
        <w:t xml:space="preserve"> session</w:t>
      </w:r>
    </w:p>
    <w:p w:rsidR="00D03362" w:rsidRPr="00D03362" w:rsidRDefault="00D03362" w:rsidP="00D03362">
      <w:r w:rsidRPr="00D03362">
        <w:t>Genève, 24-28 avril 2017</w:t>
      </w:r>
    </w:p>
    <w:p w:rsidR="00D03362" w:rsidRPr="00D03362" w:rsidRDefault="00D03362" w:rsidP="00D03362">
      <w:r w:rsidRPr="00D03362">
        <w:t>Point 11 de l’ordre du jour provisoire</w:t>
      </w:r>
    </w:p>
    <w:p w:rsidR="00D03362" w:rsidRPr="00D03362" w:rsidRDefault="00D03362" w:rsidP="00D03362">
      <w:pPr>
        <w:rPr>
          <w:b/>
          <w:bCs/>
        </w:rPr>
      </w:pPr>
      <w:r w:rsidRPr="00D03362">
        <w:rPr>
          <w:b/>
          <w:bCs/>
        </w:rPr>
        <w:t>Règlement n</w:t>
      </w:r>
      <w:r w:rsidRPr="00D03362">
        <w:rPr>
          <w:b/>
          <w:bCs/>
          <w:vertAlign w:val="superscript"/>
        </w:rPr>
        <w:t>o</w:t>
      </w:r>
      <w:r w:rsidRPr="00D03362">
        <w:rPr>
          <w:b/>
          <w:bCs/>
        </w:rPr>
        <w:t xml:space="preserve"> 121 (Identification des commandes, </w:t>
      </w:r>
      <w:r w:rsidR="00C72A2C">
        <w:rPr>
          <w:b/>
          <w:bCs/>
        </w:rPr>
        <w:br/>
      </w:r>
      <w:r w:rsidRPr="00D03362">
        <w:rPr>
          <w:b/>
          <w:bCs/>
        </w:rPr>
        <w:t>des témoins et des indicateurs)</w:t>
      </w:r>
    </w:p>
    <w:p w:rsidR="00D03362" w:rsidRPr="00D03362" w:rsidRDefault="00D03362" w:rsidP="00D03362">
      <w:pPr>
        <w:pStyle w:val="HChG"/>
      </w:pPr>
      <w:r w:rsidRPr="00D03362">
        <w:tab/>
      </w:r>
      <w:r w:rsidRPr="00D03362">
        <w:tab/>
        <w:t xml:space="preserve">Proposition de complément 2 à la série 01 d’amendements au Règlement </w:t>
      </w:r>
      <w:r w:rsidRPr="00D03362">
        <w:rPr>
          <w:rFonts w:eastAsia="MS Mincho"/>
        </w:rPr>
        <w:t>n</w:t>
      </w:r>
      <w:r w:rsidRPr="00D03362">
        <w:rPr>
          <w:rFonts w:eastAsia="MS Mincho"/>
          <w:vertAlign w:val="superscript"/>
        </w:rPr>
        <w:t>o</w:t>
      </w:r>
      <w:r w:rsidRPr="00D03362">
        <w:t> 121 (Identification des commandes, des témoins et des indicateurs)</w:t>
      </w:r>
    </w:p>
    <w:p w:rsidR="00D03362" w:rsidRPr="00D03362" w:rsidRDefault="00D03362" w:rsidP="00D03362">
      <w:pPr>
        <w:pStyle w:val="H1G"/>
      </w:pPr>
      <w:r w:rsidRPr="00D03362">
        <w:tab/>
      </w:r>
      <w:r w:rsidRPr="00D03362">
        <w:tab/>
        <w:t>Communication de l’expert de l’Organisation internationale des constructeurs d’automobiles</w:t>
      </w:r>
      <w:r w:rsidRPr="00D03362">
        <w:rPr>
          <w:b w:val="0"/>
          <w:bCs/>
          <w:sz w:val="20"/>
        </w:rPr>
        <w:footnoteReference w:customMarkFollows="1" w:id="2"/>
        <w:t>*</w:t>
      </w:r>
    </w:p>
    <w:p w:rsidR="00D03362" w:rsidRPr="00D03362" w:rsidRDefault="00D03362" w:rsidP="00D03362">
      <w:pPr>
        <w:pStyle w:val="SingleTxtG"/>
        <w:ind w:firstLine="567"/>
      </w:pPr>
      <w:r w:rsidRPr="00D03362">
        <w:t xml:space="preserve">Le texte ci-après, établi par l’expert de l’Organisation internationale des constructeurs d’automobiles (OICA), vise à harmoniser les dispositions du Règlement </w:t>
      </w:r>
      <w:r>
        <w:rPr>
          <w:rFonts w:eastAsia="MS Mincho"/>
        </w:rPr>
        <w:t>n</w:t>
      </w:r>
      <w:r>
        <w:rPr>
          <w:rFonts w:eastAsia="MS Mincho"/>
          <w:vertAlign w:val="superscript"/>
        </w:rPr>
        <w:t>o</w:t>
      </w:r>
      <w:r>
        <w:t> </w:t>
      </w:r>
      <w:r w:rsidRPr="00D03362">
        <w:t xml:space="preserve">121 avec celles de la série 07 d’amendements au Règlement </w:t>
      </w:r>
      <w:r>
        <w:rPr>
          <w:rFonts w:eastAsia="MS Mincho"/>
        </w:rPr>
        <w:t>n</w:t>
      </w:r>
      <w:r>
        <w:rPr>
          <w:rFonts w:eastAsia="MS Mincho"/>
          <w:vertAlign w:val="superscript"/>
        </w:rPr>
        <w:t>o</w:t>
      </w:r>
      <w:r>
        <w:t> </w:t>
      </w:r>
      <w:r w:rsidRPr="00D03362">
        <w:t>16 sur les ceintures de sécurité. Il a également pour but d’harmoniser le texte du Règle</w:t>
      </w:r>
      <w:r>
        <w:t>ment avec celui de la norme ISO </w:t>
      </w:r>
      <w:r w:rsidRPr="00D03362">
        <w:t>2575 de l’Organisation internationale de normalisation (ISO). Il est fondé sur les documents informels GRSG-111-14 et GRSG-111-37 distribués lors de la 111</w:t>
      </w:r>
      <w:r>
        <w:rPr>
          <w:vertAlign w:val="superscript"/>
        </w:rPr>
        <w:t>e</w:t>
      </w:r>
      <w:r w:rsidRPr="00D03362">
        <w:t xml:space="preserve"> session du Groupe de travail des dispositions générales de sécurité (GRSG) (voir le rapport </w:t>
      </w:r>
      <w:r>
        <w:t>ECE/TRANS/WP.29/GRSG/90, par. </w:t>
      </w:r>
      <w:r w:rsidRPr="00D03362">
        <w:t xml:space="preserve">43). Les modifications qu’il est proposé d’apporter au texte actuel du Règlement </w:t>
      </w:r>
      <w:r>
        <w:rPr>
          <w:rFonts w:eastAsia="MS Mincho"/>
        </w:rPr>
        <w:t>n</w:t>
      </w:r>
      <w:r>
        <w:rPr>
          <w:rFonts w:eastAsia="MS Mincho"/>
          <w:vertAlign w:val="superscript"/>
        </w:rPr>
        <w:t>o</w:t>
      </w:r>
      <w:r>
        <w:t> </w:t>
      </w:r>
      <w:r w:rsidRPr="00D03362">
        <w:t>121 figurent en caractères gras pour les ajouts et biffés pour les suppressions.</w:t>
      </w:r>
    </w:p>
    <w:p w:rsidR="00D03362" w:rsidRPr="00D03362" w:rsidRDefault="00D03362" w:rsidP="00E543AE">
      <w:pPr>
        <w:pStyle w:val="HChG"/>
      </w:pPr>
      <w:r w:rsidRPr="00D03362">
        <w:br w:type="page"/>
      </w:r>
      <w:r w:rsidR="00E543AE">
        <w:lastRenderedPageBreak/>
        <w:tab/>
      </w:r>
      <w:r w:rsidRPr="00D03362">
        <w:t>I.</w:t>
      </w:r>
      <w:r w:rsidRPr="00D03362">
        <w:tab/>
        <w:t>Proposition</w:t>
      </w:r>
    </w:p>
    <w:p w:rsidR="00D03362" w:rsidRPr="00D03362" w:rsidRDefault="00D03362" w:rsidP="00E543AE">
      <w:pPr>
        <w:pStyle w:val="SingleTxtG"/>
      </w:pPr>
      <w:r w:rsidRPr="00D03362">
        <w:rPr>
          <w:i/>
        </w:rPr>
        <w:t>Paragraphe 5.5</w:t>
      </w:r>
      <w:r w:rsidRPr="00E543AE">
        <w:rPr>
          <w:iCs/>
        </w:rPr>
        <w:t xml:space="preserve">, </w:t>
      </w:r>
      <w:r w:rsidRPr="00D03362">
        <w:t>modifier comme suit (y compris l’ajout d’un nouveau paragraphe 5.5.1.7)</w:t>
      </w:r>
      <w:r w:rsidR="00E543AE">
        <w:t> :</w:t>
      </w:r>
    </w:p>
    <w:p w:rsidR="00D03362" w:rsidRPr="00D03362" w:rsidRDefault="00D03362" w:rsidP="00E543AE">
      <w:pPr>
        <w:pStyle w:val="SingleTxtG"/>
        <w:ind w:left="2268" w:hanging="1134"/>
      </w:pPr>
      <w:r w:rsidRPr="00D03362">
        <w:t>«</w:t>
      </w:r>
      <w:r w:rsidR="00E543AE">
        <w:t> </w:t>
      </w:r>
      <w:r w:rsidRPr="00D03362">
        <w:t>5.5</w:t>
      </w:r>
      <w:r w:rsidRPr="00D03362">
        <w:tab/>
        <w:t>Emplacement commun d’affichage de multiples informations</w:t>
      </w:r>
    </w:p>
    <w:p w:rsidR="00D03362" w:rsidRPr="00D03362" w:rsidRDefault="00D03362" w:rsidP="00E543AE">
      <w:pPr>
        <w:pStyle w:val="SingleTxtG"/>
        <w:ind w:left="2268" w:hanging="1134"/>
        <w:rPr>
          <w:szCs w:val="24"/>
        </w:rPr>
      </w:pPr>
      <w:r w:rsidRPr="00D03362">
        <w:rPr>
          <w:szCs w:val="24"/>
        </w:rPr>
        <w:t>5.5.1</w:t>
      </w:r>
      <w:r w:rsidRPr="00D03362">
        <w:rPr>
          <w:szCs w:val="24"/>
        </w:rPr>
        <w:tab/>
        <w:t xml:space="preserve">Un </w:t>
      </w:r>
      <w:r w:rsidRPr="00E543AE">
        <w:t>emplacement</w:t>
      </w:r>
      <w:r w:rsidRPr="00D03362">
        <w:rPr>
          <w:szCs w:val="24"/>
        </w:rPr>
        <w:t xml:space="preserve"> commun peut être utilisé pour afficher des informations provenant de n’importe quelle source, à condition de satisfaire aux prescriptions suivantes</w:t>
      </w:r>
      <w:r w:rsidR="00E543AE">
        <w:rPr>
          <w:szCs w:val="24"/>
        </w:rPr>
        <w:t> :</w:t>
      </w:r>
    </w:p>
    <w:p w:rsidR="00D03362" w:rsidRPr="00D03362" w:rsidRDefault="00D03362" w:rsidP="00E543AE">
      <w:pPr>
        <w:pStyle w:val="SingleTxtG"/>
        <w:ind w:left="2268" w:hanging="1134"/>
        <w:rPr>
          <w:szCs w:val="24"/>
        </w:rPr>
      </w:pPr>
      <w:r w:rsidRPr="00D03362">
        <w:rPr>
          <w:szCs w:val="24"/>
        </w:rPr>
        <w:t>5.5.1.1</w:t>
      </w:r>
      <w:r w:rsidRPr="00D03362">
        <w:rPr>
          <w:szCs w:val="24"/>
        </w:rPr>
        <w:tab/>
        <w:t>Les témoins et les indicateurs sur l’emplacement commun doivent donner l’information appropriée dès que se produit la situation à l’origine de leur fonctionnement.</w:t>
      </w:r>
    </w:p>
    <w:p w:rsidR="00D03362" w:rsidRPr="00D03362" w:rsidRDefault="00D03362" w:rsidP="00E543AE">
      <w:pPr>
        <w:pStyle w:val="SingleTxtG"/>
        <w:ind w:left="2268" w:hanging="1134"/>
        <w:rPr>
          <w:szCs w:val="24"/>
        </w:rPr>
      </w:pPr>
      <w:r w:rsidRPr="00D03362">
        <w:rPr>
          <w:szCs w:val="24"/>
        </w:rPr>
        <w:t>5.5.1.2</w:t>
      </w:r>
      <w:r w:rsidRPr="00D03362">
        <w:rPr>
          <w:szCs w:val="24"/>
        </w:rPr>
        <w:tab/>
      </w:r>
      <w:r w:rsidRPr="00E543AE">
        <w:t>Lorsque</w:t>
      </w:r>
      <w:r w:rsidRPr="00D03362">
        <w:rPr>
          <w:szCs w:val="24"/>
        </w:rPr>
        <w:t xml:space="preserve"> la situation fait que deux témoins ou plus doivent être activés, ils doivent</w:t>
      </w:r>
      <w:r w:rsidR="00E543AE">
        <w:rPr>
          <w:szCs w:val="24"/>
        </w:rPr>
        <w:t> :</w:t>
      </w:r>
    </w:p>
    <w:p w:rsidR="00D03362" w:rsidRPr="00D03362" w:rsidRDefault="00D03362" w:rsidP="00E543AE">
      <w:pPr>
        <w:pStyle w:val="SingleTxtG"/>
        <w:ind w:left="2268" w:hanging="1134"/>
        <w:rPr>
          <w:szCs w:val="24"/>
        </w:rPr>
      </w:pPr>
      <w:r w:rsidRPr="00D03362">
        <w:rPr>
          <w:szCs w:val="24"/>
        </w:rPr>
        <w:t>5.5.1.2.1</w:t>
      </w:r>
      <w:r w:rsidRPr="00D03362">
        <w:rPr>
          <w:szCs w:val="24"/>
        </w:rPr>
        <w:tab/>
      </w:r>
      <w:r w:rsidRPr="00E543AE">
        <w:t>S’afficher</w:t>
      </w:r>
      <w:r w:rsidRPr="00D03362">
        <w:rPr>
          <w:szCs w:val="24"/>
        </w:rPr>
        <w:t xml:space="preserve"> alternativement dans l’ordre, ou</w:t>
      </w:r>
    </w:p>
    <w:p w:rsidR="00D03362" w:rsidRPr="00D03362" w:rsidRDefault="00D03362" w:rsidP="00E543AE">
      <w:pPr>
        <w:pStyle w:val="SingleTxtG"/>
        <w:ind w:left="2268" w:hanging="1134"/>
        <w:rPr>
          <w:szCs w:val="24"/>
        </w:rPr>
      </w:pPr>
      <w:r w:rsidRPr="00D03362">
        <w:rPr>
          <w:szCs w:val="24"/>
        </w:rPr>
        <w:t>5.5.1.2.2</w:t>
      </w:r>
      <w:r w:rsidRPr="00D03362">
        <w:rPr>
          <w:szCs w:val="24"/>
        </w:rPr>
        <w:tab/>
      </w:r>
      <w:r w:rsidRPr="00E543AE">
        <w:t>Être</w:t>
      </w:r>
      <w:r w:rsidRPr="00D03362">
        <w:rPr>
          <w:szCs w:val="24"/>
        </w:rPr>
        <w:t xml:space="preserve"> indiqués par des moyens visibles de telle sorte que le conducteur puisse choisir celui qu’il veut consulter dans les conditions définies au paragraphe 5.6.2.</w:t>
      </w:r>
    </w:p>
    <w:p w:rsidR="00D03362" w:rsidRPr="00D03362" w:rsidRDefault="00D03362" w:rsidP="00E543AE">
      <w:pPr>
        <w:pStyle w:val="SingleTxtG"/>
        <w:ind w:left="2268" w:hanging="1134"/>
        <w:rPr>
          <w:b/>
          <w:szCs w:val="24"/>
        </w:rPr>
      </w:pPr>
      <w:r w:rsidRPr="00D03362">
        <w:rPr>
          <w:szCs w:val="24"/>
        </w:rPr>
        <w:t>5.5.1.3</w:t>
      </w:r>
      <w:r w:rsidRPr="00D03362">
        <w:rPr>
          <w:szCs w:val="24"/>
        </w:rPr>
        <w:tab/>
        <w:t>Les témoins de mauvais fonctionnement du système de freinage, de feu de route, de feu indicateur de direction et de ceinture de sécurité ne doivent pas apparaître sur le même emplacement commun.</w:t>
      </w:r>
    </w:p>
    <w:p w:rsidR="00D03362" w:rsidRPr="00D03362" w:rsidRDefault="00D03362" w:rsidP="00E543AE">
      <w:pPr>
        <w:pStyle w:val="SingleTxtG"/>
        <w:ind w:left="2268" w:hanging="1134"/>
        <w:rPr>
          <w:szCs w:val="24"/>
          <w:lang w:eastAsia="ja-JP"/>
        </w:rPr>
      </w:pPr>
      <w:r w:rsidRPr="00D03362">
        <w:rPr>
          <w:szCs w:val="24"/>
        </w:rPr>
        <w:t>5.5.1.4</w:t>
      </w:r>
      <w:r w:rsidRPr="00D03362">
        <w:rPr>
          <w:szCs w:val="24"/>
        </w:rPr>
        <w:tab/>
        <w:t>Si un témoin de mauvais fonctionnement du système de freinage, de feu de route, de feu indicateur de direction ou de ceinture de sécurité apparaît sur un emplacement commun, il doit y remplacer tous les autres symboles s’il se produit une situation qui doit entraîner son fonctionnement.</w:t>
      </w:r>
    </w:p>
    <w:p w:rsidR="00D03362" w:rsidRPr="00D03362" w:rsidRDefault="00D03362" w:rsidP="00E543AE">
      <w:pPr>
        <w:pStyle w:val="SingleTxtG"/>
        <w:ind w:left="2268" w:hanging="1134"/>
        <w:rPr>
          <w:szCs w:val="24"/>
          <w:lang w:eastAsia="fr-FR"/>
        </w:rPr>
      </w:pPr>
      <w:r w:rsidRPr="00D03362">
        <w:rPr>
          <w:szCs w:val="24"/>
        </w:rPr>
        <w:t>5.5.1.5</w:t>
      </w:r>
      <w:r w:rsidRPr="00D03362">
        <w:rPr>
          <w:szCs w:val="24"/>
        </w:rPr>
        <w:tab/>
      </w:r>
      <w:r w:rsidRPr="00D03362">
        <w:rPr>
          <w:szCs w:val="24"/>
        </w:rPr>
        <w:tab/>
        <w:t xml:space="preserve">À l’exception des témoins de mauvais fonctionnement du système de freinage, de feu de route </w:t>
      </w:r>
      <w:r w:rsidRPr="00D03362">
        <w:rPr>
          <w:b/>
          <w:szCs w:val="24"/>
        </w:rPr>
        <w:t>ou</w:t>
      </w:r>
      <w:r w:rsidRPr="00D03362">
        <w:rPr>
          <w:szCs w:val="24"/>
        </w:rPr>
        <w:t xml:space="preserve"> d’indicateur de direction </w:t>
      </w:r>
      <w:r w:rsidRPr="00D03362">
        <w:rPr>
          <w:strike/>
          <w:color w:val="000000"/>
          <w:szCs w:val="24"/>
        </w:rPr>
        <w:t>ou de ceinture de sécurité</w:t>
      </w:r>
      <w:r w:rsidRPr="00D03362">
        <w:rPr>
          <w:szCs w:val="24"/>
        </w:rPr>
        <w:t xml:space="preserve">, l’information peut être supprimée automatiquement ou par le conducteur. </w:t>
      </w:r>
      <w:r w:rsidRPr="00D03362">
        <w:rPr>
          <w:b/>
          <w:bCs/>
          <w:szCs w:val="24"/>
        </w:rPr>
        <w:t xml:space="preserve">Les indicateurs de témoin de port de ceinture pour les sièges avant peuvent être supprimés automatiquement. Les indicateurs de témoin de port de ceinture pour le(s) siège(s) autre(s) que le(s) siège(s) avant peuvent être supprimés automatiquement ou par le conducteur. </w:t>
      </w:r>
    </w:p>
    <w:p w:rsidR="00D03362" w:rsidRPr="00D03362" w:rsidRDefault="00D03362" w:rsidP="00E543AE">
      <w:pPr>
        <w:pStyle w:val="SingleTxtG"/>
        <w:ind w:left="2268" w:hanging="1134"/>
        <w:rPr>
          <w:szCs w:val="24"/>
          <w:lang w:eastAsia="ja-JP"/>
        </w:rPr>
      </w:pPr>
      <w:r w:rsidRPr="00D03362">
        <w:rPr>
          <w:szCs w:val="24"/>
          <w:lang w:eastAsia="ja-JP"/>
        </w:rPr>
        <w:t>5.5.1.6</w:t>
      </w:r>
      <w:r w:rsidRPr="00D03362">
        <w:rPr>
          <w:szCs w:val="24"/>
          <w:lang w:eastAsia="ja-JP"/>
        </w:rPr>
        <w:tab/>
      </w:r>
      <w:r w:rsidRPr="00E543AE">
        <w:t>Sauf</w:t>
      </w:r>
      <w:r w:rsidRPr="00D03362">
        <w:rPr>
          <w:szCs w:val="24"/>
          <w:lang w:eastAsia="ja-JP"/>
        </w:rPr>
        <w:t xml:space="preserve"> mention dans un Règlement particulier, les prescriptions relatives à la couleur des témoins ne s’appliquent pas lorsqu’ils apparaissent sur un emplacement commun.</w:t>
      </w:r>
    </w:p>
    <w:p w:rsidR="00D03362" w:rsidRPr="00D03362" w:rsidRDefault="00D03362" w:rsidP="00E543AE">
      <w:pPr>
        <w:pStyle w:val="SingleTxtG"/>
        <w:ind w:left="2268" w:hanging="1134"/>
        <w:rPr>
          <w:szCs w:val="24"/>
          <w:lang w:eastAsia="ja-JP"/>
        </w:rPr>
      </w:pPr>
      <w:r w:rsidRPr="00D03362">
        <w:rPr>
          <w:b/>
          <w:szCs w:val="24"/>
          <w:lang w:eastAsia="ja-JP"/>
        </w:rPr>
        <w:t>5.5.1.7</w:t>
      </w:r>
      <w:r w:rsidRPr="00D03362">
        <w:rPr>
          <w:b/>
          <w:szCs w:val="24"/>
          <w:lang w:eastAsia="ja-JP"/>
        </w:rPr>
        <w:tab/>
        <w:t>Les paragraphes 5.5.1.3 à 5.5.1.4 ne s’appliquent pas aux indicateurs de témoin pour le(s) siège(s) autres que les sièges avant.</w:t>
      </w:r>
      <w:r w:rsidR="00E543AE">
        <w:rPr>
          <w:b/>
          <w:szCs w:val="24"/>
          <w:lang w:eastAsia="ja-JP"/>
        </w:rPr>
        <w:t> </w:t>
      </w:r>
      <w:r w:rsidRPr="00E543AE">
        <w:rPr>
          <w:bCs/>
          <w:szCs w:val="24"/>
          <w:lang w:eastAsia="ja-JP"/>
        </w:rPr>
        <w:t>»</w:t>
      </w:r>
      <w:r w:rsidR="00E543AE">
        <w:rPr>
          <w:bCs/>
          <w:szCs w:val="24"/>
          <w:lang w:eastAsia="ja-JP"/>
        </w:rPr>
        <w:t>.</w:t>
      </w:r>
    </w:p>
    <w:p w:rsidR="00D03362" w:rsidRPr="00D03362" w:rsidRDefault="00D03362" w:rsidP="00E543AE">
      <w:pPr>
        <w:pStyle w:val="SingleTxtG"/>
        <w:rPr>
          <w:bCs/>
          <w:szCs w:val="24"/>
        </w:rPr>
      </w:pPr>
      <w:r w:rsidRPr="00D03362">
        <w:rPr>
          <w:bCs/>
          <w:i/>
          <w:szCs w:val="24"/>
        </w:rPr>
        <w:t>Tableau 1, lignes n</w:t>
      </w:r>
      <w:r w:rsidR="00E543AE" w:rsidRPr="00E543AE">
        <w:rPr>
          <w:bCs/>
          <w:i/>
          <w:szCs w:val="24"/>
          <w:vertAlign w:val="superscript"/>
        </w:rPr>
        <w:t>os</w:t>
      </w:r>
      <w:r w:rsidR="00E543AE">
        <w:rPr>
          <w:bCs/>
          <w:i/>
          <w:szCs w:val="24"/>
        </w:rPr>
        <w:t> </w:t>
      </w:r>
      <w:r w:rsidRPr="00D03362">
        <w:rPr>
          <w:bCs/>
          <w:i/>
          <w:szCs w:val="24"/>
        </w:rPr>
        <w:t>21, 31 et 32</w:t>
      </w:r>
      <w:r w:rsidRPr="00E543AE">
        <w:rPr>
          <w:bCs/>
          <w:iCs/>
          <w:szCs w:val="24"/>
        </w:rPr>
        <w:t xml:space="preserve">, </w:t>
      </w:r>
      <w:r w:rsidRPr="00E543AE">
        <w:t>modifier</w:t>
      </w:r>
      <w:r w:rsidRPr="00D03362">
        <w:rPr>
          <w:bCs/>
          <w:szCs w:val="24"/>
        </w:rPr>
        <w:t xml:space="preserve"> comme suit (y compris l’ajout d’une nouvelle </w:t>
      </w:r>
      <w:r w:rsidRPr="00C72A2C">
        <w:rPr>
          <w:bCs/>
          <w:szCs w:val="24"/>
        </w:rPr>
        <w:t>note d</w:t>
      </w:r>
      <w:r w:rsidRPr="00D03362">
        <w:rPr>
          <w:bCs/>
          <w:szCs w:val="24"/>
        </w:rPr>
        <w:t xml:space="preserve">e bas de page </w:t>
      </w:r>
      <w:r w:rsidRPr="00C72A2C">
        <w:rPr>
          <w:bCs/>
          <w:szCs w:val="24"/>
        </w:rPr>
        <w:t>22</w:t>
      </w:r>
      <w:r w:rsidRPr="00D03362">
        <w:rPr>
          <w:bCs/>
          <w:szCs w:val="24"/>
        </w:rPr>
        <w:t>)</w:t>
      </w:r>
      <w:r w:rsidR="00E543AE">
        <w:rPr>
          <w:bCs/>
          <w:szCs w:val="24"/>
        </w:rPr>
        <w:t> :</w:t>
      </w:r>
    </w:p>
    <w:p w:rsidR="00D03362" w:rsidRPr="00D03362" w:rsidRDefault="00D03362" w:rsidP="00E543AE">
      <w:pPr>
        <w:pStyle w:val="SingleTxtG"/>
      </w:pPr>
      <w:r w:rsidRPr="00D03362">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0"/>
        <w:gridCol w:w="1367"/>
        <w:gridCol w:w="1667"/>
        <w:gridCol w:w="1207"/>
        <w:gridCol w:w="1402"/>
        <w:gridCol w:w="1167"/>
      </w:tblGrid>
      <w:tr w:rsidR="00D03362" w:rsidRPr="003B1609" w:rsidTr="00712871">
        <w:trPr>
          <w:trHeight w:val="250"/>
          <w:tblHeader/>
        </w:trPr>
        <w:tc>
          <w:tcPr>
            <w:tcW w:w="560" w:type="dxa"/>
            <w:tcBorders>
              <w:bottom w:val="single" w:sz="4" w:space="0" w:color="auto"/>
            </w:tcBorders>
            <w:shd w:val="clear" w:color="auto" w:fill="auto"/>
          </w:tcPr>
          <w:p w:rsidR="00D03362" w:rsidRPr="003B1609" w:rsidRDefault="00D03362" w:rsidP="003B1609">
            <w:pPr>
              <w:spacing w:before="80" w:after="80" w:line="200" w:lineRule="exact"/>
              <w:ind w:left="113" w:right="113"/>
              <w:jc w:val="center"/>
              <w:rPr>
                <w:i/>
                <w:sz w:val="16"/>
              </w:rPr>
            </w:pPr>
            <w:r w:rsidRPr="003B1609">
              <w:rPr>
                <w:i/>
                <w:sz w:val="16"/>
              </w:rPr>
              <w:t>N</w:t>
            </w:r>
            <w:r w:rsidRPr="003B1609">
              <w:rPr>
                <w:i/>
                <w:sz w:val="16"/>
                <w:vertAlign w:val="superscript"/>
              </w:rPr>
              <w:t>o</w:t>
            </w:r>
          </w:p>
        </w:tc>
        <w:tc>
          <w:tcPr>
            <w:tcW w:w="1367" w:type="dxa"/>
            <w:tcBorders>
              <w:bottom w:val="single" w:sz="4" w:space="0" w:color="auto"/>
            </w:tcBorders>
            <w:shd w:val="clear" w:color="auto" w:fill="auto"/>
          </w:tcPr>
          <w:p w:rsidR="00D03362" w:rsidRPr="003B1609" w:rsidRDefault="00D03362" w:rsidP="003B1609">
            <w:pPr>
              <w:spacing w:before="80" w:after="80" w:line="200" w:lineRule="exact"/>
              <w:ind w:left="113" w:right="113"/>
              <w:jc w:val="center"/>
              <w:rPr>
                <w:i/>
                <w:sz w:val="16"/>
              </w:rPr>
            </w:pPr>
            <w:r w:rsidRPr="003B1609">
              <w:rPr>
                <w:i/>
                <w:sz w:val="16"/>
              </w:rPr>
              <w:t>Colonne 1</w:t>
            </w:r>
          </w:p>
        </w:tc>
        <w:tc>
          <w:tcPr>
            <w:tcW w:w="1667" w:type="dxa"/>
            <w:tcBorders>
              <w:bottom w:val="single" w:sz="4" w:space="0" w:color="auto"/>
            </w:tcBorders>
            <w:shd w:val="clear" w:color="auto" w:fill="auto"/>
          </w:tcPr>
          <w:p w:rsidR="00D03362" w:rsidRPr="003B1609" w:rsidRDefault="00D03362" w:rsidP="003B1609">
            <w:pPr>
              <w:spacing w:before="80" w:after="80" w:line="200" w:lineRule="exact"/>
              <w:ind w:left="113" w:right="113"/>
              <w:jc w:val="center"/>
              <w:rPr>
                <w:i/>
                <w:sz w:val="16"/>
              </w:rPr>
            </w:pPr>
            <w:r w:rsidRPr="003B1609">
              <w:rPr>
                <w:i/>
                <w:sz w:val="16"/>
              </w:rPr>
              <w:t>Colonne 2</w:t>
            </w:r>
          </w:p>
        </w:tc>
        <w:tc>
          <w:tcPr>
            <w:tcW w:w="1207" w:type="dxa"/>
            <w:tcBorders>
              <w:bottom w:val="single" w:sz="4" w:space="0" w:color="auto"/>
            </w:tcBorders>
            <w:shd w:val="clear" w:color="auto" w:fill="auto"/>
          </w:tcPr>
          <w:p w:rsidR="00D03362" w:rsidRPr="003B1609" w:rsidRDefault="00D03362" w:rsidP="003B1609">
            <w:pPr>
              <w:spacing w:before="80" w:after="80" w:line="200" w:lineRule="exact"/>
              <w:ind w:left="113" w:right="113"/>
              <w:jc w:val="center"/>
              <w:rPr>
                <w:i/>
                <w:sz w:val="16"/>
              </w:rPr>
            </w:pPr>
            <w:r w:rsidRPr="003B1609">
              <w:rPr>
                <w:i/>
                <w:sz w:val="16"/>
              </w:rPr>
              <w:t>Colonne 3</w:t>
            </w:r>
          </w:p>
        </w:tc>
        <w:tc>
          <w:tcPr>
            <w:tcW w:w="1402" w:type="dxa"/>
            <w:tcBorders>
              <w:bottom w:val="single" w:sz="4" w:space="0" w:color="auto"/>
            </w:tcBorders>
            <w:shd w:val="clear" w:color="auto" w:fill="auto"/>
          </w:tcPr>
          <w:p w:rsidR="00D03362" w:rsidRPr="003B1609" w:rsidRDefault="00D03362" w:rsidP="003B1609">
            <w:pPr>
              <w:spacing w:before="80" w:after="80" w:line="200" w:lineRule="exact"/>
              <w:ind w:left="113" w:right="113"/>
              <w:jc w:val="center"/>
              <w:rPr>
                <w:i/>
                <w:sz w:val="16"/>
              </w:rPr>
            </w:pPr>
            <w:r w:rsidRPr="003B1609">
              <w:rPr>
                <w:i/>
                <w:sz w:val="16"/>
              </w:rPr>
              <w:t>Colonne 4</w:t>
            </w:r>
          </w:p>
        </w:tc>
        <w:tc>
          <w:tcPr>
            <w:tcW w:w="1167" w:type="dxa"/>
            <w:tcBorders>
              <w:bottom w:val="single" w:sz="4" w:space="0" w:color="auto"/>
            </w:tcBorders>
            <w:shd w:val="clear" w:color="auto" w:fill="auto"/>
          </w:tcPr>
          <w:p w:rsidR="00D03362" w:rsidRPr="003B1609" w:rsidRDefault="00D03362" w:rsidP="003B1609">
            <w:pPr>
              <w:spacing w:before="80" w:after="80" w:line="200" w:lineRule="exact"/>
              <w:ind w:left="113" w:right="113"/>
              <w:jc w:val="center"/>
              <w:rPr>
                <w:i/>
                <w:sz w:val="16"/>
              </w:rPr>
            </w:pPr>
            <w:r w:rsidRPr="003B1609">
              <w:rPr>
                <w:i/>
                <w:sz w:val="16"/>
              </w:rPr>
              <w:t>Colonne 5</w:t>
            </w:r>
          </w:p>
        </w:tc>
      </w:tr>
      <w:tr w:rsidR="003B1609" w:rsidRPr="003B1609" w:rsidTr="00712871">
        <w:trPr>
          <w:tblHeader/>
        </w:trPr>
        <w:tc>
          <w:tcPr>
            <w:tcW w:w="560" w:type="dxa"/>
            <w:tcBorders>
              <w:bottom w:val="single" w:sz="12" w:space="0" w:color="auto"/>
            </w:tcBorders>
            <w:shd w:val="clear" w:color="auto" w:fill="auto"/>
            <w:vAlign w:val="center"/>
          </w:tcPr>
          <w:p w:rsidR="00D03362" w:rsidRPr="003B1609" w:rsidRDefault="00D03362" w:rsidP="003B1609">
            <w:pPr>
              <w:spacing w:before="80" w:after="80" w:line="200" w:lineRule="exact"/>
              <w:ind w:left="113" w:right="113"/>
              <w:jc w:val="center"/>
              <w:rPr>
                <w:i/>
                <w:sz w:val="16"/>
              </w:rPr>
            </w:pPr>
          </w:p>
        </w:tc>
        <w:tc>
          <w:tcPr>
            <w:tcW w:w="1367" w:type="dxa"/>
            <w:tcBorders>
              <w:bottom w:val="single" w:sz="12" w:space="0" w:color="auto"/>
            </w:tcBorders>
            <w:shd w:val="clear" w:color="auto" w:fill="auto"/>
            <w:vAlign w:val="center"/>
          </w:tcPr>
          <w:p w:rsidR="00D03362" w:rsidRPr="003B1609" w:rsidRDefault="00D03362" w:rsidP="003B1609">
            <w:pPr>
              <w:spacing w:before="80" w:after="80" w:line="200" w:lineRule="exact"/>
              <w:ind w:left="113" w:right="113"/>
              <w:jc w:val="center"/>
              <w:rPr>
                <w:i/>
                <w:sz w:val="16"/>
              </w:rPr>
            </w:pPr>
            <w:r w:rsidRPr="003B1609">
              <w:rPr>
                <w:i/>
                <w:sz w:val="16"/>
              </w:rPr>
              <w:t>Équipement</w:t>
            </w:r>
          </w:p>
        </w:tc>
        <w:tc>
          <w:tcPr>
            <w:tcW w:w="1667" w:type="dxa"/>
            <w:tcBorders>
              <w:bottom w:val="single" w:sz="12" w:space="0" w:color="auto"/>
            </w:tcBorders>
            <w:shd w:val="clear" w:color="auto" w:fill="auto"/>
            <w:vAlign w:val="center"/>
          </w:tcPr>
          <w:p w:rsidR="00D03362" w:rsidRPr="003B1609" w:rsidRDefault="00D03362" w:rsidP="003E36B9">
            <w:pPr>
              <w:spacing w:before="80" w:after="80" w:line="200" w:lineRule="exact"/>
              <w:ind w:left="113" w:right="113"/>
              <w:jc w:val="center"/>
              <w:rPr>
                <w:i/>
                <w:sz w:val="16"/>
              </w:rPr>
            </w:pPr>
            <w:r w:rsidRPr="003B1609">
              <w:rPr>
                <w:i/>
                <w:sz w:val="16"/>
              </w:rPr>
              <w:t>Symbole</w:t>
            </w:r>
            <w:r w:rsidRPr="003E36B9">
              <w:rPr>
                <w:iCs/>
                <w:sz w:val="16"/>
                <w:vertAlign w:val="superscript"/>
              </w:rPr>
              <w:t>2</w:t>
            </w:r>
          </w:p>
        </w:tc>
        <w:tc>
          <w:tcPr>
            <w:tcW w:w="1207" w:type="dxa"/>
            <w:tcBorders>
              <w:bottom w:val="single" w:sz="12" w:space="0" w:color="auto"/>
            </w:tcBorders>
            <w:shd w:val="clear" w:color="auto" w:fill="auto"/>
            <w:vAlign w:val="center"/>
          </w:tcPr>
          <w:p w:rsidR="00D03362" w:rsidRPr="003B1609" w:rsidRDefault="00D03362" w:rsidP="003B1609">
            <w:pPr>
              <w:spacing w:before="80" w:after="80" w:line="200" w:lineRule="exact"/>
              <w:ind w:left="113" w:right="113"/>
              <w:jc w:val="center"/>
              <w:rPr>
                <w:i/>
                <w:sz w:val="16"/>
              </w:rPr>
            </w:pPr>
            <w:r w:rsidRPr="003B1609">
              <w:rPr>
                <w:i/>
                <w:sz w:val="16"/>
              </w:rPr>
              <w:t>Fonction</w:t>
            </w:r>
          </w:p>
        </w:tc>
        <w:tc>
          <w:tcPr>
            <w:tcW w:w="1402" w:type="dxa"/>
            <w:tcBorders>
              <w:bottom w:val="single" w:sz="12" w:space="0" w:color="auto"/>
            </w:tcBorders>
            <w:shd w:val="clear" w:color="auto" w:fill="auto"/>
            <w:vAlign w:val="center"/>
          </w:tcPr>
          <w:p w:rsidR="00D03362" w:rsidRPr="003B1609" w:rsidRDefault="00D03362" w:rsidP="003B1609">
            <w:pPr>
              <w:spacing w:before="80" w:after="80" w:line="200" w:lineRule="exact"/>
              <w:ind w:left="113" w:right="113"/>
              <w:jc w:val="center"/>
              <w:rPr>
                <w:i/>
                <w:sz w:val="16"/>
              </w:rPr>
            </w:pPr>
            <w:r w:rsidRPr="003B1609">
              <w:rPr>
                <w:i/>
                <w:sz w:val="16"/>
              </w:rPr>
              <w:t>Éclairage</w:t>
            </w:r>
          </w:p>
        </w:tc>
        <w:tc>
          <w:tcPr>
            <w:tcW w:w="1167" w:type="dxa"/>
            <w:tcBorders>
              <w:bottom w:val="single" w:sz="12" w:space="0" w:color="auto"/>
            </w:tcBorders>
            <w:shd w:val="clear" w:color="auto" w:fill="auto"/>
            <w:vAlign w:val="center"/>
          </w:tcPr>
          <w:p w:rsidR="00D03362" w:rsidRPr="003B1609" w:rsidRDefault="00D03362" w:rsidP="003B1609">
            <w:pPr>
              <w:spacing w:before="80" w:after="80" w:line="200" w:lineRule="exact"/>
              <w:ind w:left="113" w:right="113"/>
              <w:jc w:val="center"/>
              <w:rPr>
                <w:i/>
                <w:sz w:val="16"/>
              </w:rPr>
            </w:pPr>
            <w:r w:rsidRPr="003B1609">
              <w:rPr>
                <w:i/>
                <w:sz w:val="16"/>
              </w:rPr>
              <w:t>Couleur</w:t>
            </w:r>
          </w:p>
        </w:tc>
      </w:tr>
      <w:tr w:rsidR="003B1609" w:rsidRPr="003B1609" w:rsidTr="003B1609">
        <w:tc>
          <w:tcPr>
            <w:tcW w:w="560" w:type="dxa"/>
            <w:tcBorders>
              <w:top w:val="single" w:sz="12" w:space="0" w:color="auto"/>
            </w:tcBorders>
            <w:shd w:val="clear" w:color="auto" w:fill="auto"/>
            <w:vAlign w:val="center"/>
          </w:tcPr>
          <w:p w:rsidR="00D03362" w:rsidRPr="003B1609" w:rsidRDefault="00D03362" w:rsidP="003B1609">
            <w:pPr>
              <w:spacing w:before="40" w:after="120"/>
              <w:ind w:left="113" w:right="113"/>
              <w:jc w:val="center"/>
            </w:pPr>
            <w:r w:rsidRPr="003B1609">
              <w:t>…</w:t>
            </w:r>
          </w:p>
        </w:tc>
        <w:tc>
          <w:tcPr>
            <w:tcW w:w="1367" w:type="dxa"/>
            <w:tcBorders>
              <w:top w:val="single" w:sz="12" w:space="0" w:color="auto"/>
            </w:tcBorders>
            <w:shd w:val="clear" w:color="auto" w:fill="auto"/>
            <w:vAlign w:val="center"/>
          </w:tcPr>
          <w:p w:rsidR="00D03362" w:rsidRPr="003B1609" w:rsidRDefault="00D03362" w:rsidP="003B1609">
            <w:pPr>
              <w:spacing w:before="40" w:after="120"/>
              <w:ind w:left="113" w:right="113"/>
            </w:pPr>
            <w:r w:rsidRPr="003B1609">
              <w:t>…</w:t>
            </w:r>
          </w:p>
        </w:tc>
        <w:tc>
          <w:tcPr>
            <w:tcW w:w="1667" w:type="dxa"/>
            <w:tcBorders>
              <w:top w:val="single" w:sz="12" w:space="0" w:color="auto"/>
            </w:tcBorders>
            <w:shd w:val="clear" w:color="auto" w:fill="auto"/>
            <w:vAlign w:val="center"/>
          </w:tcPr>
          <w:p w:rsidR="00D03362" w:rsidRPr="003B1609" w:rsidRDefault="00D03362" w:rsidP="003B1609">
            <w:pPr>
              <w:spacing w:before="40" w:after="120"/>
              <w:ind w:left="113" w:right="113"/>
              <w:jc w:val="center"/>
            </w:pPr>
            <w:r w:rsidRPr="003B1609">
              <w:t>…</w:t>
            </w:r>
          </w:p>
        </w:tc>
        <w:tc>
          <w:tcPr>
            <w:tcW w:w="1207" w:type="dxa"/>
            <w:tcBorders>
              <w:top w:val="single" w:sz="12" w:space="0" w:color="auto"/>
            </w:tcBorders>
            <w:shd w:val="clear" w:color="auto" w:fill="auto"/>
            <w:vAlign w:val="center"/>
          </w:tcPr>
          <w:p w:rsidR="00D03362" w:rsidRPr="003B1609" w:rsidRDefault="00D03362" w:rsidP="003B1609">
            <w:pPr>
              <w:spacing w:before="40" w:after="120"/>
              <w:ind w:left="113" w:right="113"/>
            </w:pPr>
            <w:r w:rsidRPr="003B1609">
              <w:t>…</w:t>
            </w:r>
          </w:p>
        </w:tc>
        <w:tc>
          <w:tcPr>
            <w:tcW w:w="1402" w:type="dxa"/>
            <w:tcBorders>
              <w:top w:val="single" w:sz="12" w:space="0" w:color="auto"/>
            </w:tcBorders>
            <w:shd w:val="clear" w:color="auto" w:fill="auto"/>
            <w:vAlign w:val="center"/>
          </w:tcPr>
          <w:p w:rsidR="00D03362" w:rsidRPr="003B1609" w:rsidRDefault="00D03362" w:rsidP="003B1609">
            <w:pPr>
              <w:spacing w:before="40" w:after="120"/>
              <w:ind w:left="113" w:right="113"/>
            </w:pPr>
            <w:r w:rsidRPr="003B1609">
              <w:t>…</w:t>
            </w:r>
          </w:p>
        </w:tc>
        <w:tc>
          <w:tcPr>
            <w:tcW w:w="1167" w:type="dxa"/>
            <w:tcBorders>
              <w:top w:val="single" w:sz="12" w:space="0" w:color="auto"/>
            </w:tcBorders>
            <w:shd w:val="clear" w:color="auto" w:fill="auto"/>
            <w:vAlign w:val="center"/>
          </w:tcPr>
          <w:p w:rsidR="00D03362" w:rsidRPr="003B1609" w:rsidRDefault="00D03362" w:rsidP="003B1609">
            <w:pPr>
              <w:spacing w:before="40" w:after="120"/>
              <w:ind w:left="113" w:right="113"/>
            </w:pPr>
            <w:r w:rsidRPr="003B1609">
              <w:t>…</w:t>
            </w:r>
          </w:p>
        </w:tc>
      </w:tr>
      <w:tr w:rsidR="003B1609" w:rsidRPr="003B1609" w:rsidTr="003B1609">
        <w:tc>
          <w:tcPr>
            <w:tcW w:w="560" w:type="dxa"/>
            <w:shd w:val="clear" w:color="auto" w:fill="auto"/>
            <w:vAlign w:val="center"/>
          </w:tcPr>
          <w:p w:rsidR="00D03362" w:rsidRPr="003B1609" w:rsidRDefault="00D03362" w:rsidP="003B1609">
            <w:pPr>
              <w:spacing w:before="40" w:after="120"/>
              <w:ind w:left="113" w:right="113"/>
              <w:jc w:val="center"/>
            </w:pPr>
            <w:r w:rsidRPr="003B1609">
              <w:t>21.</w:t>
            </w:r>
          </w:p>
        </w:tc>
        <w:tc>
          <w:tcPr>
            <w:tcW w:w="1367" w:type="dxa"/>
            <w:shd w:val="clear" w:color="auto" w:fill="auto"/>
            <w:vAlign w:val="center"/>
          </w:tcPr>
          <w:p w:rsidR="00D03362" w:rsidRPr="003B1609" w:rsidRDefault="00DB5151" w:rsidP="003B1609">
            <w:pPr>
              <w:spacing w:before="40" w:after="120"/>
              <w:ind w:left="113" w:right="113"/>
              <w:rPr>
                <w:b/>
              </w:rPr>
            </w:pPr>
            <w:r>
              <w:t>Ceinture de sécurité</w:t>
            </w:r>
          </w:p>
        </w:tc>
        <w:tc>
          <w:tcPr>
            <w:tcW w:w="1667" w:type="dxa"/>
            <w:shd w:val="clear" w:color="auto" w:fill="auto"/>
            <w:vAlign w:val="center"/>
          </w:tcPr>
          <w:p w:rsidR="00D03362" w:rsidRPr="003E36B9" w:rsidRDefault="003B1609" w:rsidP="00B91021">
            <w:pPr>
              <w:spacing w:before="40" w:after="120"/>
              <w:ind w:left="113" w:right="113"/>
              <w:jc w:val="center"/>
              <w:rPr>
                <w:b/>
                <w:sz w:val="18"/>
                <w:szCs w:val="18"/>
                <w:vertAlign w:val="superscript"/>
              </w:rPr>
            </w:pPr>
            <w:r w:rsidRPr="003B1609">
              <w:object w:dxaOrig="133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6.75pt" o:ole="">
                  <v:imagedata r:id="rId8" o:title=""/>
                </v:shape>
                <o:OLEObject Type="Embed" ProgID="PBrush" ShapeID="_x0000_i1025" DrawAspect="Content" ObjectID="_1550309521" r:id="rId9"/>
              </w:object>
            </w:r>
            <w:r w:rsidR="00B91021">
              <w:br/>
            </w:r>
            <w:r w:rsidR="00D03362" w:rsidRPr="00C72A2C">
              <w:rPr>
                <w:bCs/>
                <w:sz w:val="18"/>
                <w:szCs w:val="18"/>
                <w:vertAlign w:val="superscript"/>
              </w:rPr>
              <w:t>18,</w:t>
            </w:r>
            <w:r w:rsidR="00D03362" w:rsidRPr="003E36B9">
              <w:rPr>
                <w:b/>
                <w:sz w:val="18"/>
                <w:szCs w:val="18"/>
                <w:vertAlign w:val="superscript"/>
              </w:rPr>
              <w:t xml:space="preserve"> 22</w:t>
            </w:r>
          </w:p>
        </w:tc>
        <w:tc>
          <w:tcPr>
            <w:tcW w:w="1207" w:type="dxa"/>
            <w:shd w:val="clear" w:color="auto" w:fill="auto"/>
            <w:vAlign w:val="center"/>
          </w:tcPr>
          <w:p w:rsidR="00D03362" w:rsidRPr="003B1609" w:rsidRDefault="00D03362" w:rsidP="003B1609">
            <w:pPr>
              <w:spacing w:before="40" w:after="120"/>
              <w:ind w:left="113" w:right="113"/>
            </w:pPr>
            <w:r w:rsidRPr="003B1609">
              <w:t>Témoin</w:t>
            </w:r>
          </w:p>
        </w:tc>
        <w:tc>
          <w:tcPr>
            <w:tcW w:w="1402" w:type="dxa"/>
            <w:shd w:val="clear" w:color="auto" w:fill="auto"/>
            <w:vAlign w:val="center"/>
          </w:tcPr>
          <w:p w:rsidR="00D03362" w:rsidRPr="003B1609" w:rsidRDefault="00D03362" w:rsidP="003B1609">
            <w:pPr>
              <w:spacing w:before="40" w:after="120"/>
              <w:ind w:left="113" w:right="113"/>
            </w:pPr>
            <w:r w:rsidRPr="003B1609">
              <w:t>Oui</w:t>
            </w:r>
          </w:p>
        </w:tc>
        <w:tc>
          <w:tcPr>
            <w:tcW w:w="1167" w:type="dxa"/>
            <w:shd w:val="clear" w:color="auto" w:fill="auto"/>
            <w:vAlign w:val="center"/>
          </w:tcPr>
          <w:p w:rsidR="00D03362" w:rsidRPr="003B1609" w:rsidRDefault="00D03362" w:rsidP="003B1609">
            <w:pPr>
              <w:spacing w:before="40" w:after="120"/>
              <w:ind w:left="113" w:right="113"/>
            </w:pPr>
            <w:r w:rsidRPr="003B1609">
              <w:t>Rouge</w:t>
            </w:r>
          </w:p>
        </w:tc>
      </w:tr>
      <w:tr w:rsidR="003B1609" w:rsidRPr="003B1609" w:rsidTr="003B1609">
        <w:tc>
          <w:tcPr>
            <w:tcW w:w="560" w:type="dxa"/>
            <w:shd w:val="clear" w:color="auto" w:fill="auto"/>
            <w:vAlign w:val="center"/>
          </w:tcPr>
          <w:p w:rsidR="00D03362" w:rsidRPr="003B1609" w:rsidRDefault="00D03362" w:rsidP="003B1609">
            <w:pPr>
              <w:spacing w:before="40" w:after="120"/>
              <w:ind w:left="113" w:right="113"/>
              <w:jc w:val="center"/>
            </w:pPr>
            <w:r w:rsidRPr="003B1609">
              <w:t>…</w:t>
            </w:r>
          </w:p>
        </w:tc>
        <w:tc>
          <w:tcPr>
            <w:tcW w:w="1367" w:type="dxa"/>
            <w:shd w:val="clear" w:color="auto" w:fill="auto"/>
            <w:vAlign w:val="center"/>
          </w:tcPr>
          <w:p w:rsidR="00D03362" w:rsidRPr="003B1609" w:rsidRDefault="00D03362" w:rsidP="003B1609">
            <w:pPr>
              <w:spacing w:before="40" w:after="120"/>
              <w:ind w:left="113" w:right="113"/>
            </w:pPr>
            <w:r w:rsidRPr="003B1609">
              <w:t>…</w:t>
            </w:r>
          </w:p>
        </w:tc>
        <w:tc>
          <w:tcPr>
            <w:tcW w:w="1667" w:type="dxa"/>
            <w:shd w:val="clear" w:color="auto" w:fill="auto"/>
            <w:vAlign w:val="center"/>
          </w:tcPr>
          <w:p w:rsidR="00D03362" w:rsidRPr="003B1609" w:rsidRDefault="00D03362" w:rsidP="003B1609">
            <w:pPr>
              <w:spacing w:before="40" w:after="120"/>
              <w:ind w:left="113" w:right="113"/>
              <w:jc w:val="center"/>
            </w:pPr>
            <w:r w:rsidRPr="003B1609">
              <w:t>…</w:t>
            </w:r>
          </w:p>
        </w:tc>
        <w:tc>
          <w:tcPr>
            <w:tcW w:w="1207" w:type="dxa"/>
            <w:shd w:val="clear" w:color="auto" w:fill="auto"/>
            <w:vAlign w:val="center"/>
          </w:tcPr>
          <w:p w:rsidR="00D03362" w:rsidRPr="003B1609" w:rsidRDefault="00D03362" w:rsidP="003B1609">
            <w:pPr>
              <w:spacing w:before="40" w:after="120"/>
              <w:ind w:left="113" w:right="113"/>
            </w:pPr>
            <w:r w:rsidRPr="003B1609">
              <w:t>…</w:t>
            </w:r>
          </w:p>
        </w:tc>
        <w:tc>
          <w:tcPr>
            <w:tcW w:w="1402" w:type="dxa"/>
            <w:shd w:val="clear" w:color="auto" w:fill="auto"/>
            <w:vAlign w:val="center"/>
          </w:tcPr>
          <w:p w:rsidR="00D03362" w:rsidRPr="003B1609" w:rsidRDefault="00D03362" w:rsidP="003B1609">
            <w:pPr>
              <w:spacing w:before="40" w:after="120"/>
              <w:ind w:left="113" w:right="113"/>
            </w:pPr>
            <w:r w:rsidRPr="003B1609">
              <w:t>…</w:t>
            </w:r>
          </w:p>
        </w:tc>
        <w:tc>
          <w:tcPr>
            <w:tcW w:w="1167" w:type="dxa"/>
            <w:shd w:val="clear" w:color="auto" w:fill="auto"/>
            <w:vAlign w:val="center"/>
          </w:tcPr>
          <w:p w:rsidR="00D03362" w:rsidRPr="003B1609" w:rsidRDefault="00D03362" w:rsidP="003B1609">
            <w:pPr>
              <w:spacing w:before="40" w:after="120"/>
              <w:ind w:left="113" w:right="113"/>
            </w:pPr>
            <w:r w:rsidRPr="003B1609">
              <w:t>…</w:t>
            </w:r>
          </w:p>
        </w:tc>
      </w:tr>
      <w:tr w:rsidR="003B1609" w:rsidRPr="003B1609" w:rsidTr="003B1609">
        <w:tc>
          <w:tcPr>
            <w:tcW w:w="560" w:type="dxa"/>
            <w:shd w:val="clear" w:color="auto" w:fill="auto"/>
            <w:vAlign w:val="center"/>
          </w:tcPr>
          <w:p w:rsidR="00D03362" w:rsidRPr="003B1609" w:rsidRDefault="00D03362" w:rsidP="003B1609">
            <w:pPr>
              <w:spacing w:before="40" w:after="120"/>
              <w:ind w:left="113" w:right="113"/>
              <w:jc w:val="center"/>
            </w:pPr>
            <w:r w:rsidRPr="003B1609">
              <w:lastRenderedPageBreak/>
              <w:t>31.</w:t>
            </w:r>
          </w:p>
        </w:tc>
        <w:tc>
          <w:tcPr>
            <w:tcW w:w="1367" w:type="dxa"/>
            <w:shd w:val="clear" w:color="auto" w:fill="auto"/>
            <w:vAlign w:val="center"/>
          </w:tcPr>
          <w:p w:rsidR="00D03362" w:rsidRPr="003B1609" w:rsidRDefault="00D03362" w:rsidP="003B1609">
            <w:pPr>
              <w:spacing w:before="40" w:after="120"/>
              <w:ind w:left="113" w:right="113"/>
            </w:pPr>
            <w:r w:rsidRPr="003B1609">
              <w:t xml:space="preserve">Préchauffage </w:t>
            </w:r>
            <w:r w:rsidRPr="003B1609">
              <w:rPr>
                <w:strike/>
              </w:rPr>
              <w:t>diesel</w:t>
            </w:r>
            <w:r w:rsidRPr="003B1609">
              <w:t xml:space="preserve"> </w:t>
            </w:r>
            <w:r w:rsidRPr="003B1609">
              <w:rPr>
                <w:b/>
              </w:rPr>
              <w:t>à combustion</w:t>
            </w:r>
            <w:r w:rsidR="00E543AE" w:rsidRPr="003B1609">
              <w:t> ;</w:t>
            </w:r>
            <w:r w:rsidR="003B1609">
              <w:br/>
            </w:r>
            <w:r w:rsidRPr="003B1609">
              <w:rPr>
                <w:b/>
              </w:rPr>
              <w:t>dispositif auxiliaire de démarrage du moteur</w:t>
            </w:r>
          </w:p>
        </w:tc>
        <w:tc>
          <w:tcPr>
            <w:tcW w:w="1667" w:type="dxa"/>
            <w:shd w:val="clear" w:color="auto" w:fill="auto"/>
            <w:vAlign w:val="center"/>
          </w:tcPr>
          <w:p w:rsidR="00D03362" w:rsidRPr="003B1609" w:rsidRDefault="003B1609" w:rsidP="003B1609">
            <w:pPr>
              <w:spacing w:before="40" w:after="120"/>
              <w:ind w:left="113" w:right="113"/>
              <w:jc w:val="center"/>
            </w:pPr>
            <w:r>
              <w:object w:dxaOrig="3480" w:dyaOrig="2220">
                <v:shape id="_x0000_i1026" type="#_x0000_t75" style="width:42.4pt;height:27pt" o:ole="">
                  <v:imagedata r:id="rId10" o:title=""/>
                </v:shape>
                <o:OLEObject Type="Embed" ProgID="PBrush" ShapeID="_x0000_i1026" DrawAspect="Content" ObjectID="_1550309522" r:id="rId11"/>
              </w:object>
            </w:r>
          </w:p>
        </w:tc>
        <w:tc>
          <w:tcPr>
            <w:tcW w:w="1207" w:type="dxa"/>
            <w:shd w:val="clear" w:color="auto" w:fill="auto"/>
            <w:vAlign w:val="center"/>
          </w:tcPr>
          <w:p w:rsidR="00D03362" w:rsidRPr="003B1609" w:rsidRDefault="00D03362" w:rsidP="003B1609">
            <w:pPr>
              <w:spacing w:before="40" w:after="120"/>
              <w:ind w:left="113" w:right="113"/>
            </w:pPr>
            <w:r w:rsidRPr="003B1609">
              <w:t>Témoin</w:t>
            </w:r>
          </w:p>
        </w:tc>
        <w:tc>
          <w:tcPr>
            <w:tcW w:w="1402" w:type="dxa"/>
            <w:shd w:val="clear" w:color="auto" w:fill="auto"/>
            <w:vAlign w:val="center"/>
          </w:tcPr>
          <w:p w:rsidR="00D03362" w:rsidRPr="003B1609" w:rsidRDefault="00D03362" w:rsidP="003B1609">
            <w:pPr>
              <w:spacing w:before="40" w:after="120"/>
              <w:ind w:left="113" w:right="113"/>
            </w:pPr>
            <w:r w:rsidRPr="003B1609">
              <w:t>Oui</w:t>
            </w:r>
          </w:p>
        </w:tc>
        <w:tc>
          <w:tcPr>
            <w:tcW w:w="1167" w:type="dxa"/>
            <w:shd w:val="clear" w:color="auto" w:fill="auto"/>
            <w:vAlign w:val="center"/>
          </w:tcPr>
          <w:p w:rsidR="00D03362" w:rsidRPr="003B1609" w:rsidRDefault="00D03362" w:rsidP="003B1609">
            <w:pPr>
              <w:spacing w:before="40" w:after="120"/>
              <w:ind w:left="113" w:right="113"/>
            </w:pPr>
            <w:r w:rsidRPr="003B1609">
              <w:t>Jaune</w:t>
            </w:r>
          </w:p>
        </w:tc>
      </w:tr>
      <w:tr w:rsidR="003B1609" w:rsidRPr="003B1609" w:rsidTr="003B1609">
        <w:tc>
          <w:tcPr>
            <w:tcW w:w="560" w:type="dxa"/>
            <w:tcBorders>
              <w:bottom w:val="single" w:sz="4" w:space="0" w:color="auto"/>
            </w:tcBorders>
            <w:shd w:val="clear" w:color="auto" w:fill="auto"/>
            <w:vAlign w:val="center"/>
          </w:tcPr>
          <w:p w:rsidR="00D03362" w:rsidRPr="003B1609" w:rsidRDefault="00D03362" w:rsidP="003B1609">
            <w:pPr>
              <w:spacing w:before="40" w:after="120"/>
              <w:ind w:left="113" w:right="113"/>
              <w:jc w:val="center"/>
            </w:pPr>
            <w:r w:rsidRPr="003B1609">
              <w:t>32.</w:t>
            </w:r>
          </w:p>
        </w:tc>
        <w:tc>
          <w:tcPr>
            <w:tcW w:w="1367" w:type="dxa"/>
            <w:tcBorders>
              <w:bottom w:val="single" w:sz="4" w:space="0" w:color="auto"/>
            </w:tcBorders>
            <w:shd w:val="clear" w:color="auto" w:fill="auto"/>
            <w:vAlign w:val="center"/>
          </w:tcPr>
          <w:p w:rsidR="00D03362" w:rsidRPr="003B1609" w:rsidRDefault="00D03362" w:rsidP="003B1609">
            <w:pPr>
              <w:spacing w:before="40" w:after="120"/>
              <w:ind w:left="113" w:right="113"/>
            </w:pPr>
            <w:r w:rsidRPr="003B1609">
              <w:t>Starter (dispositif de démarrage</w:t>
            </w:r>
            <w:r w:rsidR="003B1609" w:rsidRPr="003B1609">
              <w:t xml:space="preserve"> </w:t>
            </w:r>
            <w:r w:rsidRPr="003B1609">
              <w:t>à froid)</w:t>
            </w:r>
          </w:p>
        </w:tc>
        <w:tc>
          <w:tcPr>
            <w:tcW w:w="1667" w:type="dxa"/>
            <w:tcBorders>
              <w:bottom w:val="single" w:sz="4" w:space="0" w:color="auto"/>
            </w:tcBorders>
            <w:shd w:val="clear" w:color="auto" w:fill="auto"/>
            <w:vAlign w:val="center"/>
          </w:tcPr>
          <w:p w:rsidR="00D03362" w:rsidRPr="003B1609" w:rsidRDefault="003B1609" w:rsidP="003B1609">
            <w:pPr>
              <w:spacing w:before="40" w:after="120"/>
              <w:ind w:left="113" w:right="113"/>
              <w:jc w:val="center"/>
            </w:pPr>
            <w:r>
              <w:object w:dxaOrig="2430" w:dyaOrig="2505">
                <v:shape id="_x0000_i1027" type="#_x0000_t75" style="width:28.5pt;height:28.9pt" o:ole="">
                  <v:imagedata r:id="rId12" o:title=""/>
                </v:shape>
                <o:OLEObject Type="Embed" ProgID="PBrush" ShapeID="_x0000_i1027" DrawAspect="Content" ObjectID="_1550309523" r:id="rId13"/>
              </w:object>
            </w:r>
          </w:p>
        </w:tc>
        <w:tc>
          <w:tcPr>
            <w:tcW w:w="1207" w:type="dxa"/>
            <w:tcBorders>
              <w:bottom w:val="single" w:sz="4" w:space="0" w:color="auto"/>
            </w:tcBorders>
            <w:shd w:val="clear" w:color="auto" w:fill="auto"/>
            <w:vAlign w:val="center"/>
          </w:tcPr>
          <w:p w:rsidR="00D03362" w:rsidRPr="003B1609" w:rsidRDefault="00D03362" w:rsidP="003B1609">
            <w:pPr>
              <w:spacing w:before="40" w:after="120"/>
              <w:ind w:left="113" w:right="113"/>
            </w:pPr>
            <w:r w:rsidRPr="003B1609">
              <w:t>Commande</w:t>
            </w:r>
          </w:p>
        </w:tc>
        <w:tc>
          <w:tcPr>
            <w:tcW w:w="1402" w:type="dxa"/>
            <w:tcBorders>
              <w:bottom w:val="single" w:sz="4" w:space="0" w:color="auto"/>
            </w:tcBorders>
            <w:shd w:val="clear" w:color="auto" w:fill="auto"/>
            <w:vAlign w:val="center"/>
          </w:tcPr>
          <w:p w:rsidR="00D03362" w:rsidRPr="003B1609" w:rsidRDefault="00D03362" w:rsidP="003B1609">
            <w:pPr>
              <w:spacing w:before="40" w:after="120"/>
              <w:ind w:left="113" w:right="113"/>
            </w:pPr>
            <w:r w:rsidRPr="003B1609">
              <w:t>Non</w:t>
            </w:r>
          </w:p>
        </w:tc>
        <w:tc>
          <w:tcPr>
            <w:tcW w:w="1167" w:type="dxa"/>
            <w:tcBorders>
              <w:bottom w:val="single" w:sz="4" w:space="0" w:color="auto"/>
            </w:tcBorders>
            <w:shd w:val="clear" w:color="auto" w:fill="auto"/>
            <w:vAlign w:val="center"/>
          </w:tcPr>
          <w:p w:rsidR="00D03362" w:rsidRPr="003B1609" w:rsidRDefault="00D03362" w:rsidP="003B1609">
            <w:pPr>
              <w:spacing w:before="40" w:after="120"/>
              <w:ind w:left="113" w:right="113"/>
            </w:pPr>
          </w:p>
        </w:tc>
      </w:tr>
      <w:tr w:rsidR="003B1609" w:rsidRPr="003B1609" w:rsidTr="003B1609">
        <w:tc>
          <w:tcPr>
            <w:tcW w:w="560" w:type="dxa"/>
            <w:tcBorders>
              <w:bottom w:val="single" w:sz="12" w:space="0" w:color="auto"/>
            </w:tcBorders>
            <w:shd w:val="clear" w:color="auto" w:fill="auto"/>
            <w:vAlign w:val="center"/>
          </w:tcPr>
          <w:p w:rsidR="00D03362" w:rsidRPr="003B1609" w:rsidRDefault="00D03362" w:rsidP="003B1609">
            <w:pPr>
              <w:spacing w:before="40" w:after="120"/>
              <w:ind w:left="113" w:right="113"/>
              <w:jc w:val="center"/>
            </w:pPr>
            <w:r w:rsidRPr="003B1609">
              <w:t>…</w:t>
            </w:r>
          </w:p>
        </w:tc>
        <w:tc>
          <w:tcPr>
            <w:tcW w:w="1367" w:type="dxa"/>
            <w:tcBorders>
              <w:bottom w:val="single" w:sz="12" w:space="0" w:color="auto"/>
            </w:tcBorders>
            <w:shd w:val="clear" w:color="auto" w:fill="auto"/>
            <w:vAlign w:val="center"/>
          </w:tcPr>
          <w:p w:rsidR="00D03362" w:rsidRPr="003B1609" w:rsidRDefault="00D03362" w:rsidP="003B1609">
            <w:pPr>
              <w:spacing w:before="40" w:after="120"/>
              <w:ind w:left="113" w:right="113"/>
            </w:pPr>
            <w:r w:rsidRPr="003B1609">
              <w:t>…</w:t>
            </w:r>
          </w:p>
        </w:tc>
        <w:tc>
          <w:tcPr>
            <w:tcW w:w="1667" w:type="dxa"/>
            <w:tcBorders>
              <w:bottom w:val="single" w:sz="12" w:space="0" w:color="auto"/>
            </w:tcBorders>
            <w:shd w:val="clear" w:color="auto" w:fill="auto"/>
            <w:vAlign w:val="center"/>
          </w:tcPr>
          <w:p w:rsidR="00D03362" w:rsidRPr="003B1609" w:rsidRDefault="00D03362" w:rsidP="003B1609">
            <w:pPr>
              <w:spacing w:before="40" w:after="120"/>
              <w:ind w:left="113" w:right="113"/>
              <w:jc w:val="center"/>
            </w:pPr>
            <w:r w:rsidRPr="003B1609">
              <w:t>…</w:t>
            </w:r>
          </w:p>
        </w:tc>
        <w:tc>
          <w:tcPr>
            <w:tcW w:w="1207" w:type="dxa"/>
            <w:tcBorders>
              <w:bottom w:val="single" w:sz="12" w:space="0" w:color="auto"/>
            </w:tcBorders>
            <w:shd w:val="clear" w:color="auto" w:fill="auto"/>
            <w:vAlign w:val="center"/>
          </w:tcPr>
          <w:p w:rsidR="00D03362" w:rsidRPr="003B1609" w:rsidRDefault="00D03362" w:rsidP="003B1609">
            <w:pPr>
              <w:spacing w:before="40" w:after="120"/>
              <w:ind w:left="113" w:right="113"/>
            </w:pPr>
            <w:r w:rsidRPr="003B1609">
              <w:t>…</w:t>
            </w:r>
          </w:p>
        </w:tc>
        <w:tc>
          <w:tcPr>
            <w:tcW w:w="1402" w:type="dxa"/>
            <w:tcBorders>
              <w:bottom w:val="single" w:sz="12" w:space="0" w:color="auto"/>
            </w:tcBorders>
            <w:shd w:val="clear" w:color="auto" w:fill="auto"/>
            <w:vAlign w:val="center"/>
          </w:tcPr>
          <w:p w:rsidR="00D03362" w:rsidRPr="003B1609" w:rsidRDefault="00D03362" w:rsidP="003B1609">
            <w:pPr>
              <w:spacing w:before="40" w:after="120"/>
              <w:ind w:left="113" w:right="113"/>
            </w:pPr>
            <w:r w:rsidRPr="003B1609">
              <w:t>…</w:t>
            </w:r>
          </w:p>
        </w:tc>
        <w:tc>
          <w:tcPr>
            <w:tcW w:w="1167" w:type="dxa"/>
            <w:tcBorders>
              <w:bottom w:val="single" w:sz="12" w:space="0" w:color="auto"/>
            </w:tcBorders>
            <w:shd w:val="clear" w:color="auto" w:fill="auto"/>
            <w:vAlign w:val="center"/>
          </w:tcPr>
          <w:p w:rsidR="00D03362" w:rsidRPr="003B1609" w:rsidRDefault="00D03362" w:rsidP="003B1609">
            <w:pPr>
              <w:spacing w:before="40" w:after="120"/>
              <w:ind w:left="113" w:right="113"/>
            </w:pPr>
            <w:r w:rsidRPr="003B1609">
              <w:t>…</w:t>
            </w:r>
          </w:p>
        </w:tc>
      </w:tr>
    </w:tbl>
    <w:p w:rsidR="00D03362" w:rsidRPr="003B1609" w:rsidRDefault="00D03362" w:rsidP="003B1609">
      <w:pPr>
        <w:pStyle w:val="Notedebasdepage"/>
        <w:ind w:firstLine="170"/>
      </w:pPr>
      <w:r w:rsidRPr="003B1609">
        <w:rPr>
          <w:i/>
          <w:iCs/>
        </w:rPr>
        <w:t>Notes</w:t>
      </w:r>
      <w:r w:rsidR="00E543AE" w:rsidRPr="003B1609">
        <w:rPr>
          <w:i/>
          <w:iCs/>
        </w:rPr>
        <w:t> </w:t>
      </w:r>
      <w:r w:rsidR="00E543AE" w:rsidRPr="003B1609">
        <w:t>:</w:t>
      </w:r>
    </w:p>
    <w:p w:rsidR="00D03362" w:rsidRPr="003B1609" w:rsidRDefault="00D03362" w:rsidP="003B1609">
      <w:pPr>
        <w:pStyle w:val="Notedebasdepage"/>
        <w:ind w:firstLine="170"/>
      </w:pPr>
      <w:r w:rsidRPr="003B1609">
        <w:t>…</w:t>
      </w:r>
    </w:p>
    <w:p w:rsidR="00D03362" w:rsidRPr="003B1609" w:rsidRDefault="00D03362" w:rsidP="003B1609">
      <w:pPr>
        <w:pStyle w:val="Notedebasdepage"/>
        <w:ind w:firstLine="170"/>
      </w:pPr>
      <w:r w:rsidRPr="003B1609">
        <w:rPr>
          <w:vertAlign w:val="superscript"/>
        </w:rPr>
        <w:t>18</w:t>
      </w:r>
      <w:r w:rsidR="003B1609">
        <w:t xml:space="preserve">  </w:t>
      </w:r>
      <w:r w:rsidRPr="003B1609">
        <w:t>Les symboles peuvent être d’une autre couleur pour indiquer un changement de signification, conformément au code figurant au paragraphe 5 de la norme ISO 2575-2004.</w:t>
      </w:r>
    </w:p>
    <w:p w:rsidR="00D03362" w:rsidRPr="003B1609" w:rsidRDefault="00D03362" w:rsidP="003B1609">
      <w:pPr>
        <w:pStyle w:val="Notedebasdepage"/>
        <w:ind w:firstLine="170"/>
      </w:pPr>
      <w:r w:rsidRPr="003B1609">
        <w:t>…</w:t>
      </w:r>
    </w:p>
    <w:p w:rsidR="00D03362" w:rsidRPr="003B1609" w:rsidRDefault="00D03362" w:rsidP="003B1609">
      <w:pPr>
        <w:pStyle w:val="Notedebasdepage"/>
        <w:ind w:firstLine="170"/>
        <w:rPr>
          <w:b/>
          <w:bCs/>
        </w:rPr>
      </w:pPr>
      <w:r w:rsidRPr="003B1609">
        <w:rPr>
          <w:b/>
          <w:bCs/>
          <w:vertAlign w:val="superscript"/>
        </w:rPr>
        <w:t>22</w:t>
      </w:r>
      <w:r w:rsidR="003B1609" w:rsidRPr="003B1609">
        <w:rPr>
          <w:b/>
          <w:bCs/>
        </w:rPr>
        <w:t xml:space="preserve">  </w:t>
      </w:r>
      <w:r w:rsidRPr="003B1609">
        <w:rPr>
          <w:b/>
          <w:bCs/>
        </w:rPr>
        <w:t>Un symbole différent peut être utilisé pour les sièges autre(s) que les sièges avant.</w:t>
      </w:r>
      <w:r w:rsidR="003B1609" w:rsidRPr="003B1609">
        <w:t> </w:t>
      </w:r>
      <w:r w:rsidRPr="003B1609">
        <w:rPr>
          <w:sz w:val="20"/>
        </w:rPr>
        <w:t>».</w:t>
      </w:r>
    </w:p>
    <w:p w:rsidR="00D03362" w:rsidRPr="003B1609" w:rsidRDefault="00D03362" w:rsidP="00E543AE">
      <w:pPr>
        <w:pStyle w:val="HChG"/>
        <w:rPr>
          <w:bCs/>
        </w:rPr>
      </w:pPr>
      <w:r w:rsidRPr="003B1609">
        <w:rPr>
          <w:bCs/>
        </w:rPr>
        <w:tab/>
        <w:t>II.</w:t>
      </w:r>
      <w:r w:rsidRPr="003B1609">
        <w:rPr>
          <w:bCs/>
        </w:rPr>
        <w:tab/>
        <w:t>Justification</w:t>
      </w:r>
    </w:p>
    <w:p w:rsidR="00D03362" w:rsidRPr="00D03362" w:rsidRDefault="00D03362" w:rsidP="007A510A">
      <w:pPr>
        <w:pStyle w:val="ParNoG"/>
      </w:pPr>
      <w:r w:rsidRPr="00D03362">
        <w:t xml:space="preserve">À sa cinquante-neuvième session, le Groupe de travail de la sécurité passive (GRSP) a approuvé la proposition de série 07 d’amendements au Règlement </w:t>
      </w:r>
      <w:r w:rsidR="007A510A">
        <w:rPr>
          <w:rFonts w:eastAsia="MS Mincho"/>
        </w:rPr>
        <w:t>n</w:t>
      </w:r>
      <w:r w:rsidR="007A510A">
        <w:rPr>
          <w:rFonts w:eastAsia="MS Mincho"/>
          <w:vertAlign w:val="superscript"/>
        </w:rPr>
        <w:t>o</w:t>
      </w:r>
      <w:r w:rsidR="007A510A">
        <w:t> </w:t>
      </w:r>
      <w:r w:rsidRPr="00D03362">
        <w:t>16 (voir documents ECE/TRANS/WP.29/GRSP/2016/2 et ECE/TRANS/WP.29/GRSP/59, p</w:t>
      </w:r>
      <w:r w:rsidR="007A510A">
        <w:t>. </w:t>
      </w:r>
      <w:r w:rsidRPr="00D03362">
        <w:t>24) visant à rendre obligatoire l’installation de témoins de port de ceinture pour tous les sièges des véhicules, qui a été adoptée par le WP.29 à sa session de novembre 2016 sur la base du document ECE/TRANS/WP.29/2016/99.</w:t>
      </w:r>
    </w:p>
    <w:p w:rsidR="00D03362" w:rsidRPr="00D03362" w:rsidRDefault="00D03362" w:rsidP="007A510A">
      <w:pPr>
        <w:pStyle w:val="ParNoG"/>
      </w:pPr>
      <w:r w:rsidRPr="00D03362">
        <w:t xml:space="preserve">Les amendements suivants sont nécessaires pour harmoniser la formulation du Règlement </w:t>
      </w:r>
      <w:r w:rsidR="007A510A">
        <w:rPr>
          <w:rFonts w:eastAsia="MS Mincho"/>
        </w:rPr>
        <w:t>n</w:t>
      </w:r>
      <w:r w:rsidR="007A510A">
        <w:rPr>
          <w:rFonts w:eastAsia="MS Mincho"/>
          <w:vertAlign w:val="superscript"/>
        </w:rPr>
        <w:t>o</w:t>
      </w:r>
      <w:r w:rsidR="007A510A">
        <w:t> </w:t>
      </w:r>
      <w:r w:rsidRPr="00D03362">
        <w:t xml:space="preserve">121 avec les nouvelles dispositions du Règlement </w:t>
      </w:r>
      <w:r w:rsidR="007A510A">
        <w:rPr>
          <w:rFonts w:eastAsia="MS Mincho"/>
        </w:rPr>
        <w:t>n</w:t>
      </w:r>
      <w:r w:rsidR="007A510A">
        <w:rPr>
          <w:rFonts w:eastAsia="MS Mincho"/>
          <w:vertAlign w:val="superscript"/>
        </w:rPr>
        <w:t>o</w:t>
      </w:r>
      <w:r w:rsidR="007A510A">
        <w:t> </w:t>
      </w:r>
      <w:r w:rsidRPr="00D03362">
        <w:t>16</w:t>
      </w:r>
      <w:r w:rsidR="00E543AE">
        <w:t> :</w:t>
      </w:r>
    </w:p>
    <w:p w:rsidR="00D03362" w:rsidRPr="00D03362" w:rsidRDefault="00D03362" w:rsidP="00E543AE">
      <w:pPr>
        <w:pStyle w:val="SingleTxtG"/>
        <w:ind w:firstLine="567"/>
      </w:pPr>
      <w:r w:rsidRPr="00D03362">
        <w:t>a)</w:t>
      </w:r>
      <w:r w:rsidRPr="00D03362">
        <w:tab/>
      </w:r>
      <w:r w:rsidR="007A510A" w:rsidRPr="00D03362">
        <w:t xml:space="preserve">Sans </w:t>
      </w:r>
      <w:r w:rsidRPr="00D03362">
        <w:t>objet en français</w:t>
      </w:r>
      <w:r w:rsidR="00712871">
        <w:t> ;</w:t>
      </w:r>
    </w:p>
    <w:p w:rsidR="00D03362" w:rsidRPr="00D03362" w:rsidRDefault="00D03362" w:rsidP="00E543AE">
      <w:pPr>
        <w:pStyle w:val="SingleTxtG"/>
        <w:ind w:firstLine="567"/>
      </w:pPr>
      <w:r w:rsidRPr="00D03362">
        <w:t>b)</w:t>
      </w:r>
      <w:r w:rsidRPr="00D03362">
        <w:tab/>
      </w:r>
      <w:r w:rsidR="007A510A" w:rsidRPr="00D03362">
        <w:t xml:space="preserve">Le </w:t>
      </w:r>
      <w:r w:rsidRPr="00D03362">
        <w:t>symbole correspondant à la ceinture de sécurité, défini à la ligne 21 du tableau 1 du Règlement, peut être affiché dans différentes couleurs selon l’indication à donner. C’est pourquoi l’actuelle note de bas de page 18 s’applique également à l’équipement faisant l’objet de la ligne 21</w:t>
      </w:r>
      <w:r w:rsidR="00E543AE">
        <w:t> ;</w:t>
      </w:r>
      <w:r w:rsidRPr="00D03362">
        <w:t xml:space="preserve"> et </w:t>
      </w:r>
    </w:p>
    <w:p w:rsidR="00D03362" w:rsidRPr="00D03362" w:rsidRDefault="00D03362" w:rsidP="007A510A">
      <w:pPr>
        <w:pStyle w:val="SingleTxtG"/>
        <w:ind w:firstLine="567"/>
      </w:pPr>
      <w:r w:rsidRPr="00D03362">
        <w:t>c)</w:t>
      </w:r>
      <w:r w:rsidRPr="00D03362">
        <w:tab/>
      </w:r>
      <w:r w:rsidR="007A510A" w:rsidRPr="00D03362">
        <w:t xml:space="preserve">Ce </w:t>
      </w:r>
      <w:r w:rsidRPr="00D03362">
        <w:t xml:space="preserve">symbole peut être remplacé par différents symboles applicables à d’autres sièges que les sièges avant. C’est pourquoi une nouvelle note de bas de page portant le </w:t>
      </w:r>
      <w:r w:rsidR="007A510A">
        <w:rPr>
          <w:rFonts w:eastAsia="MS Mincho"/>
        </w:rPr>
        <w:t>n</w:t>
      </w:r>
      <w:r w:rsidR="007A510A">
        <w:rPr>
          <w:rFonts w:eastAsia="MS Mincho"/>
          <w:vertAlign w:val="superscript"/>
        </w:rPr>
        <w:t>o</w:t>
      </w:r>
      <w:r w:rsidR="007A510A">
        <w:t> </w:t>
      </w:r>
      <w:r w:rsidRPr="00D03362">
        <w:t>22 a été ajoutée à la ligne 21.</w:t>
      </w:r>
    </w:p>
    <w:p w:rsidR="00D03362" w:rsidRPr="00712871" w:rsidRDefault="00D03362" w:rsidP="00E543AE">
      <w:pPr>
        <w:pStyle w:val="ParNoG"/>
        <w:rPr>
          <w:spacing w:val="-2"/>
        </w:rPr>
      </w:pPr>
      <w:r w:rsidRPr="00712871">
        <w:rPr>
          <w:spacing w:val="-2"/>
        </w:rPr>
        <w:t>Le paragraphe 5.1.5 est modifié et un paragraphe 5.1.7 est ajouté pour tenir compte du contenu exact du document ECE/TRANS/WP.29/GRSP/59</w:t>
      </w:r>
      <w:r w:rsidR="007A510A" w:rsidRPr="00712871">
        <w:rPr>
          <w:spacing w:val="-2"/>
        </w:rPr>
        <w:t xml:space="preserve">, page </w:t>
      </w:r>
      <w:r w:rsidRPr="00712871">
        <w:rPr>
          <w:spacing w:val="-2"/>
        </w:rPr>
        <w:t>24, paragraphes 8.4.3.2.1 et 8.4.4 relatif aux témoins de port de ceinture pour les occupants des sièges arrière.</w:t>
      </w:r>
    </w:p>
    <w:p w:rsidR="00D03362" w:rsidRPr="00D03362" w:rsidRDefault="00D03362" w:rsidP="007A510A">
      <w:pPr>
        <w:pStyle w:val="ParNoG"/>
      </w:pPr>
      <w:r w:rsidRPr="00D03362">
        <w:t xml:space="preserve">Les amendements proposés ne modifient aucune des prescriptions techniques du Règlement </w:t>
      </w:r>
      <w:r w:rsidR="007A510A">
        <w:rPr>
          <w:rFonts w:eastAsia="MS Mincho"/>
        </w:rPr>
        <w:t>n</w:t>
      </w:r>
      <w:r w:rsidR="007A510A">
        <w:rPr>
          <w:rFonts w:eastAsia="MS Mincho"/>
          <w:vertAlign w:val="superscript"/>
        </w:rPr>
        <w:t>o</w:t>
      </w:r>
      <w:r w:rsidR="007A510A">
        <w:t> </w:t>
      </w:r>
      <w:r w:rsidRPr="00D03362">
        <w:t>121. Cette proposition ne contient donc pas de dispositions transitoires.</w:t>
      </w:r>
    </w:p>
    <w:p w:rsidR="00D03362" w:rsidRPr="00D03362" w:rsidRDefault="00D03362" w:rsidP="00E543AE">
      <w:pPr>
        <w:pStyle w:val="ParNoG"/>
      </w:pPr>
      <w:r w:rsidRPr="00D03362">
        <w:t>Le texte actuel du Règlement met l’accent sur les bougies de préchauffage des moteurs diesel qui aident au démarrage du moteur à basse température (symbole</w:t>
      </w:r>
      <w:r w:rsidR="007A510A">
        <w:t> </w:t>
      </w:r>
      <w:r w:rsidRPr="00D03362">
        <w:t>31). L’évolution de la technologie (polycarburant, etc.) est telle que l’icône peut également être utilisée pour d’autres technologies que les moteurs diesel, mais aussi pour l’aide au démarrage des moteurs à basse température. La proposition étend l’utilisation du symbole à ces nouvelles technologies, comme convenu à l’ISO (Résolution 664).</w:t>
      </w:r>
    </w:p>
    <w:p w:rsidR="00F9573C" w:rsidRPr="00D03362" w:rsidRDefault="00D03362" w:rsidP="00D03362">
      <w:pPr>
        <w:pStyle w:val="SingleTxtG"/>
        <w:spacing w:before="240" w:after="0"/>
        <w:jc w:val="center"/>
        <w:rPr>
          <w:u w:val="single"/>
        </w:rPr>
      </w:pPr>
      <w:r w:rsidRPr="00D03362">
        <w:rPr>
          <w:u w:val="single"/>
        </w:rPr>
        <w:tab/>
      </w:r>
      <w:r w:rsidRPr="00D03362">
        <w:rPr>
          <w:u w:val="single"/>
        </w:rPr>
        <w:tab/>
      </w:r>
      <w:r w:rsidRPr="00D03362">
        <w:rPr>
          <w:u w:val="single"/>
        </w:rPr>
        <w:tab/>
      </w:r>
    </w:p>
    <w:sectPr w:rsidR="00F9573C" w:rsidRPr="00D03362" w:rsidSect="00D03362">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BE" w:rsidRDefault="007A46BE" w:rsidP="00F95C08">
      <w:pPr>
        <w:spacing w:line="240" w:lineRule="auto"/>
      </w:pPr>
    </w:p>
  </w:endnote>
  <w:endnote w:type="continuationSeparator" w:id="0">
    <w:p w:rsidR="007A46BE" w:rsidRPr="00AC3823" w:rsidRDefault="007A46BE" w:rsidP="00AC3823">
      <w:pPr>
        <w:pStyle w:val="Pieddepage"/>
      </w:pPr>
    </w:p>
  </w:endnote>
  <w:endnote w:type="continuationNotice" w:id="1">
    <w:p w:rsidR="007A46BE" w:rsidRDefault="007A46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62" w:rsidRPr="00D03362" w:rsidRDefault="00D03362" w:rsidP="00D03362">
    <w:pPr>
      <w:pStyle w:val="Pieddepage"/>
      <w:tabs>
        <w:tab w:val="right" w:pos="9638"/>
      </w:tabs>
    </w:pPr>
    <w:r w:rsidRPr="00D03362">
      <w:rPr>
        <w:b/>
        <w:sz w:val="18"/>
      </w:rPr>
      <w:fldChar w:fldCharType="begin"/>
    </w:r>
    <w:r w:rsidRPr="00D03362">
      <w:rPr>
        <w:b/>
        <w:sz w:val="18"/>
      </w:rPr>
      <w:instrText xml:space="preserve"> PAGE  \* MERGEFORMAT </w:instrText>
    </w:r>
    <w:r w:rsidRPr="00D03362">
      <w:rPr>
        <w:b/>
        <w:sz w:val="18"/>
      </w:rPr>
      <w:fldChar w:fldCharType="separate"/>
    </w:r>
    <w:r w:rsidR="006E7FA5">
      <w:rPr>
        <w:b/>
        <w:noProof/>
        <w:sz w:val="18"/>
      </w:rPr>
      <w:t>2</w:t>
    </w:r>
    <w:r w:rsidRPr="00D03362">
      <w:rPr>
        <w:b/>
        <w:sz w:val="18"/>
      </w:rPr>
      <w:fldChar w:fldCharType="end"/>
    </w:r>
    <w:r>
      <w:rPr>
        <w:b/>
        <w:sz w:val="18"/>
      </w:rPr>
      <w:tab/>
    </w:r>
    <w:r>
      <w:t>GE.17-01507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62" w:rsidRPr="00D03362" w:rsidRDefault="00D03362" w:rsidP="00D03362">
    <w:pPr>
      <w:pStyle w:val="Pieddepage"/>
      <w:tabs>
        <w:tab w:val="right" w:pos="9638"/>
      </w:tabs>
      <w:rPr>
        <w:b/>
        <w:sz w:val="18"/>
      </w:rPr>
    </w:pPr>
    <w:r>
      <w:t>GE.17-01507</w:t>
    </w:r>
    <w:r>
      <w:tab/>
    </w:r>
    <w:r w:rsidRPr="00D03362">
      <w:rPr>
        <w:b/>
        <w:sz w:val="18"/>
      </w:rPr>
      <w:fldChar w:fldCharType="begin"/>
    </w:r>
    <w:r w:rsidRPr="00D03362">
      <w:rPr>
        <w:b/>
        <w:sz w:val="18"/>
      </w:rPr>
      <w:instrText xml:space="preserve"> PAGE  \* MERGEFORMAT </w:instrText>
    </w:r>
    <w:r w:rsidRPr="00D03362">
      <w:rPr>
        <w:b/>
        <w:sz w:val="18"/>
      </w:rPr>
      <w:fldChar w:fldCharType="separate"/>
    </w:r>
    <w:r w:rsidR="00B91021">
      <w:rPr>
        <w:b/>
        <w:noProof/>
        <w:sz w:val="18"/>
      </w:rPr>
      <w:t>3</w:t>
    </w:r>
    <w:r w:rsidRPr="00D033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D03362" w:rsidRDefault="00D03362" w:rsidP="00D03362">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14:anchorId="60AFD243" wp14:editId="5422421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17-01507  (F)    200217    030317</w:t>
    </w:r>
    <w:r>
      <w:rPr>
        <w:sz w:val="20"/>
      </w:rPr>
      <w:br/>
    </w:r>
    <w:r w:rsidRPr="00D03362">
      <w:rPr>
        <w:rFonts w:ascii="C39T30Lfz" w:hAnsi="C39T30Lfz"/>
        <w:sz w:val="56"/>
      </w:rPr>
      <w:t></w:t>
    </w:r>
    <w:r w:rsidRPr="00D03362">
      <w:rPr>
        <w:rFonts w:ascii="C39T30Lfz" w:hAnsi="C39T30Lfz"/>
        <w:sz w:val="56"/>
      </w:rPr>
      <w:t></w:t>
    </w:r>
    <w:r w:rsidRPr="00D03362">
      <w:rPr>
        <w:rFonts w:ascii="C39T30Lfz" w:hAnsi="C39T30Lfz"/>
        <w:sz w:val="56"/>
      </w:rPr>
      <w:t></w:t>
    </w:r>
    <w:r w:rsidRPr="00D03362">
      <w:rPr>
        <w:rFonts w:ascii="C39T30Lfz" w:hAnsi="C39T30Lfz"/>
        <w:sz w:val="56"/>
      </w:rPr>
      <w:t></w:t>
    </w:r>
    <w:r w:rsidRPr="00D03362">
      <w:rPr>
        <w:rFonts w:ascii="C39T30Lfz" w:hAnsi="C39T30Lfz"/>
        <w:sz w:val="56"/>
      </w:rPr>
      <w:t></w:t>
    </w:r>
    <w:r w:rsidRPr="00D03362">
      <w:rPr>
        <w:rFonts w:ascii="C39T30Lfz" w:hAnsi="C39T30Lfz"/>
        <w:sz w:val="56"/>
      </w:rPr>
      <w:t></w:t>
    </w:r>
    <w:r w:rsidRPr="00D03362">
      <w:rPr>
        <w:rFonts w:ascii="C39T30Lfz" w:hAnsi="C39T30Lfz"/>
        <w:sz w:val="56"/>
      </w:rPr>
      <w:t></w:t>
    </w:r>
    <w:r w:rsidRPr="00D03362">
      <w:rPr>
        <w:rFonts w:ascii="C39T30Lfz" w:hAnsi="C39T30Lfz"/>
        <w:sz w:val="56"/>
      </w:rPr>
      <w:t></w:t>
    </w:r>
    <w:r w:rsidRPr="00D03362">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SG/201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BE" w:rsidRPr="00AC3823" w:rsidRDefault="007A46BE" w:rsidP="00AC3823">
      <w:pPr>
        <w:pStyle w:val="Pieddepage"/>
        <w:tabs>
          <w:tab w:val="right" w:pos="2155"/>
        </w:tabs>
        <w:spacing w:after="80" w:line="240" w:lineRule="atLeast"/>
        <w:ind w:left="680"/>
        <w:rPr>
          <w:u w:val="single"/>
        </w:rPr>
      </w:pPr>
      <w:r>
        <w:rPr>
          <w:u w:val="single"/>
        </w:rPr>
        <w:tab/>
      </w:r>
    </w:p>
  </w:footnote>
  <w:footnote w:type="continuationSeparator" w:id="0">
    <w:p w:rsidR="007A46BE" w:rsidRPr="00AC3823" w:rsidRDefault="007A46BE" w:rsidP="00AC3823">
      <w:pPr>
        <w:pStyle w:val="Pieddepage"/>
        <w:tabs>
          <w:tab w:val="right" w:pos="2155"/>
        </w:tabs>
        <w:spacing w:after="80" w:line="240" w:lineRule="atLeast"/>
        <w:ind w:left="680"/>
        <w:rPr>
          <w:u w:val="single"/>
        </w:rPr>
      </w:pPr>
      <w:r>
        <w:rPr>
          <w:u w:val="single"/>
        </w:rPr>
        <w:tab/>
      </w:r>
    </w:p>
  </w:footnote>
  <w:footnote w:type="continuationNotice" w:id="1">
    <w:p w:rsidR="007A46BE" w:rsidRPr="00AC3823" w:rsidRDefault="007A46BE">
      <w:pPr>
        <w:spacing w:line="240" w:lineRule="auto"/>
        <w:rPr>
          <w:sz w:val="2"/>
          <w:szCs w:val="2"/>
        </w:rPr>
      </w:pPr>
    </w:p>
  </w:footnote>
  <w:footnote w:id="2">
    <w:p w:rsidR="00D03362" w:rsidRPr="00D03362" w:rsidRDefault="00D03362" w:rsidP="00D03362">
      <w:pPr>
        <w:pStyle w:val="Notedebasdepage"/>
        <w:rPr>
          <w:spacing w:val="-2"/>
        </w:rPr>
      </w:pPr>
      <w:r w:rsidRPr="00D03362">
        <w:rPr>
          <w:sz w:val="20"/>
        </w:rPr>
        <w:tab/>
        <w:t>*</w:t>
      </w:r>
      <w:r w:rsidRPr="00D03362">
        <w:rPr>
          <w:sz w:val="20"/>
        </w:rPr>
        <w:tab/>
      </w:r>
      <w:r w:rsidRPr="00D03362">
        <w:rPr>
          <w:spacing w:val="-2"/>
        </w:rP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62" w:rsidRPr="00D03362" w:rsidRDefault="007A46BE">
    <w:pPr>
      <w:pStyle w:val="En-tte"/>
    </w:pPr>
    <w:r>
      <w:fldChar w:fldCharType="begin"/>
    </w:r>
    <w:r>
      <w:instrText xml:space="preserve"> TITLE  \* MERGEFORMAT </w:instrText>
    </w:r>
    <w:r>
      <w:fldChar w:fldCharType="separate"/>
    </w:r>
    <w:r w:rsidR="00B91021">
      <w:t>ECE/TRANS/WP.29/GRSG/2017/5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62" w:rsidRPr="00D03362" w:rsidRDefault="007A46BE" w:rsidP="00D03362">
    <w:pPr>
      <w:pStyle w:val="En-tte"/>
      <w:jc w:val="right"/>
    </w:pPr>
    <w:r>
      <w:fldChar w:fldCharType="begin"/>
    </w:r>
    <w:r>
      <w:instrText xml:space="preserve"> TITLE  \* MERGEFORMAT </w:instrText>
    </w:r>
    <w:r>
      <w:fldChar w:fldCharType="separate"/>
    </w:r>
    <w:r w:rsidR="00B91021">
      <w:t>ECE/TRANS/WP.29/GRSG/2017/5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72"/>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B1609"/>
    <w:rsid w:val="003E36B9"/>
    <w:rsid w:val="00441C3B"/>
    <w:rsid w:val="00446FE5"/>
    <w:rsid w:val="00452396"/>
    <w:rsid w:val="004837D8"/>
    <w:rsid w:val="004E468C"/>
    <w:rsid w:val="005505B7"/>
    <w:rsid w:val="005644D6"/>
    <w:rsid w:val="00573BE5"/>
    <w:rsid w:val="00586ED3"/>
    <w:rsid w:val="00596AA9"/>
    <w:rsid w:val="006E7FA5"/>
    <w:rsid w:val="00712871"/>
    <w:rsid w:val="0071601D"/>
    <w:rsid w:val="007A46BE"/>
    <w:rsid w:val="007A510A"/>
    <w:rsid w:val="007A62E6"/>
    <w:rsid w:val="007F20FA"/>
    <w:rsid w:val="0080684C"/>
    <w:rsid w:val="00871C75"/>
    <w:rsid w:val="008776DC"/>
    <w:rsid w:val="008E0572"/>
    <w:rsid w:val="009446C0"/>
    <w:rsid w:val="009705C8"/>
    <w:rsid w:val="009C1CF4"/>
    <w:rsid w:val="009F6B74"/>
    <w:rsid w:val="00A30353"/>
    <w:rsid w:val="00AC3823"/>
    <w:rsid w:val="00AE323C"/>
    <w:rsid w:val="00AF0CB5"/>
    <w:rsid w:val="00B00181"/>
    <w:rsid w:val="00B00B0D"/>
    <w:rsid w:val="00B765F7"/>
    <w:rsid w:val="00B91021"/>
    <w:rsid w:val="00BA0CA9"/>
    <w:rsid w:val="00C02897"/>
    <w:rsid w:val="00C72A2C"/>
    <w:rsid w:val="00C738CC"/>
    <w:rsid w:val="00D03362"/>
    <w:rsid w:val="00D3439C"/>
    <w:rsid w:val="00DB1831"/>
    <w:rsid w:val="00DB5151"/>
    <w:rsid w:val="00DD3BFD"/>
    <w:rsid w:val="00DE7DA0"/>
    <w:rsid w:val="00DF6678"/>
    <w:rsid w:val="00E543AE"/>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42879-0130-481E-9DDC-1100DFA8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D03362"/>
    <w:rPr>
      <w:rFonts w:ascii="Times New Roman" w:hAnsi="Times New Roman" w:cs="Times New Roman"/>
      <w:sz w:val="20"/>
      <w:szCs w:val="20"/>
      <w:lang w:eastAsia="en-US"/>
    </w:rPr>
  </w:style>
  <w:style w:type="character" w:customStyle="1" w:styleId="HChGChar">
    <w:name w:val="_ H _Ch_G Char"/>
    <w:link w:val="HChG"/>
    <w:rsid w:val="00D03362"/>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1006</Words>
  <Characters>5539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ECE/TRANS/WP.29/GRSG/2017/5</vt:lpstr>
    </vt:vector>
  </TitlesOfParts>
  <Company>DCM</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ECE/TRANS/WP.29/GRSG/2017/5</dc:title>
  <dc:subject/>
  <dc:creator>Morin</dc:creator>
  <cp:keywords/>
  <cp:lastModifiedBy>Bénédicte Boudol</cp:lastModifiedBy>
  <cp:revision>2</cp:revision>
  <cp:lastPrinted>2017-03-03T11:00:00Z</cp:lastPrinted>
  <dcterms:created xsi:type="dcterms:W3CDTF">2017-03-06T11:46:00Z</dcterms:created>
  <dcterms:modified xsi:type="dcterms:W3CDTF">2017-03-06T11:46:00Z</dcterms:modified>
</cp:coreProperties>
</file>