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76B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76B58" w:rsidRDefault="00923752" w:rsidP="00C94EA0">
            <w:pPr>
              <w:ind w:left="2552"/>
              <w:jc w:val="right"/>
              <w:rPr>
                <w:lang w:val="en-US"/>
              </w:rPr>
            </w:pPr>
            <w:r w:rsidRPr="00F76B58">
              <w:rPr>
                <w:sz w:val="40"/>
                <w:lang w:val="en-US"/>
              </w:rPr>
              <w:t>ECE</w:t>
            </w:r>
            <w:r w:rsidRPr="00F76B58">
              <w:rPr>
                <w:lang w:val="en-US"/>
              </w:rPr>
              <w:t>/TRANS/WP.29/GRRF/201</w:t>
            </w:r>
            <w:r w:rsidR="004402CB" w:rsidRPr="00F76B58">
              <w:rPr>
                <w:lang w:val="en-US"/>
              </w:rPr>
              <w:t>7</w:t>
            </w:r>
            <w:r w:rsidRPr="00F76B58">
              <w:rPr>
                <w:lang w:val="en-US"/>
              </w:rPr>
              <w:t>/</w:t>
            </w:r>
            <w:r w:rsidR="00C94EA0">
              <w:rPr>
                <w:lang w:val="en-US"/>
              </w:rPr>
              <w:t>21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eastAsia="en-GB"/>
              </w:rPr>
              <w:drawing>
                <wp:inline distT="0" distB="0" distL="0" distR="0" wp14:anchorId="4D0D0A0A" wp14:editId="0846F362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16390E" w:rsidP="007A309D">
            <w:pPr>
              <w:spacing w:line="240" w:lineRule="exact"/>
              <w:jc w:val="both"/>
            </w:pPr>
            <w:r>
              <w:t>6</w:t>
            </w:r>
            <w:r w:rsidR="00963AC1">
              <w:t xml:space="preserve"> </w:t>
            </w:r>
            <w:r w:rsidR="00EF5C56" w:rsidRPr="00907534">
              <w:t>Ju</w:t>
            </w:r>
            <w:r w:rsidR="00C94EA0">
              <w:t>ly</w:t>
            </w:r>
            <w:r w:rsidR="00EF5C56" w:rsidRPr="00907534">
              <w:t xml:space="preserve"> 201</w:t>
            </w:r>
            <w:r w:rsidR="00EC3D60">
              <w:t>7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EE7CA1" w:rsidP="007A309D">
      <w:pPr>
        <w:spacing w:before="120"/>
        <w:jc w:val="both"/>
        <w:rPr>
          <w:b/>
        </w:rPr>
      </w:pPr>
      <w:r>
        <w:rPr>
          <w:b/>
        </w:rPr>
        <w:t>Eight</w:t>
      </w:r>
      <w:r w:rsidR="00FD7DE7">
        <w:rPr>
          <w:b/>
        </w:rPr>
        <w:t>y-</w:t>
      </w:r>
      <w:r w:rsidR="00EC3D60">
        <w:rPr>
          <w:b/>
        </w:rPr>
        <w:t>fourth</w:t>
      </w:r>
      <w:r w:rsidR="00AB1C8B" w:rsidRPr="00907534">
        <w:rPr>
          <w:b/>
        </w:rPr>
        <w:t xml:space="preserve"> session</w:t>
      </w:r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EC3D60">
        <w:t>19</w:t>
      </w:r>
      <w:r w:rsidR="00094407" w:rsidRPr="00907534">
        <w:t>-</w:t>
      </w:r>
      <w:r w:rsidR="00FD7DE7">
        <w:t>2</w:t>
      </w:r>
      <w:r w:rsidR="00EC3D60">
        <w:t>2</w:t>
      </w:r>
      <w:r w:rsidR="00BD2EAE" w:rsidRPr="00907534">
        <w:rPr>
          <w:lang w:eastAsia="ja-JP"/>
        </w:rPr>
        <w:t xml:space="preserve"> </w:t>
      </w:r>
      <w:r w:rsidR="00EE7CA1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EC3D60">
        <w:rPr>
          <w:lang w:eastAsia="ja-JP"/>
        </w:rPr>
        <w:t>7</w:t>
      </w:r>
    </w:p>
    <w:p w:rsidR="00AB1C8B" w:rsidRPr="00907534" w:rsidRDefault="00AB1C8B" w:rsidP="007A309D">
      <w:pPr>
        <w:jc w:val="both"/>
      </w:pPr>
      <w:r w:rsidRPr="00907534">
        <w:t xml:space="preserve">Item </w:t>
      </w:r>
      <w:r w:rsidR="00C94EA0">
        <w:t>7 (i)</w:t>
      </w:r>
      <w:r w:rsidRPr="00907534">
        <w:t xml:space="preserve"> of the provisional agenda</w:t>
      </w:r>
    </w:p>
    <w:p w:rsidR="00AB1C8B" w:rsidRPr="00907534" w:rsidRDefault="00F1540C" w:rsidP="007A309D">
      <w:pPr>
        <w:jc w:val="both"/>
        <w:rPr>
          <w:b/>
        </w:rPr>
      </w:pPr>
      <w:r>
        <w:rPr>
          <w:b/>
        </w:rPr>
        <w:t xml:space="preserve">Tyres: </w:t>
      </w:r>
      <w:r w:rsidR="0071190E" w:rsidRPr="00907534">
        <w:rPr>
          <w:b/>
        </w:rPr>
        <w:t xml:space="preserve">Regulation No. </w:t>
      </w:r>
      <w:r w:rsidR="00A42906">
        <w:rPr>
          <w:b/>
        </w:rPr>
        <w:t>142</w:t>
      </w:r>
    </w:p>
    <w:p w:rsidR="00866E93" w:rsidRPr="00907534" w:rsidRDefault="008C2F5C" w:rsidP="008B1B52">
      <w:pPr>
        <w:pStyle w:val="HChG"/>
        <w:jc w:val="both"/>
      </w:pPr>
      <w:r w:rsidRPr="00907534">
        <w:tab/>
      </w:r>
      <w:r w:rsidRPr="00907534">
        <w:tab/>
      </w:r>
      <w:r w:rsidR="00866E93" w:rsidRPr="00907534">
        <w:t>Proposal for amendment</w:t>
      </w:r>
      <w:r w:rsidR="00EE7CA1">
        <w:t>s</w:t>
      </w:r>
      <w:r w:rsidR="00866E93" w:rsidRPr="00907534">
        <w:t xml:space="preserve"> to Regulation No. </w:t>
      </w:r>
      <w:r w:rsidR="008B1B52">
        <w:t>142</w:t>
      </w:r>
      <w:r w:rsidR="00866E93" w:rsidRPr="00907534">
        <w:t xml:space="preserve"> (</w:t>
      </w:r>
      <w:r w:rsidR="008B1B52">
        <w:t>Uniform provisions concerning the approval of motor vehicles with regard to the installation of their tyres</w:t>
      </w:r>
      <w:r w:rsidR="00866E93" w:rsidRPr="00907534">
        <w:t>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Emphasis"/>
          <w:i w:val="0"/>
          <w:sz w:val="24"/>
          <w:szCs w:val="24"/>
        </w:rPr>
        <w:t>European Tyre and Rim Technical Organisation</w:t>
      </w:r>
      <w:r w:rsidR="00A42906">
        <w:rPr>
          <w:rStyle w:val="Emphasis"/>
          <w:i w:val="0"/>
          <w:sz w:val="24"/>
          <w:szCs w:val="24"/>
        </w:rPr>
        <w:t xml:space="preserve"> and </w:t>
      </w:r>
      <w:r w:rsidR="00A42906" w:rsidRPr="00A42906">
        <w:rPr>
          <w:rStyle w:val="Emphasis"/>
          <w:i w:val="0"/>
          <w:sz w:val="24"/>
          <w:szCs w:val="24"/>
        </w:rPr>
        <w:t>the experts from the International Organization of Motor Vehicle Manufacturers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Pr="00907534" w:rsidRDefault="00866E93" w:rsidP="007A309D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</w:t>
      </w:r>
      <w:r w:rsidR="00A42906">
        <w:t xml:space="preserve">jointly </w:t>
      </w:r>
      <w:r w:rsidRPr="00907534">
        <w:t xml:space="preserve">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A42906">
        <w:t xml:space="preserve">and </w:t>
      </w:r>
      <w:r w:rsidR="00A42906" w:rsidRPr="00A42906">
        <w:t>the experts from the International Organization of Motor Vehicle Manufacturers (OICA)</w:t>
      </w:r>
      <w:r w:rsidR="00A42906">
        <w:t xml:space="preserve"> </w:t>
      </w:r>
      <w:r w:rsidR="00F76B58">
        <w:t>correcting wr</w:t>
      </w:r>
      <w:r w:rsidR="008B1B52">
        <w:t xml:space="preserve">ong references to other tyre Regulations </w:t>
      </w:r>
      <w:r w:rsidR="00F76B58">
        <w:t>in</w:t>
      </w:r>
      <w:r w:rsidRPr="00907534">
        <w:t xml:space="preserve"> </w:t>
      </w:r>
      <w:r w:rsidR="00C94EA0">
        <w:t>R</w:t>
      </w:r>
      <w:r w:rsidR="00F87B5E" w:rsidRPr="00907534">
        <w:t>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="00A42906">
        <w:t>142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AB1C8B" w:rsidRPr="00907534" w:rsidRDefault="00AB1C8B" w:rsidP="007A309D">
      <w:pPr>
        <w:pStyle w:val="SingleTxtG"/>
        <w:ind w:firstLine="567"/>
      </w:pPr>
    </w:p>
    <w:p w:rsidR="009854F7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B176CD" w:rsidRPr="00024FFA" w:rsidRDefault="00B176CD" w:rsidP="00024FFA">
      <w:pPr>
        <w:spacing w:after="120" w:line="240" w:lineRule="auto"/>
        <w:ind w:left="2127" w:right="993" w:hanging="993"/>
        <w:jc w:val="both"/>
      </w:pPr>
      <w:r w:rsidRPr="00024FFA">
        <w:rPr>
          <w:i/>
        </w:rPr>
        <w:t xml:space="preserve">Paragraph </w:t>
      </w:r>
      <w:r w:rsidR="00C94582" w:rsidRPr="00024FFA">
        <w:rPr>
          <w:i/>
        </w:rPr>
        <w:t>2.</w:t>
      </w:r>
      <w:r w:rsidRPr="00024FFA">
        <w:rPr>
          <w:i/>
        </w:rPr>
        <w:t xml:space="preserve">3., </w:t>
      </w:r>
      <w:r w:rsidRPr="00024FFA">
        <w:t>amend to read:</w:t>
      </w:r>
    </w:p>
    <w:p w:rsidR="00C00D91" w:rsidRPr="00024FFA" w:rsidRDefault="00024FFA" w:rsidP="00024FFA">
      <w:pPr>
        <w:pStyle w:val="para"/>
        <w:ind w:left="2127" w:hanging="993"/>
      </w:pPr>
      <w:r w:rsidRPr="00024FFA">
        <w:t>"</w:t>
      </w:r>
      <w:r w:rsidR="00C94582" w:rsidRPr="00024FFA">
        <w:rPr>
          <w:lang w:val="en-US"/>
        </w:rPr>
        <w:t>2.3.</w:t>
      </w:r>
      <w:r w:rsidR="00C94582" w:rsidRPr="00024FFA">
        <w:rPr>
          <w:lang w:val="en-US"/>
        </w:rPr>
        <w:tab/>
      </w:r>
      <w:r w:rsidRPr="00024FFA">
        <w:rPr>
          <w:lang w:val="en-US"/>
        </w:rPr>
        <w:t>"</w:t>
      </w:r>
      <w:r w:rsidR="00C94582" w:rsidRPr="00024FFA">
        <w:rPr>
          <w:i/>
          <w:lang w:val="en-US"/>
        </w:rPr>
        <w:t>Tyre size designation</w:t>
      </w:r>
      <w:r w:rsidRPr="00024FFA">
        <w:rPr>
          <w:lang w:val="en-US"/>
        </w:rPr>
        <w:t>"</w:t>
      </w:r>
      <w:r w:rsidR="00C94582" w:rsidRPr="00024FFA">
        <w:rPr>
          <w:lang w:val="en-US"/>
        </w:rPr>
        <w:t xml:space="preserve"> means the designation as defined in paragraph 2.</w:t>
      </w:r>
      <w:r w:rsidR="00C94582" w:rsidRPr="00024FFA">
        <w:rPr>
          <w:strike/>
          <w:lang w:val="en-US"/>
        </w:rPr>
        <w:t>19.</w:t>
      </w:r>
      <w:r w:rsidR="00C94582" w:rsidRPr="00024FFA">
        <w:rPr>
          <w:b/>
          <w:lang w:val="en-US"/>
        </w:rPr>
        <w:t xml:space="preserve">22. </w:t>
      </w:r>
      <w:r w:rsidR="00C94582" w:rsidRPr="00024FFA">
        <w:rPr>
          <w:lang w:val="en-US"/>
        </w:rPr>
        <w:t>of Regulation No. 30 for class C1 tyres and paragraph 2</w:t>
      </w:r>
      <w:r w:rsidR="00C94582" w:rsidRPr="00024FFA">
        <w:rPr>
          <w:strike/>
          <w:lang w:val="en-US"/>
        </w:rPr>
        <w:t>17.</w:t>
      </w:r>
      <w:r w:rsidR="00C94582" w:rsidRPr="00024FFA">
        <w:rPr>
          <w:b/>
          <w:lang w:val="en-US"/>
        </w:rPr>
        <w:t xml:space="preserve">20. </w:t>
      </w:r>
      <w:r w:rsidR="00C94582" w:rsidRPr="00024FFA">
        <w:rPr>
          <w:lang w:val="en-US"/>
        </w:rPr>
        <w:t>of Regulation No. 54 for class C2 and C3 tyres.</w:t>
      </w:r>
      <w:r w:rsidRPr="00024FFA">
        <w:t>"</w:t>
      </w:r>
      <w:r w:rsidR="00C00D91" w:rsidRPr="00024FFA">
        <w:t xml:space="preserve"> </w:t>
      </w:r>
    </w:p>
    <w:p w:rsidR="00EF78F1" w:rsidRPr="00024FFA" w:rsidRDefault="00EF78F1" w:rsidP="00024FFA">
      <w:pPr>
        <w:spacing w:after="120" w:line="240" w:lineRule="auto"/>
        <w:ind w:left="2127" w:right="993" w:hanging="993"/>
        <w:jc w:val="both"/>
      </w:pPr>
      <w:r w:rsidRPr="00024FFA">
        <w:rPr>
          <w:i/>
        </w:rPr>
        <w:t xml:space="preserve">Paragraph 2.9., </w:t>
      </w:r>
      <w:r w:rsidRPr="00024FFA">
        <w:t>amend to read:</w:t>
      </w:r>
    </w:p>
    <w:p w:rsidR="00EF78F1" w:rsidRPr="00024FFA" w:rsidRDefault="00024FFA" w:rsidP="00024FFA">
      <w:pPr>
        <w:pStyle w:val="para"/>
        <w:ind w:left="2127" w:hanging="993"/>
      </w:pPr>
      <w:r w:rsidRPr="00024FFA">
        <w:t>"</w:t>
      </w:r>
      <w:r w:rsidR="00EF78F1" w:rsidRPr="00024FFA">
        <w:rPr>
          <w:lang w:val="en-US"/>
        </w:rPr>
        <w:t>2.9.</w:t>
      </w:r>
      <w:r w:rsidR="00EF78F1" w:rsidRPr="00024FFA">
        <w:rPr>
          <w:lang w:val="en-US"/>
        </w:rPr>
        <w:tab/>
      </w:r>
      <w:r w:rsidRPr="00024FFA">
        <w:rPr>
          <w:lang w:val="en-US"/>
        </w:rPr>
        <w:t>"</w:t>
      </w:r>
      <w:r w:rsidR="00EF78F1" w:rsidRPr="00024FFA">
        <w:rPr>
          <w:i/>
          <w:lang w:val="en-US"/>
        </w:rPr>
        <w:t>Run flat tyre</w:t>
      </w:r>
      <w:r w:rsidRPr="00024FFA">
        <w:rPr>
          <w:lang w:val="en-US"/>
        </w:rPr>
        <w:t>"</w:t>
      </w:r>
      <w:r w:rsidR="00EF78F1" w:rsidRPr="00024FFA">
        <w:rPr>
          <w:lang w:val="en-US"/>
        </w:rPr>
        <w:t xml:space="preserve"> means a tyre as defined in paragraph 2.</w:t>
      </w:r>
      <w:r w:rsidR="00EF78F1" w:rsidRPr="00024FFA">
        <w:rPr>
          <w:strike/>
          <w:lang w:val="en-US"/>
        </w:rPr>
        <w:t>5</w:t>
      </w:r>
      <w:r w:rsidR="00142C87" w:rsidRPr="00024FFA">
        <w:rPr>
          <w:strike/>
          <w:lang w:val="en-US"/>
        </w:rPr>
        <w:t>.</w:t>
      </w:r>
      <w:r w:rsidR="00142C87" w:rsidRPr="00024FFA">
        <w:rPr>
          <w:b/>
          <w:lang w:val="en-US"/>
        </w:rPr>
        <w:t>8.</w:t>
      </w:r>
      <w:r w:rsidR="00142C87" w:rsidRPr="00024FFA">
        <w:rPr>
          <w:lang w:val="en-US"/>
        </w:rPr>
        <w:t xml:space="preserve">7. </w:t>
      </w:r>
      <w:r w:rsidR="00EF78F1" w:rsidRPr="00024FFA">
        <w:rPr>
          <w:lang w:val="en-US"/>
        </w:rPr>
        <w:t>of Regulation No. 30.</w:t>
      </w:r>
      <w:r w:rsidRPr="00024FFA">
        <w:t>"</w:t>
      </w:r>
      <w:r w:rsidR="00EF78F1" w:rsidRPr="00024FFA">
        <w:t xml:space="preserve"> </w:t>
      </w:r>
    </w:p>
    <w:p w:rsidR="00EF78F1" w:rsidRPr="00024FFA" w:rsidRDefault="00EF78F1" w:rsidP="00024FFA">
      <w:pPr>
        <w:spacing w:after="120" w:line="240" w:lineRule="auto"/>
        <w:ind w:left="2127" w:right="993" w:hanging="993"/>
        <w:jc w:val="both"/>
      </w:pPr>
      <w:r w:rsidRPr="00024FFA">
        <w:rPr>
          <w:i/>
        </w:rPr>
        <w:t xml:space="preserve">Paragraph 2.18., </w:t>
      </w:r>
      <w:r w:rsidRPr="00024FFA">
        <w:t>amend to read:</w:t>
      </w:r>
    </w:p>
    <w:p w:rsidR="00EF78F1" w:rsidRPr="00024FFA" w:rsidRDefault="00024FFA" w:rsidP="00024FFA">
      <w:pPr>
        <w:pStyle w:val="para"/>
        <w:ind w:left="2127" w:hanging="993"/>
      </w:pPr>
      <w:r w:rsidRPr="00024FFA">
        <w:t>"</w:t>
      </w:r>
      <w:r w:rsidR="00EF78F1" w:rsidRPr="00024FFA">
        <w:rPr>
          <w:lang w:val="en-US"/>
        </w:rPr>
        <w:t>2.18.</w:t>
      </w:r>
      <w:r w:rsidR="00EF78F1" w:rsidRPr="00024FFA">
        <w:rPr>
          <w:lang w:val="en-US"/>
        </w:rPr>
        <w:tab/>
      </w:r>
      <w:r w:rsidRPr="00024FFA">
        <w:rPr>
          <w:lang w:val="en-US"/>
        </w:rPr>
        <w:t>"</w:t>
      </w:r>
      <w:r w:rsidR="00EF78F1" w:rsidRPr="00024FFA">
        <w:rPr>
          <w:i/>
          <w:lang w:val="en-US"/>
        </w:rPr>
        <w:t>Speed category symbol</w:t>
      </w:r>
      <w:r w:rsidRPr="00024FFA">
        <w:rPr>
          <w:lang w:val="en-US"/>
        </w:rPr>
        <w:t>"</w:t>
      </w:r>
      <w:r w:rsidR="00EF78F1" w:rsidRPr="00024FFA">
        <w:rPr>
          <w:lang w:val="en-US"/>
        </w:rPr>
        <w:t xml:space="preserve"> means the symbol as defined in paragraph 2.</w:t>
      </w:r>
      <w:r w:rsidR="00EF78F1" w:rsidRPr="00024FFA">
        <w:rPr>
          <w:strike/>
          <w:lang w:val="en-US"/>
        </w:rPr>
        <w:t>31</w:t>
      </w:r>
      <w:r w:rsidR="00142C87" w:rsidRPr="00024FFA">
        <w:rPr>
          <w:strike/>
          <w:lang w:val="en-US"/>
        </w:rPr>
        <w:t>.</w:t>
      </w:r>
      <w:r w:rsidR="00142C87" w:rsidRPr="00024FFA">
        <w:rPr>
          <w:b/>
          <w:lang w:val="en-US"/>
        </w:rPr>
        <w:t>34.</w:t>
      </w:r>
      <w:r w:rsidR="00EF78F1" w:rsidRPr="00024FFA">
        <w:rPr>
          <w:lang w:val="en-US"/>
        </w:rPr>
        <w:t xml:space="preserve"> of Regulation No. 30 for class C1 tyres and paragraph 2.</w:t>
      </w:r>
      <w:r w:rsidR="00EF78F1" w:rsidRPr="00024FFA">
        <w:rPr>
          <w:strike/>
          <w:lang w:val="en-US"/>
        </w:rPr>
        <w:t>28</w:t>
      </w:r>
      <w:r w:rsidR="00142C87" w:rsidRPr="00024FFA">
        <w:rPr>
          <w:strike/>
          <w:lang w:val="en-US"/>
        </w:rPr>
        <w:t>.</w:t>
      </w:r>
      <w:r w:rsidR="00142C87" w:rsidRPr="00024FFA">
        <w:rPr>
          <w:b/>
          <w:lang w:val="en-US"/>
        </w:rPr>
        <w:t>31.</w:t>
      </w:r>
      <w:r w:rsidR="00EF78F1" w:rsidRPr="00024FFA">
        <w:rPr>
          <w:lang w:val="en-US"/>
        </w:rPr>
        <w:t xml:space="preserve"> of Regulation No. 54 for class C2.</w:t>
      </w:r>
      <w:r w:rsidRPr="00024FFA">
        <w:t>"</w:t>
      </w:r>
      <w:r w:rsidR="00EF78F1" w:rsidRPr="00024FFA">
        <w:t xml:space="preserve"> </w:t>
      </w:r>
    </w:p>
    <w:p w:rsidR="00EF78F1" w:rsidRPr="00024FFA" w:rsidRDefault="00EF78F1" w:rsidP="00024FFA">
      <w:pPr>
        <w:spacing w:after="120" w:line="240" w:lineRule="auto"/>
        <w:ind w:left="2127" w:right="993" w:hanging="993"/>
        <w:jc w:val="both"/>
      </w:pPr>
      <w:r w:rsidRPr="00024FFA">
        <w:rPr>
          <w:i/>
        </w:rPr>
        <w:t xml:space="preserve">Paragraph 2.19., </w:t>
      </w:r>
      <w:r w:rsidRPr="00024FFA">
        <w:t>amend to read:</w:t>
      </w:r>
    </w:p>
    <w:p w:rsidR="00EF78F1" w:rsidRPr="00024FFA" w:rsidRDefault="00024FFA" w:rsidP="00024FFA">
      <w:pPr>
        <w:pStyle w:val="para"/>
        <w:ind w:left="2127" w:hanging="993"/>
      </w:pPr>
      <w:r w:rsidRPr="00024FFA">
        <w:t>"</w:t>
      </w:r>
      <w:r w:rsidR="00EF78F1" w:rsidRPr="00024FFA">
        <w:rPr>
          <w:lang w:val="en-US"/>
        </w:rPr>
        <w:t>2.19.</w:t>
      </w:r>
      <w:r w:rsidR="00EF78F1" w:rsidRPr="00024FFA">
        <w:rPr>
          <w:lang w:val="en-US"/>
        </w:rPr>
        <w:tab/>
      </w:r>
      <w:r w:rsidRPr="00024FFA">
        <w:rPr>
          <w:lang w:val="en-US"/>
        </w:rPr>
        <w:t>"</w:t>
      </w:r>
      <w:r w:rsidR="00EF78F1" w:rsidRPr="00024FFA">
        <w:rPr>
          <w:i/>
          <w:lang w:val="en-US"/>
        </w:rPr>
        <w:t>Load capacity index</w:t>
      </w:r>
      <w:r w:rsidRPr="00024FFA">
        <w:rPr>
          <w:lang w:val="en-US"/>
        </w:rPr>
        <w:t>"</w:t>
      </w:r>
      <w:r w:rsidR="00EF78F1" w:rsidRPr="00024FFA">
        <w:rPr>
          <w:lang w:val="en-US"/>
        </w:rPr>
        <w:t xml:space="preserve"> means a number associated to the maximum load rating of the tyre in relation to the definition in paragraph 2.</w:t>
      </w:r>
      <w:r w:rsidR="00EF78F1" w:rsidRPr="00024FFA">
        <w:rPr>
          <w:strike/>
          <w:lang w:val="en-US"/>
        </w:rPr>
        <w:t>30.</w:t>
      </w:r>
      <w:r w:rsidR="00EF78F1" w:rsidRPr="00024FFA">
        <w:rPr>
          <w:b/>
          <w:lang w:val="en-US"/>
        </w:rPr>
        <w:t>33.</w:t>
      </w:r>
      <w:r w:rsidR="00EF78F1" w:rsidRPr="00024FFA">
        <w:rPr>
          <w:lang w:val="en-US"/>
        </w:rPr>
        <w:t xml:space="preserve"> of Regulation No. 30 for class C1 tyres and paragraph 2.</w:t>
      </w:r>
      <w:r w:rsidR="00EF78F1" w:rsidRPr="00024FFA">
        <w:rPr>
          <w:strike/>
          <w:lang w:val="en-US"/>
        </w:rPr>
        <w:t xml:space="preserve"> 27.</w:t>
      </w:r>
      <w:r w:rsidR="00EF78F1" w:rsidRPr="00024FFA">
        <w:rPr>
          <w:b/>
          <w:lang w:val="en-US"/>
        </w:rPr>
        <w:t>30.</w:t>
      </w:r>
      <w:r w:rsidR="00EF78F1" w:rsidRPr="00024FFA">
        <w:rPr>
          <w:lang w:val="en-US"/>
        </w:rPr>
        <w:t xml:space="preserve"> of Regulation No. 54 for class C2 tyres.</w:t>
      </w:r>
      <w:r w:rsidRPr="00024FFA">
        <w:t>"</w:t>
      </w:r>
      <w:r w:rsidR="00EF78F1" w:rsidRPr="00024FFA">
        <w:t xml:space="preserve"> </w:t>
      </w:r>
    </w:p>
    <w:p w:rsidR="00EF78F1" w:rsidRPr="00024FFA" w:rsidRDefault="00EF78F1" w:rsidP="00024FFA">
      <w:pPr>
        <w:spacing w:after="120" w:line="240" w:lineRule="auto"/>
        <w:ind w:left="2127" w:right="993" w:hanging="993"/>
        <w:jc w:val="both"/>
      </w:pPr>
      <w:r w:rsidRPr="00024FFA">
        <w:rPr>
          <w:i/>
        </w:rPr>
        <w:t xml:space="preserve">Paragraph 5.2.2.2.1., </w:t>
      </w:r>
      <w:r w:rsidRPr="00024FFA">
        <w:t>amend to read:</w:t>
      </w:r>
    </w:p>
    <w:p w:rsidR="00EF78F1" w:rsidRPr="00024FFA" w:rsidRDefault="00024FFA" w:rsidP="00024FFA">
      <w:pPr>
        <w:pStyle w:val="para"/>
        <w:ind w:left="2127" w:hanging="993"/>
      </w:pPr>
      <w:r w:rsidRPr="00024FFA">
        <w:t>"</w:t>
      </w:r>
      <w:r w:rsidR="00EF78F1" w:rsidRPr="00024FFA">
        <w:rPr>
          <w:lang w:val="en-US"/>
        </w:rPr>
        <w:t>5.2.2.2.1.</w:t>
      </w:r>
      <w:r w:rsidR="00EF78F1" w:rsidRPr="00024FFA">
        <w:rPr>
          <w:lang w:val="en-US"/>
        </w:rPr>
        <w:tab/>
        <w:t xml:space="preserve">In the case of tyres of class C1, the </w:t>
      </w:r>
      <w:r w:rsidRPr="00024FFA">
        <w:rPr>
          <w:lang w:val="en-US"/>
        </w:rPr>
        <w:t>"</w:t>
      </w:r>
      <w:r w:rsidR="00EF78F1" w:rsidRPr="00024FFA">
        <w:rPr>
          <w:lang w:val="en-US"/>
        </w:rPr>
        <w:t>maximum load rating</w:t>
      </w:r>
      <w:r w:rsidRPr="00024FFA">
        <w:rPr>
          <w:lang w:val="en-US"/>
        </w:rPr>
        <w:t>"</w:t>
      </w:r>
      <w:r w:rsidR="00EF78F1" w:rsidRPr="00024FFA">
        <w:rPr>
          <w:lang w:val="en-US"/>
        </w:rPr>
        <w:t xml:space="preserve"> as referred to in paragraph 2.</w:t>
      </w:r>
      <w:r w:rsidR="00EF78F1" w:rsidRPr="00024FFA">
        <w:rPr>
          <w:strike/>
          <w:lang w:val="en-US"/>
        </w:rPr>
        <w:t>34.</w:t>
      </w:r>
      <w:r w:rsidR="00142C87" w:rsidRPr="00024FFA">
        <w:rPr>
          <w:b/>
          <w:lang w:val="en-US"/>
        </w:rPr>
        <w:t>37.</w:t>
      </w:r>
      <w:r w:rsidR="00EF78F1" w:rsidRPr="00024FFA">
        <w:rPr>
          <w:lang w:val="en-US"/>
        </w:rPr>
        <w:t xml:space="preserve"> of Regulation No. 30 is taken into account.</w:t>
      </w:r>
      <w:r w:rsidRPr="00024FFA">
        <w:t>"</w:t>
      </w:r>
      <w:r w:rsidR="00EF78F1" w:rsidRPr="00024FFA">
        <w:t xml:space="preserve"> </w:t>
      </w:r>
    </w:p>
    <w:p w:rsidR="00EF78F1" w:rsidRPr="00024FFA" w:rsidRDefault="00EF78F1" w:rsidP="00024FFA">
      <w:pPr>
        <w:spacing w:after="120" w:line="240" w:lineRule="auto"/>
        <w:ind w:left="2127" w:right="993" w:hanging="993"/>
        <w:jc w:val="both"/>
      </w:pPr>
      <w:r w:rsidRPr="00024FFA">
        <w:rPr>
          <w:i/>
        </w:rPr>
        <w:t xml:space="preserve">Paragraph 5.2.2.2.2., </w:t>
      </w:r>
      <w:r w:rsidRPr="00024FFA">
        <w:t>amend to read:</w:t>
      </w:r>
    </w:p>
    <w:p w:rsidR="00EF78F1" w:rsidRPr="00024FFA" w:rsidRDefault="00024FFA" w:rsidP="00024FFA">
      <w:pPr>
        <w:pStyle w:val="para"/>
        <w:ind w:left="2127" w:hanging="993"/>
      </w:pPr>
      <w:r w:rsidRPr="00024FFA">
        <w:t>"</w:t>
      </w:r>
      <w:r w:rsidR="00EF78F1" w:rsidRPr="00024FFA">
        <w:rPr>
          <w:lang w:val="en-US"/>
        </w:rPr>
        <w:t>5.2.2.2.2.</w:t>
      </w:r>
      <w:r w:rsidR="00EF78F1" w:rsidRPr="00024FFA">
        <w:rPr>
          <w:lang w:val="en-US"/>
        </w:rPr>
        <w:tab/>
        <w:t xml:space="preserve">In the case of tyres of class C2, the </w:t>
      </w:r>
      <w:r w:rsidRPr="00024FFA">
        <w:rPr>
          <w:lang w:val="en-US"/>
        </w:rPr>
        <w:t>"</w:t>
      </w:r>
      <w:r w:rsidR="00EF78F1" w:rsidRPr="00024FFA">
        <w:rPr>
          <w:lang w:val="en-US"/>
        </w:rPr>
        <w:t>table load-capacity variation with speed</w:t>
      </w:r>
      <w:r w:rsidRPr="00024FFA">
        <w:rPr>
          <w:lang w:val="en-US"/>
        </w:rPr>
        <w:t>"</w:t>
      </w:r>
      <w:r w:rsidR="00EF78F1" w:rsidRPr="00024FFA">
        <w:rPr>
          <w:lang w:val="en-US"/>
        </w:rPr>
        <w:t xml:space="preserve"> as referred to in paragraph 2.</w:t>
      </w:r>
      <w:r w:rsidR="00EF78F1" w:rsidRPr="00024FFA">
        <w:rPr>
          <w:strike/>
          <w:lang w:val="en-US"/>
        </w:rPr>
        <w:t>29.</w:t>
      </w:r>
      <w:r w:rsidR="00142C87" w:rsidRPr="00024FFA">
        <w:rPr>
          <w:b/>
          <w:lang w:val="en-US"/>
        </w:rPr>
        <w:t>32.</w:t>
      </w:r>
      <w:r w:rsidR="00EF78F1" w:rsidRPr="00024FFA">
        <w:rPr>
          <w:lang w:val="en-US"/>
        </w:rPr>
        <w:t xml:space="preserve"> of Regulation No. 54 is taken into account, which shows, as a function of the load-capacity indices and nominal-speed-category symbols, the load variations which a pneumatic tyre can withstand taking into account the maximum design speed of the vehicle.</w:t>
      </w:r>
      <w:r w:rsidRPr="00024FFA">
        <w:t>"</w:t>
      </w:r>
      <w:r w:rsidR="00EF78F1" w:rsidRPr="00024FFA">
        <w:t xml:space="preserve"> </w:t>
      </w:r>
    </w:p>
    <w:p w:rsidR="00C94582" w:rsidRPr="00024FFA" w:rsidRDefault="00C94582" w:rsidP="00024FFA">
      <w:pPr>
        <w:spacing w:after="120" w:line="240" w:lineRule="auto"/>
        <w:ind w:left="2127" w:right="993" w:hanging="993"/>
        <w:jc w:val="both"/>
      </w:pPr>
      <w:r w:rsidRPr="00024FFA">
        <w:rPr>
          <w:i/>
        </w:rPr>
        <w:t xml:space="preserve">Paragraph </w:t>
      </w:r>
      <w:r w:rsidR="00EF78F1" w:rsidRPr="00024FFA">
        <w:rPr>
          <w:i/>
        </w:rPr>
        <w:t>5.2.3.1.2</w:t>
      </w:r>
      <w:r w:rsidRPr="00024FFA">
        <w:rPr>
          <w:i/>
        </w:rPr>
        <w:t xml:space="preserve">., </w:t>
      </w:r>
      <w:r w:rsidRPr="00024FFA">
        <w:t>amend to read:</w:t>
      </w:r>
    </w:p>
    <w:p w:rsidR="00C94582" w:rsidRPr="00024FFA" w:rsidRDefault="00024FFA" w:rsidP="00024FFA">
      <w:pPr>
        <w:pStyle w:val="para"/>
        <w:ind w:left="2127" w:hanging="993"/>
      </w:pPr>
      <w:r w:rsidRPr="00024FFA">
        <w:t>"</w:t>
      </w:r>
      <w:r w:rsidR="00EF78F1" w:rsidRPr="00024FFA">
        <w:rPr>
          <w:lang w:val="en-US"/>
        </w:rPr>
        <w:t>5.2.3.1.2.</w:t>
      </w:r>
      <w:r w:rsidR="00EF78F1" w:rsidRPr="00024FFA">
        <w:rPr>
          <w:lang w:val="en-US"/>
        </w:rPr>
        <w:tab/>
        <w:t xml:space="preserve">In the case of tyre of class C2, the speed category symbol shall be compatible with the maximum vehicle design speed and the applicable load/speed combination derived from the </w:t>
      </w:r>
      <w:r w:rsidRPr="00024FFA">
        <w:rPr>
          <w:lang w:val="en-US"/>
        </w:rPr>
        <w:t>"</w:t>
      </w:r>
      <w:r w:rsidR="00EF78F1" w:rsidRPr="00024FFA">
        <w:rPr>
          <w:lang w:val="en-US"/>
        </w:rPr>
        <w:t>table load-capacity variation with speed</w:t>
      </w:r>
      <w:r w:rsidRPr="00024FFA">
        <w:rPr>
          <w:lang w:val="en-US"/>
        </w:rPr>
        <w:t>"</w:t>
      </w:r>
      <w:r w:rsidR="00EF78F1" w:rsidRPr="00024FFA">
        <w:rPr>
          <w:lang w:val="en-US"/>
        </w:rPr>
        <w:t xml:space="preserve"> as described in paragraph </w:t>
      </w:r>
      <w:r w:rsidR="00142C87" w:rsidRPr="00024FFA">
        <w:rPr>
          <w:lang w:val="en-US"/>
        </w:rPr>
        <w:t>2.</w:t>
      </w:r>
      <w:r w:rsidR="00142C87" w:rsidRPr="00024FFA">
        <w:rPr>
          <w:strike/>
          <w:lang w:val="en-US"/>
        </w:rPr>
        <w:t>29.</w:t>
      </w:r>
      <w:r w:rsidR="00142C87" w:rsidRPr="00024FFA">
        <w:rPr>
          <w:b/>
          <w:lang w:val="en-US"/>
        </w:rPr>
        <w:t>32.</w:t>
      </w:r>
      <w:r w:rsidR="00EF78F1" w:rsidRPr="00024FFA">
        <w:rPr>
          <w:lang w:val="en-US"/>
        </w:rPr>
        <w:t xml:space="preserve"> of Regulation No. 54.</w:t>
      </w:r>
      <w:r w:rsidRPr="00024FFA">
        <w:t>"</w:t>
      </w:r>
      <w:r w:rsidR="00C94582" w:rsidRPr="00024FFA">
        <w:t xml:space="preserve"> 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C00D91" w:rsidRDefault="00024FFA" w:rsidP="00B176CD">
      <w:pPr>
        <w:spacing w:after="120" w:line="240" w:lineRule="auto"/>
        <w:ind w:left="1134" w:right="1134"/>
        <w:jc w:val="both"/>
      </w:pPr>
      <w:r>
        <w:tab/>
        <w:t xml:space="preserve">The proposal is aimed to </w:t>
      </w:r>
      <w:r w:rsidR="00142C87">
        <w:t xml:space="preserve">correct </w:t>
      </w:r>
      <w:r>
        <w:t xml:space="preserve">reference to </w:t>
      </w:r>
      <w:r w:rsidR="00142C87">
        <w:t>paragraphs in R</w:t>
      </w:r>
      <w:r>
        <w:t xml:space="preserve">egulations Nos. </w:t>
      </w:r>
      <w:r w:rsidR="00142C87">
        <w:t>30 and 54</w:t>
      </w:r>
      <w:r>
        <w:t>, which</w:t>
      </w:r>
      <w:r w:rsidR="00142C87">
        <w:t xml:space="preserve"> have to be updated after some renumbering occurred in the mentioned Regulations</w:t>
      </w:r>
      <w:r w:rsidR="00B176CD" w:rsidRPr="00B176CD">
        <w:t>.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26" w:rsidRDefault="00121126"/>
  </w:endnote>
  <w:endnote w:type="continuationSeparator" w:id="0">
    <w:p w:rsidR="00121126" w:rsidRDefault="00121126"/>
  </w:endnote>
  <w:endnote w:type="continuationNotice" w:id="1">
    <w:p w:rsidR="00121126" w:rsidRDefault="00121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C8" w:rsidRPr="00923752" w:rsidRDefault="000652FF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E429C8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B87014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E429C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C8" w:rsidRPr="00923752" w:rsidRDefault="00E429C8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0652FF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0652FF" w:rsidRPr="00923752">
      <w:rPr>
        <w:b/>
        <w:sz w:val="18"/>
      </w:rPr>
      <w:fldChar w:fldCharType="separate"/>
    </w:r>
    <w:r w:rsidR="00024FFA">
      <w:rPr>
        <w:b/>
        <w:noProof/>
        <w:sz w:val="18"/>
      </w:rPr>
      <w:t>3</w:t>
    </w:r>
    <w:r w:rsidR="000652FF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36" w:rsidRDefault="00C52136" w:rsidP="00C52136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2A350530" wp14:editId="4F14D35C">
          <wp:simplePos x="0" y="0"/>
          <wp:positionH relativeFrom="margin">
            <wp:posOffset>5474970</wp:posOffset>
          </wp:positionH>
          <wp:positionV relativeFrom="margin">
            <wp:posOffset>7957185</wp:posOffset>
          </wp:positionV>
          <wp:extent cx="643255" cy="643255"/>
          <wp:effectExtent l="0" t="0" r="4445" b="4445"/>
          <wp:wrapNone/>
          <wp:docPr id="1" name="Picture 1" descr="https://undocs.org/m2/QRCode.ashx?DS=ECE/TRANS/WP.29/GRRF/2017/2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26A28271" wp14:editId="4372E7D7">
          <wp:simplePos x="0" y="0"/>
          <wp:positionH relativeFrom="margin">
            <wp:posOffset>4409440</wp:posOffset>
          </wp:positionH>
          <wp:positionV relativeFrom="margin">
            <wp:posOffset>8286750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2136" w:rsidRDefault="00C52136" w:rsidP="00C52136">
    <w:pPr>
      <w:pStyle w:val="Footer"/>
      <w:ind w:right="1134"/>
      <w:rPr>
        <w:sz w:val="20"/>
      </w:rPr>
    </w:pPr>
    <w:r>
      <w:rPr>
        <w:sz w:val="20"/>
      </w:rPr>
      <w:t>GE.17-11272(E)</w:t>
    </w:r>
  </w:p>
  <w:p w:rsidR="00C52136" w:rsidRPr="00C52136" w:rsidRDefault="00C52136" w:rsidP="00C5213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26" w:rsidRPr="000B175B" w:rsidRDefault="001211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1126" w:rsidRPr="00FC68B7" w:rsidRDefault="001211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21126" w:rsidRDefault="00121126"/>
  </w:footnote>
  <w:footnote w:id="2">
    <w:p w:rsidR="00E429C8" w:rsidRPr="002232AF" w:rsidRDefault="00E429C8" w:rsidP="00024FFA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770053">
        <w:rPr>
          <w:szCs w:val="18"/>
          <w:lang w:val="en-US"/>
        </w:rPr>
        <w:t>In accordance with the progra</w:t>
      </w:r>
      <w:r w:rsidR="00770053" w:rsidRPr="00F65CDD">
        <w:rPr>
          <w:szCs w:val="18"/>
          <w:lang w:val="en-US"/>
        </w:rPr>
        <w:t>mme of work of the Inland Transport Committee for 2016–2017</w:t>
      </w:r>
      <w:r w:rsidR="00770053">
        <w:rPr>
          <w:szCs w:val="18"/>
          <w:lang w:val="en-US"/>
        </w:rPr>
        <w:t xml:space="preserve"> (ECE/TRANS/254, para. 159 and ECE/TRANS/2016/28/Add.1, cluster 3.1), the World Forum will develop, harmonize and update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C8" w:rsidRPr="00923752" w:rsidRDefault="00E429C8">
    <w:pPr>
      <w:pStyle w:val="Header"/>
    </w:pPr>
    <w:r>
      <w:t>ECE/TRANS/WP.29/GRRF/2017/</w:t>
    </w:r>
    <w:r w:rsidR="00C94EA0"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C8" w:rsidRPr="00923752" w:rsidRDefault="00AE4791" w:rsidP="00923752">
    <w:pPr>
      <w:pStyle w:val="Header"/>
      <w:jc w:val="right"/>
    </w:pPr>
    <w:r>
      <w:t>ECE/TRANS/WP.29/GRRF/2017/ww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C8" w:rsidRDefault="00E429C8" w:rsidP="004402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1EC1561"/>
    <w:multiLevelType w:val="hybridMultilevel"/>
    <w:tmpl w:val="168EBE5C"/>
    <w:lvl w:ilvl="0" w:tplc="54CA1C1C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  <w:color w:val="FF0000"/>
      </w:rPr>
    </w:lvl>
    <w:lvl w:ilvl="1" w:tplc="080C0003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24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5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7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8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9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1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5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7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9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3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5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7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8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0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9"/>
  </w:num>
  <w:num w:numId="13">
    <w:abstractNumId w:val="14"/>
  </w:num>
  <w:num w:numId="14">
    <w:abstractNumId w:val="41"/>
  </w:num>
  <w:num w:numId="15">
    <w:abstractNumId w:val="45"/>
  </w:num>
  <w:num w:numId="16">
    <w:abstractNumId w:val="51"/>
  </w:num>
  <w:num w:numId="17">
    <w:abstractNumId w:val="27"/>
  </w:num>
  <w:num w:numId="18">
    <w:abstractNumId w:val="31"/>
  </w:num>
  <w:num w:numId="19">
    <w:abstractNumId w:val="33"/>
  </w:num>
  <w:num w:numId="20">
    <w:abstractNumId w:val="49"/>
  </w:num>
  <w:num w:numId="21">
    <w:abstractNumId w:val="20"/>
  </w:num>
  <w:num w:numId="22">
    <w:abstractNumId w:val="25"/>
  </w:num>
  <w:num w:numId="23">
    <w:abstractNumId w:val="21"/>
  </w:num>
  <w:num w:numId="24">
    <w:abstractNumId w:val="29"/>
  </w:num>
  <w:num w:numId="25">
    <w:abstractNumId w:val="15"/>
  </w:num>
  <w:num w:numId="26">
    <w:abstractNumId w:val="32"/>
  </w:num>
  <w:num w:numId="27">
    <w:abstractNumId w:val="50"/>
  </w:num>
  <w:num w:numId="28">
    <w:abstractNumId w:val="52"/>
  </w:num>
  <w:num w:numId="29">
    <w:abstractNumId w:val="37"/>
  </w:num>
  <w:num w:numId="30">
    <w:abstractNumId w:val="34"/>
  </w:num>
  <w:num w:numId="31">
    <w:abstractNumId w:val="22"/>
  </w:num>
  <w:num w:numId="32">
    <w:abstractNumId w:val="47"/>
  </w:num>
  <w:num w:numId="33">
    <w:abstractNumId w:val="26"/>
  </w:num>
  <w:num w:numId="34">
    <w:abstractNumId w:val="30"/>
  </w:num>
  <w:num w:numId="35">
    <w:abstractNumId w:val="39"/>
  </w:num>
  <w:num w:numId="36">
    <w:abstractNumId w:val="36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8"/>
  </w:num>
  <w:num w:numId="42">
    <w:abstractNumId w:val="38"/>
  </w:num>
  <w:num w:numId="43">
    <w:abstractNumId w:val="42"/>
  </w:num>
  <w:num w:numId="44">
    <w:abstractNumId w:val="44"/>
  </w:num>
  <w:num w:numId="45">
    <w:abstractNumId w:val="43"/>
  </w:num>
  <w:num w:numId="46">
    <w:abstractNumId w:val="46"/>
  </w:num>
  <w:num w:numId="47">
    <w:abstractNumId w:val="24"/>
  </w:num>
  <w:num w:numId="48">
    <w:abstractNumId w:val="48"/>
  </w:num>
  <w:num w:numId="49">
    <w:abstractNumId w:val="35"/>
  </w:num>
  <w:num w:numId="5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ctiveWritingStyle w:appName="MSWord" w:lang="fr-B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24FFA"/>
    <w:rsid w:val="00030044"/>
    <w:rsid w:val="00046B1F"/>
    <w:rsid w:val="00050F6B"/>
    <w:rsid w:val="00052635"/>
    <w:rsid w:val="00057E97"/>
    <w:rsid w:val="000646F4"/>
    <w:rsid w:val="000652FF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E1725"/>
    <w:rsid w:val="000E3CE7"/>
    <w:rsid w:val="000F46F4"/>
    <w:rsid w:val="000F6BE3"/>
    <w:rsid w:val="000F7775"/>
    <w:rsid w:val="00103A07"/>
    <w:rsid w:val="00103A1A"/>
    <w:rsid w:val="001103AA"/>
    <w:rsid w:val="00111764"/>
    <w:rsid w:val="00112E6A"/>
    <w:rsid w:val="0011666B"/>
    <w:rsid w:val="00120241"/>
    <w:rsid w:val="00121126"/>
    <w:rsid w:val="00121464"/>
    <w:rsid w:val="00133987"/>
    <w:rsid w:val="00135B68"/>
    <w:rsid w:val="00142C87"/>
    <w:rsid w:val="0016390E"/>
    <w:rsid w:val="00165F3A"/>
    <w:rsid w:val="00175B5A"/>
    <w:rsid w:val="00182290"/>
    <w:rsid w:val="001832FB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6093F"/>
    <w:rsid w:val="0026773C"/>
    <w:rsid w:val="00267F5F"/>
    <w:rsid w:val="00272BAF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E048B"/>
    <w:rsid w:val="002F175C"/>
    <w:rsid w:val="002F2821"/>
    <w:rsid w:val="002F7DE0"/>
    <w:rsid w:val="00302E18"/>
    <w:rsid w:val="003068A3"/>
    <w:rsid w:val="003229D8"/>
    <w:rsid w:val="003264C1"/>
    <w:rsid w:val="00330D90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0FF6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02CB"/>
    <w:rsid w:val="0044130A"/>
    <w:rsid w:val="00442A83"/>
    <w:rsid w:val="00445932"/>
    <w:rsid w:val="00452D12"/>
    <w:rsid w:val="0045495B"/>
    <w:rsid w:val="004561E5"/>
    <w:rsid w:val="0047284E"/>
    <w:rsid w:val="0048397A"/>
    <w:rsid w:val="0048565F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D6F76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13F3"/>
    <w:rsid w:val="0052775E"/>
    <w:rsid w:val="00533A4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E61A3"/>
    <w:rsid w:val="005F4882"/>
    <w:rsid w:val="005F7B75"/>
    <w:rsid w:val="006001EE"/>
    <w:rsid w:val="00605042"/>
    <w:rsid w:val="00611FC4"/>
    <w:rsid w:val="006176FB"/>
    <w:rsid w:val="00620F30"/>
    <w:rsid w:val="00621CE7"/>
    <w:rsid w:val="00631ADC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77CFB"/>
    <w:rsid w:val="0068160B"/>
    <w:rsid w:val="00684C21"/>
    <w:rsid w:val="006A2530"/>
    <w:rsid w:val="006B664D"/>
    <w:rsid w:val="006B6707"/>
    <w:rsid w:val="006C3382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053"/>
    <w:rsid w:val="0077047D"/>
    <w:rsid w:val="00787DAA"/>
    <w:rsid w:val="007935BF"/>
    <w:rsid w:val="007939B6"/>
    <w:rsid w:val="00793D61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0730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1B52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06CD"/>
    <w:rsid w:val="00905CD3"/>
    <w:rsid w:val="00907534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63AC1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085B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42906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20C"/>
    <w:rsid w:val="00AD5904"/>
    <w:rsid w:val="00AE2A97"/>
    <w:rsid w:val="00AE4791"/>
    <w:rsid w:val="00AF44D0"/>
    <w:rsid w:val="00B026A9"/>
    <w:rsid w:val="00B03569"/>
    <w:rsid w:val="00B130AF"/>
    <w:rsid w:val="00B176CD"/>
    <w:rsid w:val="00B30179"/>
    <w:rsid w:val="00B308D7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014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00D91"/>
    <w:rsid w:val="00C11A03"/>
    <w:rsid w:val="00C145D2"/>
    <w:rsid w:val="00C14FBF"/>
    <w:rsid w:val="00C177A9"/>
    <w:rsid w:val="00C20546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136"/>
    <w:rsid w:val="00C52D75"/>
    <w:rsid w:val="00C54AC7"/>
    <w:rsid w:val="00C629A0"/>
    <w:rsid w:val="00C64629"/>
    <w:rsid w:val="00C70888"/>
    <w:rsid w:val="00C745C3"/>
    <w:rsid w:val="00C82317"/>
    <w:rsid w:val="00C847D9"/>
    <w:rsid w:val="00C94582"/>
    <w:rsid w:val="00C94EA0"/>
    <w:rsid w:val="00C96DF2"/>
    <w:rsid w:val="00CB2E29"/>
    <w:rsid w:val="00CB3E03"/>
    <w:rsid w:val="00CB5FFB"/>
    <w:rsid w:val="00CC10A9"/>
    <w:rsid w:val="00CC4F22"/>
    <w:rsid w:val="00CD22A1"/>
    <w:rsid w:val="00CD4AA6"/>
    <w:rsid w:val="00CE4A8F"/>
    <w:rsid w:val="00CE5173"/>
    <w:rsid w:val="00CF20B1"/>
    <w:rsid w:val="00D01544"/>
    <w:rsid w:val="00D10E2D"/>
    <w:rsid w:val="00D2031B"/>
    <w:rsid w:val="00D248B6"/>
    <w:rsid w:val="00D25C23"/>
    <w:rsid w:val="00D25FE2"/>
    <w:rsid w:val="00D26E07"/>
    <w:rsid w:val="00D34C3D"/>
    <w:rsid w:val="00D36E50"/>
    <w:rsid w:val="00D43252"/>
    <w:rsid w:val="00D466D6"/>
    <w:rsid w:val="00D47EEA"/>
    <w:rsid w:val="00D67EB2"/>
    <w:rsid w:val="00D70325"/>
    <w:rsid w:val="00D7306C"/>
    <w:rsid w:val="00D736A0"/>
    <w:rsid w:val="00D73933"/>
    <w:rsid w:val="00D769DB"/>
    <w:rsid w:val="00D773DF"/>
    <w:rsid w:val="00D83BCC"/>
    <w:rsid w:val="00D86A1D"/>
    <w:rsid w:val="00D91CE7"/>
    <w:rsid w:val="00D95303"/>
    <w:rsid w:val="00D978C6"/>
    <w:rsid w:val="00DA3C1C"/>
    <w:rsid w:val="00DA7B18"/>
    <w:rsid w:val="00DB225E"/>
    <w:rsid w:val="00DB5483"/>
    <w:rsid w:val="00DC6D39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429C8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808F9"/>
    <w:rsid w:val="00E96630"/>
    <w:rsid w:val="00EA2A77"/>
    <w:rsid w:val="00EA3961"/>
    <w:rsid w:val="00EB3A57"/>
    <w:rsid w:val="00EB7920"/>
    <w:rsid w:val="00EC0A5B"/>
    <w:rsid w:val="00EC0C03"/>
    <w:rsid w:val="00EC10BA"/>
    <w:rsid w:val="00EC3D60"/>
    <w:rsid w:val="00EC74F9"/>
    <w:rsid w:val="00ED02A7"/>
    <w:rsid w:val="00ED228F"/>
    <w:rsid w:val="00ED4DF6"/>
    <w:rsid w:val="00ED7A2A"/>
    <w:rsid w:val="00EE1A48"/>
    <w:rsid w:val="00EE7CA1"/>
    <w:rsid w:val="00EF1D7F"/>
    <w:rsid w:val="00EF5C56"/>
    <w:rsid w:val="00EF78F1"/>
    <w:rsid w:val="00F03C32"/>
    <w:rsid w:val="00F0480F"/>
    <w:rsid w:val="00F1540C"/>
    <w:rsid w:val="00F243E1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76B58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D7DE7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sid w:val="00120241"/>
    <w:rPr>
      <w:sz w:val="6"/>
    </w:rPr>
  </w:style>
  <w:style w:type="paragraph" w:styleId="CommentText">
    <w:name w:val="annotation text"/>
    <w:basedOn w:val="Normal"/>
    <w:link w:val="CommentTextChar"/>
    <w:qFormat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26773C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sid w:val="00120241"/>
    <w:rPr>
      <w:sz w:val="6"/>
    </w:rPr>
  </w:style>
  <w:style w:type="paragraph" w:styleId="CommentText">
    <w:name w:val="annotation text"/>
    <w:basedOn w:val="Normal"/>
    <w:link w:val="CommentTextChar"/>
    <w:qFormat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26773C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4749-5292-458C-9384-1AE2E6F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467</Words>
  <Characters>2666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1711272</vt:lpstr>
      <vt:lpstr>United Nations</vt:lpstr>
      <vt:lpstr>United Nations</vt:lpstr>
    </vt:vector>
  </TitlesOfParts>
  <Company>CSD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1711272</dc:title>
  <dc:subject>ECE/TRANS/WP.29/GRRF/2017/21</dc:subject>
  <dc:creator>Doerte Schramm</dc:creator>
  <cp:lastModifiedBy>Benedicte Boudol</cp:lastModifiedBy>
  <cp:revision>2</cp:revision>
  <cp:lastPrinted>2014-11-10T09:08:00Z</cp:lastPrinted>
  <dcterms:created xsi:type="dcterms:W3CDTF">2017-08-16T08:21:00Z</dcterms:created>
  <dcterms:modified xsi:type="dcterms:W3CDTF">2017-08-16T08:21:00Z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