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CE7D51"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50D32">
            <w:pPr>
              <w:jc w:val="right"/>
              <w:rPr>
                <w:lang w:val="en-GB"/>
              </w:rPr>
            </w:pPr>
            <w:r w:rsidRPr="00AF2205">
              <w:rPr>
                <w:sz w:val="40"/>
                <w:lang w:val="en-GB"/>
              </w:rPr>
              <w:t>ECE</w:t>
            </w:r>
            <w:r w:rsidRPr="00AF2205">
              <w:rPr>
                <w:lang w:val="en-GB"/>
              </w:rPr>
              <w:t>/TRANS/WP.29/</w:t>
            </w:r>
            <w:r w:rsidR="00AF13F6">
              <w:rPr>
                <w:lang w:val="en-GB"/>
              </w:rPr>
              <w:t>GRRF/201</w:t>
            </w:r>
            <w:r w:rsidR="006F4BB9">
              <w:rPr>
                <w:lang w:val="en-GB"/>
              </w:rPr>
              <w:t>7</w:t>
            </w:r>
            <w:r w:rsidR="00AF13F6">
              <w:rPr>
                <w:lang w:val="en-GB"/>
              </w:rPr>
              <w:t>/</w:t>
            </w:r>
            <w:r w:rsidR="00650D32">
              <w:rPr>
                <w:lang w:val="en-GB"/>
              </w:rPr>
              <w:t>6</w:t>
            </w:r>
          </w:p>
        </w:tc>
      </w:tr>
      <w:tr w:rsidR="00AF2205" w:rsidRPr="00EF64F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35B06D67" wp14:editId="4C61CC7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50D32" w:rsidP="00DB57ED">
            <w:pPr>
              <w:spacing w:line="240" w:lineRule="exact"/>
              <w:rPr>
                <w:lang w:val="en-GB"/>
              </w:rPr>
            </w:pPr>
            <w:r>
              <w:rPr>
                <w:lang w:val="en-GB"/>
              </w:rPr>
              <w:t>1</w:t>
            </w:r>
            <w:r w:rsidR="00C65C95">
              <w:rPr>
                <w:lang w:val="en-GB"/>
              </w:rPr>
              <w:t>0</w:t>
            </w:r>
            <w:r>
              <w:rPr>
                <w:lang w:val="en-GB"/>
              </w:rPr>
              <w:t xml:space="preserve"> November</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13F6" w:rsidRPr="00AF2205" w:rsidRDefault="00AF13F6" w:rsidP="00AF13F6">
      <w:pPr>
        <w:spacing w:before="120"/>
        <w:rPr>
          <w:b/>
          <w:sz w:val="28"/>
          <w:szCs w:val="28"/>
          <w:lang w:val="en-GB"/>
        </w:rPr>
      </w:pPr>
      <w:r w:rsidRPr="00AF2205">
        <w:rPr>
          <w:b/>
          <w:sz w:val="28"/>
          <w:szCs w:val="28"/>
          <w:lang w:val="en-GB"/>
        </w:rPr>
        <w:t>Economic Commission for Europe</w:t>
      </w:r>
    </w:p>
    <w:p w:rsidR="00AF13F6" w:rsidRPr="00AF2205" w:rsidRDefault="00AF13F6" w:rsidP="00AF13F6">
      <w:pPr>
        <w:spacing w:before="120"/>
        <w:rPr>
          <w:sz w:val="28"/>
          <w:szCs w:val="28"/>
          <w:lang w:val="en-GB"/>
        </w:rPr>
      </w:pPr>
      <w:r w:rsidRPr="00AF2205">
        <w:rPr>
          <w:sz w:val="28"/>
          <w:szCs w:val="28"/>
          <w:lang w:val="en-GB"/>
        </w:rPr>
        <w:t>Inland Transport Committee</w:t>
      </w:r>
    </w:p>
    <w:p w:rsidR="00AF13F6" w:rsidRPr="00AF2205" w:rsidRDefault="00AF13F6" w:rsidP="00AF13F6">
      <w:pPr>
        <w:spacing w:before="120"/>
        <w:rPr>
          <w:b/>
          <w:sz w:val="24"/>
          <w:szCs w:val="24"/>
          <w:lang w:val="en-GB"/>
        </w:rPr>
      </w:pPr>
      <w:r w:rsidRPr="00AF2205">
        <w:rPr>
          <w:b/>
          <w:sz w:val="24"/>
          <w:szCs w:val="24"/>
          <w:lang w:val="en-GB"/>
        </w:rPr>
        <w:t>World Forum for Harmonization of Vehicle Regulations</w:t>
      </w:r>
    </w:p>
    <w:p w:rsidR="00AF13F6" w:rsidRPr="00260EE0" w:rsidRDefault="00AF13F6" w:rsidP="00AF13F6">
      <w:pPr>
        <w:spacing w:before="120"/>
        <w:jc w:val="both"/>
        <w:rPr>
          <w:b/>
          <w:lang w:val="en-US"/>
        </w:rPr>
      </w:pPr>
      <w:r w:rsidRPr="00260EE0">
        <w:rPr>
          <w:b/>
          <w:lang w:val="en-US"/>
        </w:rPr>
        <w:t>Working Party on Brakes and Running Gear</w:t>
      </w:r>
    </w:p>
    <w:p w:rsidR="00AF13F6" w:rsidRPr="00260EE0" w:rsidRDefault="00AF13F6" w:rsidP="00AF13F6">
      <w:pPr>
        <w:spacing w:before="120"/>
        <w:jc w:val="both"/>
        <w:rPr>
          <w:b/>
          <w:lang w:val="en-US"/>
        </w:rPr>
      </w:pPr>
      <w:r w:rsidRPr="00260EE0">
        <w:rPr>
          <w:b/>
          <w:lang w:val="en-US"/>
        </w:rPr>
        <w:t>Eighty-</w:t>
      </w:r>
      <w:r w:rsidR="006F4BB9">
        <w:rPr>
          <w:b/>
          <w:lang w:val="en-US"/>
        </w:rPr>
        <w:t>thir</w:t>
      </w:r>
      <w:r w:rsidRPr="00260EE0">
        <w:rPr>
          <w:b/>
          <w:lang w:val="en-US"/>
        </w:rPr>
        <w:t xml:space="preserve">d </w:t>
      </w:r>
      <w:proofErr w:type="gramStart"/>
      <w:r w:rsidRPr="00260EE0">
        <w:rPr>
          <w:b/>
          <w:lang w:val="en-US"/>
        </w:rPr>
        <w:t>session</w:t>
      </w:r>
      <w:proofErr w:type="gramEnd"/>
    </w:p>
    <w:p w:rsidR="00AF13F6" w:rsidRPr="00260EE0" w:rsidRDefault="00AF13F6" w:rsidP="00AF13F6">
      <w:pPr>
        <w:jc w:val="both"/>
        <w:rPr>
          <w:lang w:val="en-US"/>
        </w:rPr>
      </w:pPr>
      <w:r w:rsidRPr="00260EE0">
        <w:rPr>
          <w:lang w:val="en-US"/>
        </w:rPr>
        <w:t>Geneva, 2</w:t>
      </w:r>
      <w:r w:rsidR="006F4BB9">
        <w:rPr>
          <w:lang w:val="en-US"/>
        </w:rPr>
        <w:t>3</w:t>
      </w:r>
      <w:r w:rsidRPr="00260EE0">
        <w:rPr>
          <w:lang w:val="en-US"/>
        </w:rPr>
        <w:t>-2</w:t>
      </w:r>
      <w:r w:rsidR="006F4BB9">
        <w:rPr>
          <w:lang w:val="en-US"/>
        </w:rPr>
        <w:t>7</w:t>
      </w:r>
      <w:r w:rsidRPr="00260EE0">
        <w:rPr>
          <w:lang w:val="en-US" w:eastAsia="ja-JP"/>
        </w:rPr>
        <w:t xml:space="preserve"> </w:t>
      </w:r>
      <w:r w:rsidR="006F4BB9">
        <w:rPr>
          <w:lang w:val="en-US" w:eastAsia="ja-JP"/>
        </w:rPr>
        <w:t>January</w:t>
      </w:r>
      <w:r w:rsidRPr="00260EE0">
        <w:rPr>
          <w:lang w:val="en-US" w:eastAsia="ja-JP"/>
        </w:rPr>
        <w:t xml:space="preserve"> </w:t>
      </w:r>
      <w:r w:rsidRPr="00260EE0">
        <w:rPr>
          <w:lang w:val="en-US"/>
        </w:rPr>
        <w:t>201</w:t>
      </w:r>
      <w:r w:rsidR="006F4BB9">
        <w:rPr>
          <w:lang w:val="en-US" w:eastAsia="ja-JP"/>
        </w:rPr>
        <w:t>7</w:t>
      </w:r>
    </w:p>
    <w:p w:rsidR="00AF13F6" w:rsidRDefault="00AF13F6" w:rsidP="00AF13F6">
      <w:pPr>
        <w:jc w:val="both"/>
        <w:rPr>
          <w:lang w:val="en-US"/>
        </w:rPr>
      </w:pPr>
      <w:r w:rsidRPr="009B2102">
        <w:rPr>
          <w:lang w:val="en-US"/>
        </w:rPr>
        <w:t xml:space="preserve">Item </w:t>
      </w:r>
      <w:r w:rsidR="00650D32">
        <w:rPr>
          <w:lang w:val="en-US"/>
        </w:rPr>
        <w:t>7(e)</w:t>
      </w:r>
      <w:r w:rsidR="006F4BB9">
        <w:rPr>
          <w:lang w:val="en-US"/>
        </w:rPr>
        <w:t xml:space="preserve"> </w:t>
      </w:r>
      <w:r w:rsidRPr="00260EE0">
        <w:rPr>
          <w:lang w:val="en-US"/>
        </w:rPr>
        <w:t>of the provisional agenda</w:t>
      </w:r>
    </w:p>
    <w:p w:rsidR="00AF2205" w:rsidRPr="00AF2205" w:rsidRDefault="00AF13F6" w:rsidP="0055705C">
      <w:pPr>
        <w:rPr>
          <w:b/>
          <w:lang w:val="en-GB"/>
        </w:rPr>
      </w:pPr>
      <w:r>
        <w:rPr>
          <w:b/>
          <w:lang w:val="en-GB"/>
        </w:rPr>
        <w:t>Tyres</w:t>
      </w:r>
      <w:r w:rsidR="00C65C95">
        <w:rPr>
          <w:b/>
          <w:lang w:val="en-GB"/>
        </w:rPr>
        <w:t>:</w:t>
      </w:r>
      <w:r>
        <w:rPr>
          <w:b/>
          <w:lang w:val="en-GB"/>
        </w:rPr>
        <w:t xml:space="preserve"> </w:t>
      </w:r>
      <w:bookmarkStart w:id="0" w:name="_GoBack"/>
      <w:bookmarkEnd w:id="0"/>
      <w:r>
        <w:rPr>
          <w:b/>
          <w:lang w:val="en-GB"/>
        </w:rPr>
        <w:t xml:space="preserve">Regulation No. </w:t>
      </w:r>
      <w:r w:rsidR="00BF0D08">
        <w:rPr>
          <w:b/>
          <w:lang w:val="en-GB"/>
        </w:rPr>
        <w:t>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C66C0F">
        <w:rPr>
          <w:bCs/>
          <w:lang w:val="en-US"/>
        </w:rPr>
        <w:t xml:space="preserve">a </w:t>
      </w:r>
      <w:r w:rsidR="00AF13F6">
        <w:rPr>
          <w:bCs/>
          <w:lang w:val="en-US"/>
        </w:rPr>
        <w:t xml:space="preserve">new </w:t>
      </w:r>
      <w:r w:rsidR="00C66C0F">
        <w:rPr>
          <w:bCs/>
          <w:lang w:val="en-US"/>
        </w:rPr>
        <w:t xml:space="preserve">Resolution </w:t>
      </w:r>
      <w:r w:rsidR="00391B10">
        <w:rPr>
          <w:bCs/>
          <w:lang w:val="en-US"/>
        </w:rPr>
        <w:t xml:space="preserve">on </w:t>
      </w:r>
      <w:proofErr w:type="spellStart"/>
      <w:r w:rsidR="00391B10">
        <w:rPr>
          <w:bCs/>
          <w:lang w:val="en-US"/>
        </w:rPr>
        <w:t>Tyre</w:t>
      </w:r>
      <w:proofErr w:type="spellEnd"/>
      <w:r w:rsidR="00391B10">
        <w:rPr>
          <w:bCs/>
          <w:lang w:val="en-US"/>
        </w:rPr>
        <w:t xml:space="preserve"> Sizes</w:t>
      </w:r>
    </w:p>
    <w:p w:rsidR="00AF13F6" w:rsidRDefault="00AF13F6" w:rsidP="00AF13F6">
      <w:pPr>
        <w:keepNext/>
        <w:keepLines/>
        <w:spacing w:before="360" w:after="240" w:line="270" w:lineRule="exact"/>
        <w:ind w:left="1134" w:right="1134"/>
        <w:rPr>
          <w:lang w:val="en-GB"/>
        </w:rPr>
      </w:pPr>
      <w:r w:rsidRPr="00260EE0">
        <w:rPr>
          <w:b/>
          <w:sz w:val="24"/>
          <w:lang w:val="en-US"/>
        </w:rPr>
        <w:t xml:space="preserve">Submitted by the experts from the European </w:t>
      </w:r>
      <w:proofErr w:type="spellStart"/>
      <w:r w:rsidRPr="00260EE0">
        <w:rPr>
          <w:b/>
          <w:sz w:val="24"/>
          <w:lang w:val="en-US"/>
        </w:rPr>
        <w:t>Tyre</w:t>
      </w:r>
      <w:proofErr w:type="spellEnd"/>
      <w:r w:rsidR="00C44C18">
        <w:rPr>
          <w:b/>
          <w:sz w:val="24"/>
          <w:lang w:val="en-US"/>
        </w:rPr>
        <w:t xml:space="preserve"> and Rim Technical </w:t>
      </w:r>
      <w:proofErr w:type="spellStart"/>
      <w:r w:rsidR="00C44C18">
        <w:rPr>
          <w:b/>
          <w:sz w:val="24"/>
          <w:lang w:val="en-US"/>
        </w:rPr>
        <w:t>Organisation</w:t>
      </w:r>
      <w:proofErr w:type="spellEnd"/>
      <w:r w:rsidRPr="00DA535F">
        <w:rPr>
          <w:lang w:val="en-GB"/>
        </w:rPr>
        <w:footnoteReference w:customMarkFollows="1" w:id="2"/>
        <w:t>*</w:t>
      </w:r>
    </w:p>
    <w:p w:rsidR="00A90EA8" w:rsidRPr="00AF13F6" w:rsidRDefault="00AF13F6" w:rsidP="00A90EA8">
      <w:pPr>
        <w:keepNext/>
        <w:keepLines/>
        <w:spacing w:before="360" w:after="240" w:line="270" w:lineRule="exact"/>
        <w:ind w:left="1134" w:right="1134"/>
        <w:rPr>
          <w:b/>
          <w:sz w:val="24"/>
          <w:lang w:val="en-GB"/>
        </w:rPr>
      </w:pPr>
      <w:r>
        <w:rPr>
          <w:lang w:val="en-US"/>
        </w:rPr>
        <w:tab/>
      </w:r>
      <w:r w:rsidRPr="00260EE0">
        <w:rPr>
          <w:lang w:val="en-US"/>
        </w:rPr>
        <w:t xml:space="preserve">The </w:t>
      </w:r>
      <w:proofErr w:type="gramStart"/>
      <w:r w:rsidRPr="00260EE0">
        <w:rPr>
          <w:lang w:val="en-US"/>
        </w:rPr>
        <w:t>text reproduced below was prepared by the experts</w:t>
      </w:r>
      <w:proofErr w:type="gramEnd"/>
      <w:r w:rsidRPr="00260EE0">
        <w:rPr>
          <w:lang w:val="en-US"/>
        </w:rPr>
        <w:t xml:space="preserve"> from the </w:t>
      </w:r>
      <w:r w:rsidRPr="00260EE0">
        <w:rPr>
          <w:rStyle w:val="Emphasis"/>
          <w:i w:val="0"/>
          <w:lang w:val="en-US"/>
        </w:rPr>
        <w:t xml:space="preserve">European </w:t>
      </w:r>
      <w:proofErr w:type="spellStart"/>
      <w:r w:rsidRPr="00260EE0">
        <w:rPr>
          <w:rStyle w:val="Emphasis"/>
          <w:i w:val="0"/>
          <w:lang w:val="en-US"/>
        </w:rPr>
        <w:t>Tyre</w:t>
      </w:r>
      <w:proofErr w:type="spellEnd"/>
      <w:r w:rsidRPr="00260EE0">
        <w:rPr>
          <w:rStyle w:val="Emphasis"/>
          <w:i w:val="0"/>
          <w:lang w:val="en-US"/>
        </w:rPr>
        <w:t xml:space="preserve"> and Rim Technical </w:t>
      </w:r>
      <w:proofErr w:type="spellStart"/>
      <w:r w:rsidRPr="00260EE0">
        <w:rPr>
          <w:rStyle w:val="Emphasis"/>
          <w:i w:val="0"/>
          <w:lang w:val="en-US"/>
        </w:rPr>
        <w:t>Organisation</w:t>
      </w:r>
      <w:proofErr w:type="spellEnd"/>
      <w:r w:rsidRPr="00260EE0">
        <w:rPr>
          <w:i/>
          <w:lang w:val="en-US"/>
        </w:rPr>
        <w:t xml:space="preserve"> </w:t>
      </w:r>
      <w:r w:rsidRPr="00260EE0">
        <w:rPr>
          <w:lang w:val="en-US"/>
        </w:rPr>
        <w:t xml:space="preserve">(ETRTO) </w:t>
      </w:r>
      <w:r>
        <w:rPr>
          <w:lang w:val="en-US"/>
        </w:rPr>
        <w:t xml:space="preserve">proposing a new Resolution on </w:t>
      </w:r>
      <w:proofErr w:type="spellStart"/>
      <w:r>
        <w:rPr>
          <w:lang w:val="en-US"/>
        </w:rPr>
        <w:t>Tyre</w:t>
      </w:r>
      <w:proofErr w:type="spellEnd"/>
      <w:r>
        <w:rPr>
          <w:lang w:val="en-US"/>
        </w:rPr>
        <w:t xml:space="preserve"> Sizes.</w:t>
      </w:r>
    </w:p>
    <w:p w:rsidR="00C701A5" w:rsidRDefault="00C701A5" w:rsidP="00C701A5">
      <w:pPr>
        <w:pStyle w:val="SingleTxtG"/>
        <w:ind w:firstLine="567"/>
        <w:rPr>
          <w:lang w:val="en-GB"/>
        </w:rPr>
      </w:pPr>
      <w:r>
        <w:rPr>
          <w:lang w:val="en-GB"/>
        </w:rPr>
        <w:br w:type="page"/>
      </w:r>
    </w:p>
    <w:p w:rsidR="0059693F" w:rsidRPr="00985636" w:rsidRDefault="0010768F" w:rsidP="00391B10">
      <w:pPr>
        <w:pStyle w:val="HChG"/>
        <w:rPr>
          <w:lang w:val="en-US"/>
        </w:rPr>
      </w:pPr>
      <w:r w:rsidRPr="00985636">
        <w:rPr>
          <w:lang w:val="en-US"/>
        </w:rPr>
        <w:lastRenderedPageBreak/>
        <w:tab/>
      </w:r>
      <w:r w:rsidRPr="00985636">
        <w:rPr>
          <w:lang w:val="en-US"/>
        </w:rPr>
        <w:tab/>
      </w:r>
      <w:r w:rsidR="00C66C0F" w:rsidRPr="00985636">
        <w:rPr>
          <w:lang w:val="en-US"/>
        </w:rPr>
        <w:t xml:space="preserve">Resolution </w:t>
      </w:r>
      <w:r w:rsidR="00391B10" w:rsidRPr="00985636">
        <w:rPr>
          <w:lang w:val="en-US"/>
        </w:rPr>
        <w:t xml:space="preserve">on </w:t>
      </w:r>
      <w:proofErr w:type="spellStart"/>
      <w:r w:rsidR="00391B10" w:rsidRPr="00985636">
        <w:rPr>
          <w:lang w:val="en-US"/>
        </w:rPr>
        <w:t>Tyre</w:t>
      </w:r>
      <w:proofErr w:type="spellEnd"/>
      <w:r w:rsidR="00391B10" w:rsidRPr="00985636">
        <w:rPr>
          <w:lang w:val="en-US"/>
        </w:rPr>
        <w:t xml:space="preserve"> Sizes</w:t>
      </w:r>
    </w:p>
    <w:p w:rsidR="00BB224B" w:rsidRDefault="00391B10" w:rsidP="00391B10">
      <w:pPr>
        <w:pStyle w:val="HChG"/>
        <w:rPr>
          <w:lang w:val="en-US"/>
        </w:rPr>
      </w:pPr>
      <w:r>
        <w:rPr>
          <w:lang w:val="en-US"/>
        </w:rPr>
        <w:tab/>
        <w:t>I.</w:t>
      </w:r>
      <w:r>
        <w:rPr>
          <w:lang w:val="en-US"/>
        </w:rPr>
        <w:tab/>
      </w:r>
      <w:proofErr w:type="spellStart"/>
      <w:r>
        <w:rPr>
          <w:lang w:val="en-US"/>
        </w:rPr>
        <w:t>Preambule</w:t>
      </w:r>
      <w:proofErr w:type="spellEnd"/>
      <w:r>
        <w:rPr>
          <w:lang w:val="en-US"/>
        </w:rPr>
        <w:t xml:space="preserve"> </w:t>
      </w:r>
    </w:p>
    <w:p w:rsidR="00391B10" w:rsidRPr="00985636" w:rsidRDefault="00391B10" w:rsidP="00391B10">
      <w:pPr>
        <w:spacing w:after="120"/>
        <w:ind w:left="1134" w:right="1134"/>
        <w:jc w:val="both"/>
        <w:rPr>
          <w:lang w:val="en-US"/>
        </w:rPr>
      </w:pPr>
      <w:r w:rsidRPr="00985636">
        <w:rPr>
          <w:lang w:val="en-US"/>
        </w:rPr>
        <w:t>The World Forum for Harmonization of Vehicle Regulations,</w:t>
      </w:r>
    </w:p>
    <w:p w:rsidR="00391B10" w:rsidRPr="00985636" w:rsidRDefault="00391B10" w:rsidP="00592392">
      <w:pPr>
        <w:spacing w:after="120"/>
        <w:ind w:left="1134" w:right="1134"/>
        <w:jc w:val="both"/>
        <w:rPr>
          <w:lang w:val="en-US"/>
        </w:rPr>
      </w:pPr>
      <w:r w:rsidRPr="00985636">
        <w:rPr>
          <w:i/>
          <w:lang w:val="en-US"/>
        </w:rPr>
        <w:tab/>
        <w:t>Desiring</w:t>
      </w:r>
      <w:r w:rsidRPr="00985636">
        <w:rPr>
          <w:lang w:val="en-US"/>
        </w:rPr>
        <w:t xml:space="preserve"> to establish the greatest uniformity in the regulations, rules and recommendations relating to </w:t>
      </w:r>
      <w:proofErr w:type="spellStart"/>
      <w:r w:rsidR="00985636">
        <w:rPr>
          <w:lang w:val="en-US"/>
        </w:rPr>
        <w:t>t</w:t>
      </w:r>
      <w:r w:rsidR="00985636" w:rsidRPr="00985636">
        <w:rPr>
          <w:lang w:val="en-US"/>
        </w:rPr>
        <w:t>yre</w:t>
      </w:r>
      <w:r w:rsidR="00985636">
        <w:rPr>
          <w:lang w:val="en-US"/>
        </w:rPr>
        <w:t>s</w:t>
      </w:r>
      <w:proofErr w:type="spellEnd"/>
      <w:r w:rsidRPr="00985636">
        <w:rPr>
          <w:lang w:val="en-US"/>
        </w:rPr>
        <w:t>, to improve road safety and the protection of the environment, and to facilitate international road traffic and trade in vehicle</w:t>
      </w:r>
      <w:r w:rsidR="00592392" w:rsidRPr="00985636">
        <w:rPr>
          <w:lang w:val="en-US"/>
        </w:rPr>
        <w:t>s and their equipment and parts</w:t>
      </w:r>
      <w:r w:rsidRPr="00985636">
        <w:rPr>
          <w:lang w:val="en-US"/>
        </w:rPr>
        <w:t>,</w:t>
      </w:r>
    </w:p>
    <w:p w:rsidR="00391B10" w:rsidRPr="00985636" w:rsidRDefault="00391B10" w:rsidP="00592392">
      <w:pPr>
        <w:spacing w:after="120"/>
        <w:ind w:left="1134" w:right="1134"/>
        <w:jc w:val="both"/>
        <w:rPr>
          <w:lang w:val="en-US"/>
        </w:rPr>
      </w:pPr>
      <w:r w:rsidRPr="00985636">
        <w:rPr>
          <w:i/>
          <w:lang w:val="en-US"/>
        </w:rPr>
        <w:tab/>
      </w:r>
      <w:proofErr w:type="gramStart"/>
      <w:r w:rsidRPr="00985636">
        <w:rPr>
          <w:i/>
          <w:lang w:val="en-US"/>
        </w:rPr>
        <w:t>Bearing in mind</w:t>
      </w:r>
      <w:r w:rsidRPr="00985636">
        <w:rPr>
          <w:lang w:val="en-US"/>
        </w:rPr>
        <w:t xml:space="preserve"> that the provisions of the 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20 March 1958 ("1958 Agreement") provides possibilities for harmonization,</w:t>
      </w:r>
      <w:proofErr w:type="gramEnd"/>
    </w:p>
    <w:p w:rsidR="00391B10" w:rsidRPr="00391B10" w:rsidRDefault="00391B10" w:rsidP="00391B10">
      <w:pPr>
        <w:pStyle w:val="SingleTxtG"/>
        <w:rPr>
          <w:lang w:val="en-US"/>
        </w:rPr>
      </w:pPr>
      <w:r w:rsidRPr="00985636">
        <w:rPr>
          <w:i/>
          <w:lang w:val="en-US"/>
        </w:rPr>
        <w:tab/>
      </w:r>
      <w:proofErr w:type="gramStart"/>
      <w:r w:rsidRPr="00985636">
        <w:rPr>
          <w:i/>
          <w:lang w:val="en-US"/>
        </w:rPr>
        <w:t>Recommends</w:t>
      </w:r>
      <w:r w:rsidRPr="00985636">
        <w:rPr>
          <w:lang w:val="en-US"/>
        </w:rPr>
        <w:t xml:space="preserve"> Governments, in order to eliminate divergences as far as possible, to align their domestic legislation </w:t>
      </w:r>
      <w:r w:rsidR="00592392" w:rsidRPr="00985636">
        <w:rPr>
          <w:lang w:val="en-US"/>
        </w:rPr>
        <w:t xml:space="preserve">with the recommendations of this Resolution on </w:t>
      </w:r>
      <w:proofErr w:type="spellStart"/>
      <w:r w:rsidR="00592392" w:rsidRPr="00985636">
        <w:rPr>
          <w:lang w:val="en-US"/>
        </w:rPr>
        <w:t>Tyre</w:t>
      </w:r>
      <w:proofErr w:type="spellEnd"/>
      <w:r w:rsidR="00592392" w:rsidRPr="00985636">
        <w:rPr>
          <w:lang w:val="en-US"/>
        </w:rPr>
        <w:t xml:space="preserve"> Sizes and</w:t>
      </w:r>
      <w:r w:rsidRPr="00985636">
        <w:rPr>
          <w:lang w:val="en-US"/>
        </w:rPr>
        <w:t>, applying them forthwith to the fullest extent possible.</w:t>
      </w:r>
      <w:proofErr w:type="gramEnd"/>
    </w:p>
    <w:p w:rsidR="00BB224B" w:rsidRPr="00985636" w:rsidRDefault="00592392" w:rsidP="00592392">
      <w:pPr>
        <w:pStyle w:val="HChG"/>
        <w:rPr>
          <w:lang w:val="en-US"/>
        </w:rPr>
      </w:pPr>
      <w:bookmarkStart w:id="1" w:name="_Toc365964494"/>
      <w:r w:rsidRPr="00985636">
        <w:rPr>
          <w:lang w:val="en-US"/>
        </w:rPr>
        <w:tab/>
        <w:t>II.</w:t>
      </w:r>
      <w:r w:rsidRPr="00985636">
        <w:rPr>
          <w:lang w:val="en-US"/>
        </w:rPr>
        <w:tab/>
      </w:r>
      <w:r w:rsidR="00BB224B" w:rsidRPr="00985636">
        <w:rPr>
          <w:lang w:val="en-US"/>
        </w:rPr>
        <w:t xml:space="preserve">Theoretical rim, outer diameter and nominal section width of </w:t>
      </w:r>
      <w:proofErr w:type="spellStart"/>
      <w:r w:rsidR="00BB224B" w:rsidRPr="00985636">
        <w:rPr>
          <w:lang w:val="en-US"/>
        </w:rPr>
        <w:t>tyres</w:t>
      </w:r>
      <w:proofErr w:type="spellEnd"/>
      <w:r w:rsidR="00BB224B" w:rsidRPr="00985636">
        <w:rPr>
          <w:lang w:val="en-US"/>
        </w:rPr>
        <w:t xml:space="preserve"> of certain size designations</w:t>
      </w:r>
      <w:bookmarkEnd w:id="1"/>
    </w:p>
    <w:p w:rsidR="00BB224B" w:rsidRPr="00985636" w:rsidRDefault="006F4BB9" w:rsidP="00212496">
      <w:pPr>
        <w:pStyle w:val="Heading1"/>
        <w:numPr>
          <w:ilvl w:val="0"/>
          <w:numId w:val="0"/>
        </w:numPr>
        <w:ind w:left="851" w:firstLine="283"/>
        <w:rPr>
          <w:lang w:val="en-US"/>
        </w:rPr>
      </w:pPr>
      <w:bookmarkStart w:id="2" w:name="_Toc365964521"/>
      <w:r>
        <w:rPr>
          <w:lang w:val="en-US"/>
        </w:rPr>
        <w:t xml:space="preserve">Additions to </w:t>
      </w:r>
      <w:r w:rsidR="00BB224B" w:rsidRPr="00985636">
        <w:rPr>
          <w:lang w:val="en-US"/>
        </w:rPr>
        <w:t xml:space="preserve">Table 7 </w:t>
      </w:r>
      <w:r>
        <w:rPr>
          <w:lang w:val="en-US"/>
        </w:rPr>
        <w:t>of Annex 5 of Regulation No. 106</w:t>
      </w:r>
      <w:r w:rsidR="00BB224B" w:rsidRPr="00985636">
        <w:rPr>
          <w:lang w:val="en-US"/>
        </w:rPr>
        <w:t xml:space="preserve"> </w:t>
      </w:r>
      <w:bookmarkEnd w:id="2"/>
      <w:r w:rsidR="0020680C">
        <w:rPr>
          <w:lang w:val="en-US"/>
        </w:rPr>
        <w:t>(1 of 2)</w:t>
      </w:r>
      <w:r w:rsidR="00C65C95">
        <w:rPr>
          <w:lang w:val="en-US"/>
        </w:rPr>
        <w:t>:</w:t>
      </w:r>
    </w:p>
    <w:p w:rsidR="00BB224B" w:rsidRPr="00985636" w:rsidRDefault="00BB224B" w:rsidP="00212496">
      <w:pPr>
        <w:pStyle w:val="Heading1"/>
        <w:numPr>
          <w:ilvl w:val="0"/>
          <w:numId w:val="0"/>
        </w:numPr>
        <w:spacing w:after="120"/>
        <w:ind w:left="568" w:firstLine="566"/>
        <w:rPr>
          <w:b/>
          <w:lang w:val="en-US"/>
        </w:rPr>
      </w:pPr>
      <w:bookmarkStart w:id="3" w:name="_Toc365964522"/>
      <w:r w:rsidRPr="00985636">
        <w:rPr>
          <w:b/>
          <w:lang w:val="en-US"/>
        </w:rPr>
        <w:t xml:space="preserve">Agricultural high flotation </w:t>
      </w:r>
      <w:bookmarkEnd w:id="3"/>
      <w:proofErr w:type="spellStart"/>
      <w:r w:rsidRPr="00985636">
        <w:rPr>
          <w:b/>
          <w:lang w:val="en-US"/>
        </w:rPr>
        <w:t>tyres</w:t>
      </w:r>
      <w:proofErr w:type="spellEnd"/>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BB224B" w:rsidRPr="00EF64FD" w:rsidTr="00B72F81">
        <w:trPr>
          <w:trHeight w:val="621"/>
          <w:tblHeader/>
        </w:trPr>
        <w:tc>
          <w:tcPr>
            <w:tcW w:w="1907" w:type="dxa"/>
            <w:tcBorders>
              <w:bottom w:val="single" w:sz="12" w:space="0" w:color="auto"/>
            </w:tcBorders>
            <w:vAlign w:val="center"/>
          </w:tcPr>
          <w:p w:rsidR="00BB224B" w:rsidRPr="006F4BB9"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proofErr w:type="spellStart"/>
            <w:r w:rsidRPr="006F4BB9">
              <w:rPr>
                <w:i/>
                <w:sz w:val="16"/>
                <w:szCs w:val="16"/>
                <w:lang w:val="en-US"/>
              </w:rPr>
              <w:t>Tyre</w:t>
            </w:r>
            <w:proofErr w:type="spellEnd"/>
            <w:r w:rsidRPr="006F4BB9">
              <w:rPr>
                <w:i/>
                <w:sz w:val="16"/>
                <w:szCs w:val="16"/>
                <w:lang w:val="en-US"/>
              </w:rPr>
              <w:t xml:space="preserve"> size</w:t>
            </w:r>
            <w:r w:rsidRPr="006F4BB9">
              <w:rPr>
                <w:i/>
                <w:sz w:val="16"/>
                <w:szCs w:val="16"/>
                <w:lang w:val="en-US"/>
              </w:rPr>
              <w:br/>
              <w:t>designation</w:t>
            </w:r>
          </w:p>
        </w:tc>
        <w:tc>
          <w:tcPr>
            <w:tcW w:w="177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bottom w:val="single" w:sz="1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6F4BB9">
              <w:rPr>
                <w:i/>
                <w:sz w:val="16"/>
                <w:szCs w:val="16"/>
                <w:lang w:val="en-US"/>
              </w:rPr>
              <w:t>Overall</w:t>
            </w:r>
            <w:r w:rsidRPr="006F4BB9">
              <w:rPr>
                <w:i/>
                <w:sz w:val="16"/>
                <w:szCs w:val="16"/>
                <w:lang w:val="en-US"/>
              </w:rPr>
              <w:br/>
            </w:r>
            <w:proofErr w:type="spellStart"/>
            <w:r w:rsidRPr="00426D3A">
              <w:rPr>
                <w:i/>
                <w:sz w:val="16"/>
                <w:szCs w:val="16"/>
              </w:rPr>
              <w:t>diameter</w:t>
            </w:r>
            <w:proofErr w:type="spellEnd"/>
            <w:r w:rsidRPr="00426D3A">
              <w:rPr>
                <w:i/>
                <w:sz w:val="16"/>
                <w:szCs w:val="16"/>
              </w:rPr>
              <w:t xml:space="preserve"> (D)</w:t>
            </w:r>
            <w:r w:rsidRPr="00426D3A">
              <w:rPr>
                <w:i/>
                <w:sz w:val="16"/>
                <w:szCs w:val="16"/>
              </w:rPr>
              <w:br/>
              <w:t>(mm)</w:t>
            </w:r>
          </w:p>
        </w:tc>
        <w:tc>
          <w:tcPr>
            <w:tcW w:w="1453"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6F4BB9" w:rsidRPr="00DF026A" w:rsidTr="00B72F81">
        <w:tc>
          <w:tcPr>
            <w:tcW w:w="19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24</w:t>
            </w:r>
            <w:r w:rsidR="00DF026A">
              <w:rPr>
                <w:sz w:val="18"/>
                <w:szCs w:val="18"/>
              </w:rPr>
              <w:t>X</w:t>
            </w:r>
            <w:r w:rsidRPr="00DF026A">
              <w:rPr>
                <w:sz w:val="18"/>
                <w:szCs w:val="18"/>
              </w:rPr>
              <w:t>8.00-12</w:t>
            </w:r>
          </w:p>
        </w:tc>
        <w:tc>
          <w:tcPr>
            <w:tcW w:w="177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610</w:t>
            </w:r>
          </w:p>
        </w:tc>
        <w:tc>
          <w:tcPr>
            <w:tcW w:w="1453"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24</w:t>
            </w:r>
            <w:r w:rsidR="00DF026A">
              <w:rPr>
                <w:sz w:val="18"/>
                <w:szCs w:val="18"/>
              </w:rPr>
              <w:t>X</w:t>
            </w:r>
            <w:r w:rsidRPr="00DF026A">
              <w:rPr>
                <w:sz w:val="18"/>
                <w:szCs w:val="18"/>
              </w:rPr>
              <w:t>10.00-12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610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26</w:t>
            </w:r>
            <w:r w:rsidR="00DF026A">
              <w:rPr>
                <w:sz w:val="18"/>
                <w:szCs w:val="18"/>
              </w:rPr>
              <w:t>X</w:t>
            </w:r>
            <w:r w:rsidRPr="00DF026A">
              <w:rPr>
                <w:sz w:val="18"/>
                <w:szCs w:val="18"/>
              </w:rPr>
              <w:t>8.00-12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660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26</w:t>
            </w:r>
            <w:r w:rsidR="00DF026A">
              <w:rPr>
                <w:sz w:val="18"/>
                <w:szCs w:val="18"/>
              </w:rPr>
              <w:t>X</w:t>
            </w:r>
            <w:r w:rsidRPr="00DF026A">
              <w:rPr>
                <w:sz w:val="18"/>
                <w:szCs w:val="18"/>
              </w:rPr>
              <w:t>8.00-14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660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27</w:t>
            </w:r>
            <w:r w:rsidR="00DF026A">
              <w:rPr>
                <w:sz w:val="18"/>
                <w:szCs w:val="18"/>
              </w:rPr>
              <w:t>X</w:t>
            </w:r>
            <w:r w:rsidRPr="00DF026A">
              <w:rPr>
                <w:sz w:val="18"/>
                <w:szCs w:val="18"/>
              </w:rPr>
              <w:t>10.00-14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686</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27</w:t>
            </w:r>
            <w:r w:rsidR="00DF026A">
              <w:rPr>
                <w:sz w:val="18"/>
                <w:szCs w:val="18"/>
              </w:rPr>
              <w:t>X</w:t>
            </w:r>
            <w:r w:rsidRPr="00DF026A">
              <w:rPr>
                <w:sz w:val="18"/>
                <w:szCs w:val="18"/>
              </w:rPr>
              <w:t>12.00-14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686</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9.00-14</w:t>
            </w:r>
          </w:p>
        </w:tc>
        <w:tc>
          <w:tcPr>
            <w:tcW w:w="177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10.00-12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10.00-15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11.00-14</w:t>
            </w:r>
          </w:p>
        </w:tc>
        <w:tc>
          <w:tcPr>
            <w:tcW w:w="177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11.00-15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12.00-12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9.00-16</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406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9.50-15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240</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11.00-14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11.00-16</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406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9.00-14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10.00-14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10.00-15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11.00-14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bl>
    <w:p w:rsidR="0020680C" w:rsidRPr="00C65C95" w:rsidRDefault="00BB224B" w:rsidP="00C65C95">
      <w:pPr>
        <w:pStyle w:val="Heading1"/>
        <w:numPr>
          <w:ilvl w:val="0"/>
          <w:numId w:val="0"/>
        </w:numPr>
        <w:ind w:left="851" w:firstLine="283"/>
        <w:rPr>
          <w:bCs/>
          <w:lang w:val="en-US" w:eastAsia="ar-SA"/>
        </w:rPr>
      </w:pPr>
      <w:r w:rsidRPr="00B72F81">
        <w:rPr>
          <w:lang w:val="en-US"/>
        </w:rPr>
        <w:br w:type="page"/>
      </w:r>
      <w:r w:rsidR="0020680C">
        <w:rPr>
          <w:lang w:val="en-US"/>
        </w:rPr>
        <w:lastRenderedPageBreak/>
        <w:t xml:space="preserve">Additions to </w:t>
      </w:r>
      <w:r w:rsidR="0020680C" w:rsidRPr="00985636">
        <w:rPr>
          <w:lang w:val="en-US"/>
        </w:rPr>
        <w:t xml:space="preserve">Table 7 </w:t>
      </w:r>
      <w:r w:rsidR="0020680C">
        <w:rPr>
          <w:lang w:val="en-US"/>
        </w:rPr>
        <w:t>of Annex 5 of Regulation No. 106</w:t>
      </w:r>
      <w:r w:rsidR="0020680C" w:rsidRPr="00985636">
        <w:rPr>
          <w:lang w:val="en-US"/>
        </w:rPr>
        <w:t xml:space="preserve"> </w:t>
      </w:r>
      <w:r w:rsidR="00C6550F">
        <w:rPr>
          <w:lang w:val="en-US"/>
        </w:rPr>
        <w:t>(2 of 2)</w:t>
      </w:r>
      <w:r w:rsidR="00C65C95">
        <w:rPr>
          <w:lang w:val="en-US"/>
        </w:rPr>
        <w:t>:</w:t>
      </w:r>
    </w:p>
    <w:p w:rsidR="0020680C" w:rsidRPr="00985636" w:rsidRDefault="0020680C" w:rsidP="0020680C">
      <w:pPr>
        <w:pStyle w:val="Heading1"/>
        <w:numPr>
          <w:ilvl w:val="0"/>
          <w:numId w:val="0"/>
        </w:numPr>
        <w:spacing w:after="120"/>
        <w:ind w:left="568" w:firstLine="566"/>
        <w:rPr>
          <w:b/>
          <w:lang w:val="en-US"/>
        </w:rPr>
      </w:pPr>
      <w:r w:rsidRPr="00985636">
        <w:rPr>
          <w:b/>
          <w:lang w:val="en-US"/>
        </w:rPr>
        <w:t xml:space="preserve">Agricultural high flotation </w:t>
      </w:r>
      <w:proofErr w:type="spellStart"/>
      <w:r w:rsidRPr="00985636">
        <w:rPr>
          <w:b/>
          <w:lang w:val="en-US"/>
        </w:rPr>
        <w:t>tyres</w:t>
      </w:r>
      <w:proofErr w:type="spellEnd"/>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20680C" w:rsidRPr="00EF64FD" w:rsidTr="00C6550F">
        <w:trPr>
          <w:trHeight w:val="621"/>
          <w:tblHeader/>
        </w:trPr>
        <w:tc>
          <w:tcPr>
            <w:tcW w:w="1907" w:type="dxa"/>
            <w:tcBorders>
              <w:bottom w:val="single" w:sz="12" w:space="0" w:color="auto"/>
            </w:tcBorders>
            <w:vAlign w:val="center"/>
          </w:tcPr>
          <w:p w:rsidR="0020680C" w:rsidRPr="006F4BB9" w:rsidRDefault="0020680C" w:rsidP="00313EED">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proofErr w:type="spellStart"/>
            <w:r w:rsidRPr="006F4BB9">
              <w:rPr>
                <w:i/>
                <w:sz w:val="16"/>
                <w:szCs w:val="16"/>
                <w:lang w:val="en-US"/>
              </w:rPr>
              <w:t>Tyre</w:t>
            </w:r>
            <w:proofErr w:type="spellEnd"/>
            <w:r w:rsidRPr="006F4BB9">
              <w:rPr>
                <w:i/>
                <w:sz w:val="16"/>
                <w:szCs w:val="16"/>
                <w:lang w:val="en-US"/>
              </w:rPr>
              <w:t xml:space="preserve"> size</w:t>
            </w:r>
            <w:r w:rsidRPr="006F4BB9">
              <w:rPr>
                <w:i/>
                <w:sz w:val="16"/>
                <w:szCs w:val="16"/>
                <w:lang w:val="en-US"/>
              </w:rPr>
              <w:br/>
              <w:t>designation</w:t>
            </w:r>
          </w:p>
        </w:tc>
        <w:tc>
          <w:tcPr>
            <w:tcW w:w="1777"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bottom w:val="single" w:sz="12" w:space="0" w:color="auto"/>
            </w:tcBorders>
            <w:vAlign w:val="center"/>
          </w:tcPr>
          <w:p w:rsidR="0020680C" w:rsidRPr="00426D3A" w:rsidRDefault="0020680C" w:rsidP="00313EED">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6F4BB9">
              <w:rPr>
                <w:i/>
                <w:sz w:val="16"/>
                <w:szCs w:val="16"/>
                <w:lang w:val="en-US"/>
              </w:rPr>
              <w:t>Overall</w:t>
            </w:r>
            <w:r w:rsidRPr="006F4BB9">
              <w:rPr>
                <w:i/>
                <w:sz w:val="16"/>
                <w:szCs w:val="16"/>
                <w:lang w:val="en-US"/>
              </w:rPr>
              <w:br/>
            </w:r>
            <w:proofErr w:type="spellStart"/>
            <w:r w:rsidRPr="00426D3A">
              <w:rPr>
                <w:i/>
                <w:sz w:val="16"/>
                <w:szCs w:val="16"/>
              </w:rPr>
              <w:t>diameter</w:t>
            </w:r>
            <w:proofErr w:type="spellEnd"/>
            <w:r w:rsidRPr="00426D3A">
              <w:rPr>
                <w:i/>
                <w:sz w:val="16"/>
                <w:szCs w:val="16"/>
              </w:rPr>
              <w:t xml:space="preserve"> (D)</w:t>
            </w:r>
            <w:r w:rsidRPr="00426D3A">
              <w:rPr>
                <w:i/>
                <w:sz w:val="16"/>
                <w:szCs w:val="16"/>
              </w:rPr>
              <w:br/>
              <w:t>(mm)</w:t>
            </w:r>
          </w:p>
        </w:tc>
        <w:tc>
          <w:tcPr>
            <w:tcW w:w="1453"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20680C" w:rsidRPr="0020680C" w:rsidTr="00C6550F">
        <w:tc>
          <w:tcPr>
            <w:tcW w:w="19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31X10.00-17</w:t>
            </w:r>
          </w:p>
        </w:tc>
        <w:tc>
          <w:tcPr>
            <w:tcW w:w="177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787</w:t>
            </w:r>
          </w:p>
        </w:tc>
        <w:tc>
          <w:tcPr>
            <w:tcW w:w="1453"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432</w:t>
            </w:r>
          </w:p>
        </w:tc>
      </w:tr>
      <w:tr w:rsidR="0020680C" w:rsidRPr="0020680C" w:rsidTr="00C6550F">
        <w:tc>
          <w:tcPr>
            <w:tcW w:w="19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32X10.00-16</w:t>
            </w:r>
          </w:p>
        </w:tc>
        <w:tc>
          <w:tcPr>
            <w:tcW w:w="177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813</w:t>
            </w:r>
          </w:p>
        </w:tc>
        <w:tc>
          <w:tcPr>
            <w:tcW w:w="1453"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406</w:t>
            </w:r>
          </w:p>
        </w:tc>
      </w:tr>
      <w:tr w:rsidR="0020680C" w:rsidRPr="0020680C" w:rsidTr="00C6550F">
        <w:tc>
          <w:tcPr>
            <w:tcW w:w="19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32X10.00-18</w:t>
            </w:r>
          </w:p>
        </w:tc>
        <w:tc>
          <w:tcPr>
            <w:tcW w:w="177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813</w:t>
            </w:r>
          </w:p>
        </w:tc>
        <w:tc>
          <w:tcPr>
            <w:tcW w:w="1453"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457</w:t>
            </w:r>
          </w:p>
        </w:tc>
      </w:tr>
      <w:tr w:rsidR="00C6550F" w:rsidRPr="00EF64FD" w:rsidTr="00C65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351" w:type="dxa"/>
            <w:gridSpan w:val="5"/>
            <w:tcBorders>
              <w:top w:val="single" w:sz="12" w:space="0" w:color="auto"/>
            </w:tcBorders>
          </w:tcPr>
          <w:p w:rsidR="00C6550F" w:rsidRPr="00C6550F" w:rsidRDefault="00C65C95" w:rsidP="00C65C95">
            <w:pPr>
              <w:widowControl w:val="0"/>
              <w:tabs>
                <w:tab w:val="left" w:pos="297"/>
                <w:tab w:val="left" w:pos="851"/>
              </w:tabs>
              <w:suppressAutoHyphens w:val="0"/>
              <w:autoSpaceDE w:val="0"/>
              <w:autoSpaceDN w:val="0"/>
              <w:adjustRightInd w:val="0"/>
              <w:spacing w:before="120" w:line="240" w:lineRule="auto"/>
              <w:jc w:val="both"/>
              <w:rPr>
                <w:i/>
                <w:sz w:val="18"/>
                <w:szCs w:val="18"/>
                <w:lang w:val="en-US"/>
              </w:rPr>
            </w:pPr>
            <w:r>
              <w:rPr>
                <w:i/>
                <w:sz w:val="18"/>
                <w:szCs w:val="18"/>
                <w:lang w:val="en-US"/>
              </w:rPr>
              <w:t>Notes:</w:t>
            </w:r>
          </w:p>
          <w:p w:rsidR="00C6550F" w:rsidRPr="00965BDF" w:rsidRDefault="00C6550F" w:rsidP="00313EED">
            <w:pPr>
              <w:pStyle w:val="notessoustab"/>
              <w:tabs>
                <w:tab w:val="left" w:pos="297"/>
              </w:tabs>
              <w:ind w:left="0" w:firstLine="0"/>
              <w:rPr>
                <w:sz w:val="18"/>
                <w:szCs w:val="18"/>
                <w:lang w:val="en-GB"/>
              </w:rPr>
            </w:pPr>
            <w:r w:rsidRPr="00965BDF">
              <w:rPr>
                <w:sz w:val="18"/>
                <w:szCs w:val="18"/>
                <w:lang w:val="en-GB"/>
              </w:rPr>
              <w:t>1.</w:t>
            </w:r>
            <w:r w:rsidRPr="00965BDF">
              <w:rPr>
                <w:sz w:val="18"/>
                <w:szCs w:val="18"/>
                <w:lang w:val="en-GB"/>
              </w:rPr>
              <w:tab/>
              <w:t xml:space="preserve">These Tyres </w:t>
            </w:r>
            <w:proofErr w:type="gramStart"/>
            <w:r w:rsidRPr="00965BDF">
              <w:rPr>
                <w:sz w:val="18"/>
                <w:szCs w:val="18"/>
                <w:lang w:val="en-GB"/>
              </w:rPr>
              <w:t>may be classified</w:t>
            </w:r>
            <w:proofErr w:type="gramEnd"/>
            <w:r w:rsidRPr="00965BDF">
              <w:rPr>
                <w:sz w:val="18"/>
                <w:szCs w:val="18"/>
                <w:lang w:val="en-GB"/>
              </w:rPr>
              <w:t xml:space="preserve"> in categories of use "Tractor Drive Wheels" or "Implement".</w:t>
            </w:r>
          </w:p>
          <w:p w:rsidR="00C6550F" w:rsidRPr="00965BDF" w:rsidRDefault="00C6550F" w:rsidP="00313EED">
            <w:pPr>
              <w:pStyle w:val="notessoustab"/>
              <w:tabs>
                <w:tab w:val="left" w:pos="297"/>
              </w:tabs>
              <w:ind w:left="284" w:hanging="284"/>
              <w:rPr>
                <w:sz w:val="18"/>
                <w:szCs w:val="18"/>
                <w:lang w:val="en-GB"/>
              </w:rPr>
            </w:pPr>
            <w:r w:rsidRPr="00965BDF">
              <w:rPr>
                <w:sz w:val="18"/>
                <w:szCs w:val="18"/>
                <w:lang w:val="en-GB"/>
              </w:rPr>
              <w:t>2.</w:t>
            </w:r>
            <w:r w:rsidRPr="00965BDF">
              <w:rPr>
                <w:sz w:val="18"/>
                <w:szCs w:val="18"/>
                <w:lang w:val="en-GB"/>
              </w:rPr>
              <w:tab/>
              <w:t>Implement Tyres are identified either by suffix "IMP" placed after the Tyre size designation (e.g. 11x4.00 - 4 IMP)or by the word "IMPLEMENT" marked on the Tyre sidewalls.</w:t>
            </w:r>
          </w:p>
          <w:p w:rsidR="00C6550F" w:rsidRPr="00965BDF" w:rsidRDefault="00C6550F" w:rsidP="00313EED">
            <w:pPr>
              <w:pStyle w:val="notessoustab"/>
              <w:tabs>
                <w:tab w:val="left" w:pos="297"/>
              </w:tabs>
              <w:ind w:left="0" w:firstLine="0"/>
              <w:rPr>
                <w:sz w:val="18"/>
                <w:szCs w:val="18"/>
                <w:lang w:val="en-GB"/>
              </w:rPr>
            </w:pPr>
            <w:r w:rsidRPr="00965BDF">
              <w:rPr>
                <w:sz w:val="18"/>
                <w:szCs w:val="18"/>
                <w:lang w:val="en-GB"/>
              </w:rPr>
              <w:t>3.</w:t>
            </w:r>
            <w:r w:rsidRPr="00965BDF">
              <w:rPr>
                <w:sz w:val="18"/>
                <w:szCs w:val="18"/>
                <w:lang w:val="en-GB"/>
              </w:rPr>
              <w:tab/>
              <w:t xml:space="preserve">Tyres of radial structure are identified by means of the letter "R" in place </w:t>
            </w:r>
            <w:proofErr w:type="gramStart"/>
            <w:r w:rsidRPr="00965BDF">
              <w:rPr>
                <w:sz w:val="18"/>
                <w:szCs w:val="18"/>
                <w:lang w:val="en-GB"/>
              </w:rPr>
              <w:t>of "</w:t>
            </w:r>
            <w:proofErr w:type="gramEnd"/>
            <w:r w:rsidRPr="00965BDF">
              <w:rPr>
                <w:sz w:val="18"/>
                <w:szCs w:val="18"/>
                <w:lang w:val="en-GB"/>
              </w:rPr>
              <w:t xml:space="preserve"> - " (e.g. 11x4.00 R 4).</w:t>
            </w:r>
          </w:p>
          <w:p w:rsidR="00C6550F" w:rsidRPr="00965BDF" w:rsidRDefault="00C6550F" w:rsidP="00313EED">
            <w:pPr>
              <w:pStyle w:val="notessoustab"/>
              <w:tabs>
                <w:tab w:val="left" w:pos="297"/>
              </w:tabs>
              <w:ind w:left="0" w:firstLine="0"/>
              <w:rPr>
                <w:bCs/>
                <w:sz w:val="18"/>
                <w:szCs w:val="18"/>
                <w:lang w:val="en-GB"/>
              </w:rPr>
            </w:pPr>
            <w:r w:rsidRPr="00965BDF">
              <w:rPr>
                <w:bCs/>
                <w:sz w:val="18"/>
                <w:szCs w:val="18"/>
                <w:lang w:val="en-GB"/>
              </w:rPr>
              <w:t>4.</w:t>
            </w:r>
            <w:r w:rsidRPr="00965BDF">
              <w:rPr>
                <w:bCs/>
                <w:sz w:val="18"/>
                <w:szCs w:val="18"/>
                <w:lang w:val="en-GB"/>
              </w:rPr>
              <w:tab/>
              <w:t xml:space="preserve">Coefficient "b" for the calculation of the Overall diameter </w:t>
            </w:r>
            <w:proofErr w:type="spellStart"/>
            <w:r w:rsidRPr="00965BDF">
              <w:rPr>
                <w:bCs/>
                <w:sz w:val="18"/>
                <w:szCs w:val="18"/>
                <w:lang w:val="en-GB"/>
              </w:rPr>
              <w:t>Dmax</w:t>
            </w:r>
            <w:proofErr w:type="spellEnd"/>
            <w:r w:rsidRPr="00965BDF">
              <w:rPr>
                <w:bCs/>
                <w:sz w:val="18"/>
                <w:szCs w:val="18"/>
                <w:lang w:val="en-GB"/>
              </w:rPr>
              <w:t>:</w:t>
            </w:r>
          </w:p>
          <w:p w:rsidR="00C6550F" w:rsidRPr="00965BDF" w:rsidRDefault="00C6550F" w:rsidP="00313EED">
            <w:pPr>
              <w:pStyle w:val="notessoustab"/>
              <w:tabs>
                <w:tab w:val="clear" w:pos="851"/>
                <w:tab w:val="left" w:pos="297"/>
                <w:tab w:val="left" w:pos="709"/>
              </w:tabs>
              <w:ind w:left="0" w:firstLine="0"/>
              <w:rPr>
                <w:bCs/>
                <w:sz w:val="18"/>
                <w:szCs w:val="18"/>
                <w:lang w:val="en-GB"/>
              </w:rPr>
            </w:pPr>
            <w:r w:rsidRPr="00965BDF">
              <w:rPr>
                <w:bCs/>
                <w:sz w:val="18"/>
                <w:szCs w:val="18"/>
                <w:lang w:val="en-GB"/>
              </w:rPr>
              <w:tab/>
              <w:t>(a)</w:t>
            </w:r>
            <w:r w:rsidRPr="00965BDF">
              <w:rPr>
                <w:bCs/>
                <w:sz w:val="18"/>
                <w:szCs w:val="18"/>
                <w:lang w:val="en-GB"/>
              </w:rPr>
              <w:tab/>
              <w:t>1.12 for tyres with Nominal rim Diameter (d) less than 380 mm;</w:t>
            </w:r>
          </w:p>
          <w:p w:rsidR="00C6550F" w:rsidRPr="00965BDF" w:rsidRDefault="00C6550F" w:rsidP="00313EED">
            <w:pPr>
              <w:pStyle w:val="notessoustab"/>
              <w:tabs>
                <w:tab w:val="clear" w:pos="851"/>
                <w:tab w:val="left" w:pos="297"/>
                <w:tab w:val="left" w:pos="709"/>
              </w:tabs>
              <w:ind w:left="0" w:firstLine="0"/>
              <w:rPr>
                <w:sz w:val="18"/>
                <w:szCs w:val="18"/>
                <w:lang w:val="en-GB"/>
              </w:rPr>
            </w:pPr>
            <w:r w:rsidRPr="00965BDF">
              <w:rPr>
                <w:bCs/>
                <w:sz w:val="18"/>
                <w:szCs w:val="18"/>
                <w:lang w:val="en-GB"/>
              </w:rPr>
              <w:tab/>
            </w:r>
            <w:proofErr w:type="gramStart"/>
            <w:r w:rsidRPr="00965BDF">
              <w:rPr>
                <w:bCs/>
                <w:sz w:val="18"/>
                <w:szCs w:val="18"/>
                <w:lang w:val="en-GB"/>
              </w:rPr>
              <w:t>(b)</w:t>
            </w:r>
            <w:r w:rsidRPr="00965BDF">
              <w:rPr>
                <w:bCs/>
                <w:sz w:val="18"/>
                <w:szCs w:val="18"/>
                <w:lang w:val="en-GB"/>
              </w:rPr>
              <w:tab/>
              <w:t>1.10 for tyres with Nominal rim Diameter (d) 381 mm and above</w:t>
            </w:r>
            <w:r w:rsidRPr="00965BDF">
              <w:rPr>
                <w:sz w:val="18"/>
                <w:szCs w:val="18"/>
                <w:lang w:val="en-GB"/>
              </w:rPr>
              <w:t>.</w:t>
            </w:r>
            <w:proofErr w:type="gramEnd"/>
          </w:p>
          <w:p w:rsidR="00C6550F" w:rsidRPr="00C6550F" w:rsidRDefault="00C6550F" w:rsidP="00313EED">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en-US"/>
              </w:rPr>
            </w:pPr>
          </w:p>
        </w:tc>
      </w:tr>
    </w:tbl>
    <w:p w:rsidR="00DF026A" w:rsidRPr="00985636" w:rsidRDefault="00DF026A" w:rsidP="00DF026A">
      <w:pPr>
        <w:pStyle w:val="Heading1"/>
        <w:numPr>
          <w:ilvl w:val="0"/>
          <w:numId w:val="0"/>
        </w:numPr>
        <w:ind w:left="851" w:firstLine="283"/>
        <w:rPr>
          <w:lang w:val="en-US"/>
        </w:rPr>
      </w:pPr>
      <w:r>
        <w:rPr>
          <w:lang w:val="en-US"/>
        </w:rPr>
        <w:t xml:space="preserve">Additions to </w:t>
      </w:r>
      <w:r w:rsidRPr="00985636">
        <w:rPr>
          <w:lang w:val="en-US"/>
        </w:rPr>
        <w:t xml:space="preserve">Table </w:t>
      </w:r>
      <w:r>
        <w:rPr>
          <w:lang w:val="en-US"/>
        </w:rPr>
        <w:t>9</w:t>
      </w:r>
      <w:r w:rsidRPr="00985636">
        <w:rPr>
          <w:lang w:val="en-US"/>
        </w:rPr>
        <w:t xml:space="preserve"> </w:t>
      </w:r>
      <w:r>
        <w:rPr>
          <w:lang w:val="en-US"/>
        </w:rPr>
        <w:t>of Annex 5 of Regulation No. 106</w:t>
      </w:r>
      <w:r w:rsidR="00C65C95">
        <w:rPr>
          <w:lang w:val="en-US"/>
        </w:rPr>
        <w:t>:</w:t>
      </w:r>
    </w:p>
    <w:p w:rsidR="00BB224B" w:rsidRPr="00D85B09" w:rsidRDefault="00BB224B" w:rsidP="00D85B09">
      <w:pPr>
        <w:pStyle w:val="Heading1"/>
        <w:numPr>
          <w:ilvl w:val="0"/>
          <w:numId w:val="0"/>
        </w:numPr>
        <w:spacing w:after="120"/>
        <w:ind w:left="568" w:firstLine="566"/>
        <w:rPr>
          <w:b/>
          <w:lang w:val="en-US"/>
        </w:rPr>
      </w:pPr>
      <w:r w:rsidRPr="00B01FA2">
        <w:rPr>
          <w:b/>
          <w:bCs/>
          <w:lang w:eastAsia="ar-SA"/>
        </w:rPr>
        <w:t>Tyres for construction applications (</w:t>
      </w:r>
      <w:proofErr w:type="spellStart"/>
      <w:r w:rsidRPr="00B01FA2">
        <w:rPr>
          <w:b/>
          <w:bCs/>
          <w:lang w:eastAsia="ar-SA"/>
        </w:rPr>
        <w:t>industrial</w:t>
      </w:r>
      <w:proofErr w:type="spellEnd"/>
      <w:r w:rsidRPr="00B01FA2">
        <w:rPr>
          <w:b/>
          <w:bCs/>
          <w:lang w:eastAsia="ar-SA"/>
        </w:rPr>
        <w:t xml:space="preserve"> </w:t>
      </w:r>
      <w:proofErr w:type="spellStart"/>
      <w:r w:rsidRPr="00B01FA2">
        <w:rPr>
          <w:b/>
          <w:bCs/>
          <w:lang w:eastAsia="ar-SA"/>
        </w:rPr>
        <w:t>tractors</w:t>
      </w:r>
      <w:proofErr w:type="spellEnd"/>
      <w:r w:rsidRPr="00B01FA2">
        <w:rPr>
          <w:b/>
          <w:bCs/>
          <w:lang w:eastAsia="ar-SA"/>
        </w:rPr>
        <w:t>)</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208"/>
        <w:gridCol w:w="1027"/>
        <w:gridCol w:w="664"/>
        <w:gridCol w:w="872"/>
        <w:gridCol w:w="664"/>
        <w:gridCol w:w="872"/>
        <w:gridCol w:w="2206"/>
      </w:tblGrid>
      <w:tr w:rsidR="00BB224B" w:rsidRPr="00EF64FD" w:rsidTr="003B2C18">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proofErr w:type="spellStart"/>
            <w:r w:rsidRPr="00B01FA2">
              <w:rPr>
                <w:i/>
                <w:sz w:val="16"/>
                <w:szCs w:val="16"/>
              </w:rPr>
              <w:t>Tyre</w:t>
            </w:r>
            <w:proofErr w:type="spellEnd"/>
            <w:r w:rsidRPr="00B01FA2">
              <w:rPr>
                <w:i/>
                <w:sz w:val="16"/>
                <w:szCs w:val="16"/>
              </w:rPr>
              <w:t xml:space="preserve"> size</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proofErr w:type="spellStart"/>
            <w:r w:rsidRPr="00B01FA2">
              <w:rPr>
                <w:i/>
                <w:sz w:val="16"/>
                <w:szCs w:val="16"/>
              </w:rPr>
              <w:t>designation</w:t>
            </w:r>
            <w:proofErr w:type="spellEnd"/>
          </w:p>
        </w:tc>
        <w:tc>
          <w:tcPr>
            <w:tcW w:w="0" w:type="auto"/>
            <w:vMerge w:val="restart"/>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Theoretical</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rim width</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section</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width (S1)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proofErr w:type="spellStart"/>
            <w:r w:rsidRPr="00B01FA2">
              <w:rPr>
                <w:i/>
                <w:sz w:val="16"/>
                <w:szCs w:val="16"/>
              </w:rPr>
              <w:t>Overall</w:t>
            </w:r>
            <w:proofErr w:type="spellEnd"/>
            <w:r w:rsidRPr="00B01FA2">
              <w:rPr>
                <w:i/>
                <w:sz w:val="16"/>
                <w:szCs w:val="16"/>
              </w:rPr>
              <w:t xml:space="preserve"> </w:t>
            </w:r>
            <w:r w:rsidRPr="00B01FA2">
              <w:rPr>
                <w:i/>
                <w:sz w:val="16"/>
                <w:szCs w:val="16"/>
              </w:rPr>
              <w:br/>
            </w:r>
            <w:proofErr w:type="spellStart"/>
            <w:r w:rsidRPr="00B01FA2">
              <w:rPr>
                <w:i/>
                <w:sz w:val="16"/>
                <w:szCs w:val="16"/>
              </w:rPr>
              <w:t>diameter</w:t>
            </w:r>
            <w:proofErr w:type="spellEnd"/>
            <w:r w:rsidRPr="00B01FA2">
              <w:rPr>
                <w:i/>
                <w:sz w:val="16"/>
                <w:szCs w:val="16"/>
              </w:rPr>
              <w:t xml:space="preserve"> (D)</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(mm)</w:t>
            </w:r>
          </w:p>
        </w:tc>
        <w:tc>
          <w:tcPr>
            <w:tcW w:w="1893" w:type="dxa"/>
            <w:tcBorders>
              <w:top w:val="single" w:sz="6" w:space="0" w:color="auto"/>
              <w:left w:val="single" w:sz="6" w:space="0" w:color="auto"/>
              <w:right w:val="single" w:sz="4"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rim</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diameter (d)</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(mm)</w:t>
            </w:r>
          </w:p>
        </w:tc>
      </w:tr>
      <w:tr w:rsidR="00BB224B" w:rsidRPr="00B01FA2" w:rsidTr="003B2C18">
        <w:trPr>
          <w:trHeight w:val="103"/>
        </w:trPr>
        <w:tc>
          <w:tcPr>
            <w:tcW w:w="0" w:type="auto"/>
            <w:vMerge/>
            <w:tcBorders>
              <w:left w:val="single" w:sz="4" w:space="0" w:color="auto"/>
              <w:bottom w:val="single" w:sz="12" w:space="0" w:color="auto"/>
              <w:right w:val="single" w:sz="6" w:space="0" w:color="auto"/>
            </w:tcBorders>
            <w:shd w:val="clear" w:color="auto" w:fill="FFFFFF"/>
          </w:tcPr>
          <w:p w:rsidR="00BB224B" w:rsidRPr="00B01FA2" w:rsidRDefault="00BB224B" w:rsidP="00391B10">
            <w:pPr>
              <w:spacing w:after="120" w:line="240" w:lineRule="auto"/>
              <w:ind w:left="113"/>
              <w:jc w:val="center"/>
              <w:rPr>
                <w:bCs/>
                <w:i/>
                <w:color w:val="000000"/>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BB224B" w:rsidRPr="00B01FA2" w:rsidRDefault="00BB224B" w:rsidP="00391B10">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1893" w:type="dxa"/>
            <w:tcBorders>
              <w:top w:val="single" w:sz="6" w:space="0" w:color="auto"/>
              <w:left w:val="single" w:sz="6" w:space="0" w:color="auto"/>
              <w:bottom w:val="single" w:sz="12" w:space="0" w:color="auto"/>
              <w:right w:val="single" w:sz="4" w:space="0" w:color="auto"/>
            </w:tcBorders>
            <w:shd w:val="clear" w:color="auto" w:fill="FFFFFF"/>
          </w:tcPr>
          <w:p w:rsidR="00BB224B" w:rsidRPr="00B01FA2" w:rsidRDefault="00BB224B" w:rsidP="00391B10">
            <w:pPr>
              <w:tabs>
                <w:tab w:val="left" w:pos="720"/>
                <w:tab w:val="left" w:pos="1440"/>
              </w:tabs>
              <w:spacing w:before="4" w:after="4" w:line="240" w:lineRule="auto"/>
              <w:ind w:left="113"/>
              <w:jc w:val="center"/>
              <w:rPr>
                <w:bCs/>
                <w:i/>
                <w:color w:val="000000"/>
                <w:sz w:val="18"/>
                <w:szCs w:val="18"/>
                <w:lang w:val="it-IT" w:eastAsia="ar-SA"/>
              </w:rPr>
            </w:pPr>
          </w:p>
        </w:tc>
      </w:tr>
      <w:tr w:rsidR="00BB224B" w:rsidRPr="00B01FA2" w:rsidTr="003B2C18">
        <w:tc>
          <w:tcPr>
            <w:tcW w:w="0" w:type="auto"/>
            <w:tcBorders>
              <w:top w:val="single" w:sz="12" w:space="0" w:color="auto"/>
              <w:left w:val="single" w:sz="6"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3B2C18">
              <w:rPr>
                <w:sz w:val="18"/>
                <w:szCs w:val="18"/>
              </w:rPr>
              <w:t>11L-16 IND</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Pr>
                <w:sz w:val="18"/>
                <w:szCs w:val="18"/>
              </w:rPr>
              <w:t>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Pr>
                <w:sz w:val="18"/>
                <w:szCs w:val="18"/>
              </w:rPr>
              <w:t>290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Pr>
                <w:sz w:val="18"/>
                <w:szCs w:val="18"/>
              </w:rPr>
              <w:t>850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1893" w:type="dxa"/>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Pr>
                <w:sz w:val="18"/>
                <w:szCs w:val="18"/>
              </w:rPr>
              <w:t>406</w:t>
            </w:r>
          </w:p>
        </w:tc>
      </w:tr>
      <w:tr w:rsidR="00BB224B" w:rsidRPr="00EF64FD" w:rsidTr="003B2C18">
        <w:tc>
          <w:tcPr>
            <w:tcW w:w="7513" w:type="dxa"/>
            <w:gridSpan w:val="7"/>
            <w:tcBorders>
              <w:top w:val="single" w:sz="12" w:space="0" w:color="auto"/>
            </w:tcBorders>
            <w:shd w:val="clear" w:color="auto" w:fill="FFFFFF"/>
          </w:tcPr>
          <w:p w:rsidR="00BB224B" w:rsidRPr="00985636" w:rsidRDefault="00BB224B" w:rsidP="00C65C95">
            <w:pPr>
              <w:widowControl w:val="0"/>
              <w:tabs>
                <w:tab w:val="left" w:pos="297"/>
                <w:tab w:val="left" w:pos="851"/>
              </w:tabs>
              <w:suppressAutoHyphens w:val="0"/>
              <w:autoSpaceDE w:val="0"/>
              <w:autoSpaceDN w:val="0"/>
              <w:adjustRightInd w:val="0"/>
              <w:spacing w:before="120" w:line="240" w:lineRule="auto"/>
              <w:ind w:left="57"/>
              <w:jc w:val="both"/>
              <w:rPr>
                <w:i/>
                <w:sz w:val="18"/>
                <w:szCs w:val="18"/>
                <w:lang w:val="en-US"/>
              </w:rPr>
            </w:pPr>
            <w:r w:rsidRPr="00985636">
              <w:rPr>
                <w:i/>
                <w:sz w:val="18"/>
                <w:szCs w:val="18"/>
                <w:lang w:val="en-US"/>
              </w:rPr>
              <w:t>Notes:</w:t>
            </w:r>
          </w:p>
          <w:p w:rsidR="00BB224B" w:rsidRPr="00C6550F"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C6550F">
              <w:rPr>
                <w:sz w:val="18"/>
                <w:szCs w:val="18"/>
                <w:lang w:val="en-US"/>
              </w:rPr>
              <w:t xml:space="preserve">These </w:t>
            </w:r>
            <w:proofErr w:type="spellStart"/>
            <w:r w:rsidRPr="00C6550F">
              <w:rPr>
                <w:sz w:val="18"/>
                <w:szCs w:val="18"/>
                <w:lang w:val="en-US"/>
              </w:rPr>
              <w:t>tyres</w:t>
            </w:r>
            <w:proofErr w:type="spellEnd"/>
            <w:r w:rsidRPr="00C6550F">
              <w:rPr>
                <w:sz w:val="18"/>
                <w:szCs w:val="18"/>
                <w:lang w:val="en-US"/>
              </w:rPr>
              <w:t xml:space="preserve"> </w:t>
            </w:r>
            <w:proofErr w:type="gramStart"/>
            <w:r w:rsidRPr="00C6550F">
              <w:rPr>
                <w:sz w:val="18"/>
                <w:szCs w:val="18"/>
                <w:lang w:val="en-US"/>
              </w:rPr>
              <w:t>are identified</w:t>
            </w:r>
            <w:proofErr w:type="gramEnd"/>
            <w:r w:rsidRPr="00C6550F">
              <w:rPr>
                <w:sz w:val="18"/>
                <w:szCs w:val="18"/>
                <w:lang w:val="en-US"/>
              </w:rPr>
              <w:t xml:space="preserve"> either by suffix "IND", placed after the </w:t>
            </w:r>
            <w:proofErr w:type="spellStart"/>
            <w:r w:rsidRPr="00C6550F">
              <w:rPr>
                <w:sz w:val="18"/>
                <w:szCs w:val="18"/>
                <w:lang w:val="en-US"/>
              </w:rPr>
              <w:t>Tyre</w:t>
            </w:r>
            <w:proofErr w:type="spellEnd"/>
            <w:r w:rsidRPr="00C6550F">
              <w:rPr>
                <w:sz w:val="18"/>
                <w:szCs w:val="18"/>
                <w:lang w:val="en-US"/>
              </w:rPr>
              <w:t xml:space="preserve"> size desi</w:t>
            </w:r>
            <w:r w:rsidR="00C6550F">
              <w:rPr>
                <w:sz w:val="18"/>
                <w:szCs w:val="18"/>
                <w:lang w:val="en-US"/>
              </w:rPr>
              <w:t xml:space="preserve">gnation (e.g. 14.9-24 IND), or </w:t>
            </w:r>
            <w:r w:rsidRPr="00C6550F">
              <w:rPr>
                <w:sz w:val="18"/>
                <w:szCs w:val="18"/>
                <w:lang w:val="en-US"/>
              </w:rPr>
              <w:t xml:space="preserve">by the following marking added to the </w:t>
            </w:r>
            <w:proofErr w:type="spellStart"/>
            <w:r w:rsidRPr="00C6550F">
              <w:rPr>
                <w:sz w:val="18"/>
                <w:szCs w:val="18"/>
                <w:lang w:val="en-US"/>
              </w:rPr>
              <w:t>tyre</w:t>
            </w:r>
            <w:proofErr w:type="spellEnd"/>
            <w:r w:rsidRPr="00C6550F">
              <w:rPr>
                <w:sz w:val="18"/>
                <w:szCs w:val="18"/>
                <w:lang w:val="en-US"/>
              </w:rPr>
              <w:t xml:space="preserve"> sidewalls: "R – 4".</w:t>
            </w:r>
          </w:p>
          <w:p w:rsidR="00BB224B" w:rsidRPr="00C6550F"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C6550F">
              <w:rPr>
                <w:sz w:val="18"/>
                <w:szCs w:val="18"/>
                <w:lang w:val="en-US"/>
              </w:rPr>
              <w:t xml:space="preserve">Tyres of radial structure are identified by means of the letter "R </w:t>
            </w:r>
            <w:proofErr w:type="gramStart"/>
            <w:r w:rsidRPr="00C6550F">
              <w:rPr>
                <w:sz w:val="18"/>
                <w:szCs w:val="18"/>
                <w:lang w:val="en-US"/>
              </w:rPr>
              <w:t>" in</w:t>
            </w:r>
            <w:proofErr w:type="gramEnd"/>
            <w:r w:rsidRPr="00C6550F">
              <w:rPr>
                <w:sz w:val="18"/>
                <w:szCs w:val="18"/>
                <w:lang w:val="en-US"/>
              </w:rPr>
              <w:t xml:space="preserve"> place of " - " (e.g. 14.9 R 24).</w:t>
            </w:r>
          </w:p>
          <w:p w:rsidR="00BB224B" w:rsidRPr="00C6550F"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proofErr w:type="gramStart"/>
            <w:r w:rsidRPr="00C6550F">
              <w:rPr>
                <w:sz w:val="18"/>
                <w:szCs w:val="18"/>
                <w:lang w:val="en-US"/>
              </w:rPr>
              <w:t xml:space="preserve">Coefficient for the calculation of the overall width of radial </w:t>
            </w:r>
            <w:proofErr w:type="spellStart"/>
            <w:r w:rsidRPr="00C6550F">
              <w:rPr>
                <w:sz w:val="18"/>
                <w:szCs w:val="18"/>
                <w:lang w:val="en-US"/>
              </w:rPr>
              <w:t>tyres</w:t>
            </w:r>
            <w:proofErr w:type="spellEnd"/>
            <w:r w:rsidRPr="00C6550F">
              <w:rPr>
                <w:sz w:val="18"/>
                <w:szCs w:val="18"/>
                <w:lang w:val="en-US"/>
              </w:rPr>
              <w:t>:  + 8 %.</w:t>
            </w:r>
            <w:proofErr w:type="gramEnd"/>
          </w:p>
        </w:tc>
      </w:tr>
    </w:tbl>
    <w:p w:rsidR="00B503C6" w:rsidRDefault="00B503C6" w:rsidP="00B503C6">
      <w:pPr>
        <w:pStyle w:val="HChG"/>
        <w:rPr>
          <w:lang w:val="en-US"/>
        </w:rPr>
      </w:pPr>
      <w:r>
        <w:rPr>
          <w:lang w:val="en-US"/>
        </w:rPr>
        <w:tab/>
        <w:t>II.</w:t>
      </w:r>
      <w:r>
        <w:rPr>
          <w:lang w:val="en-US"/>
        </w:rPr>
        <w:tab/>
        <w:t>Justification</w:t>
      </w:r>
    </w:p>
    <w:p w:rsidR="009A1E26" w:rsidRPr="00DC1E63" w:rsidRDefault="009A1E26" w:rsidP="009A1E26">
      <w:pPr>
        <w:pStyle w:val="SingleTxtG"/>
        <w:rPr>
          <w:lang w:val="en-US"/>
        </w:rPr>
      </w:pPr>
      <w:r>
        <w:rPr>
          <w:lang w:val="en-US"/>
        </w:rPr>
        <w:tab/>
        <w:t xml:space="preserve">Regulation No. 106 contains standardized </w:t>
      </w:r>
      <w:proofErr w:type="spellStart"/>
      <w:r>
        <w:rPr>
          <w:lang w:val="en-US"/>
        </w:rPr>
        <w:t>tyre</w:t>
      </w:r>
      <w:proofErr w:type="spellEnd"/>
      <w:r>
        <w:rPr>
          <w:lang w:val="en-US"/>
        </w:rPr>
        <w:t xml:space="preserve"> </w:t>
      </w:r>
      <w:proofErr w:type="gramStart"/>
      <w:r>
        <w:rPr>
          <w:lang w:val="en-US"/>
        </w:rPr>
        <w:t>sizes which</w:t>
      </w:r>
      <w:proofErr w:type="gramEnd"/>
      <w:r>
        <w:rPr>
          <w:lang w:val="en-US"/>
        </w:rPr>
        <w:t xml:space="preserve"> often need to be updated, following the technical progress. In order to accelerate the update process of the Regulation and limit the number of amendments, it is proposed to insert in a new Resolution the </w:t>
      </w:r>
      <w:r w:rsidR="003B2C18">
        <w:rPr>
          <w:lang w:val="en-US"/>
        </w:rPr>
        <w:t xml:space="preserve">newly </w:t>
      </w:r>
      <w:proofErr w:type="spellStart"/>
      <w:r>
        <w:rPr>
          <w:lang w:val="en-US"/>
        </w:rPr>
        <w:t>stardardized</w:t>
      </w:r>
      <w:proofErr w:type="spellEnd"/>
      <w:r>
        <w:rPr>
          <w:lang w:val="en-US"/>
        </w:rPr>
        <w:t xml:space="preserve"> sizes and to refer to this </w:t>
      </w:r>
      <w:r w:rsidR="00AF13F6">
        <w:rPr>
          <w:lang w:val="en-US"/>
        </w:rPr>
        <w:t>R</w:t>
      </w:r>
      <w:r>
        <w:rPr>
          <w:lang w:val="en-US"/>
        </w:rPr>
        <w:t xml:space="preserve">esolution in Annex 5. </w:t>
      </w:r>
      <w:r w:rsidR="003B2C18">
        <w:rPr>
          <w:lang w:val="en-US"/>
        </w:rPr>
        <w:t xml:space="preserve">As a temporary solution to assess the effectiveness of such </w:t>
      </w:r>
      <w:r w:rsidR="00805B1D">
        <w:rPr>
          <w:lang w:val="en-US"/>
        </w:rPr>
        <w:t>proposal,</w:t>
      </w:r>
      <w:r w:rsidR="003B2C18">
        <w:rPr>
          <w:lang w:val="en-US"/>
        </w:rPr>
        <w:t xml:space="preserve"> the Annex 5 of Regulation No. 106 </w:t>
      </w:r>
      <w:proofErr w:type="gramStart"/>
      <w:r w:rsidR="003B2C18">
        <w:rPr>
          <w:lang w:val="en-US"/>
        </w:rPr>
        <w:t>will be kept</w:t>
      </w:r>
      <w:proofErr w:type="gramEnd"/>
      <w:r w:rsidR="003B2C18">
        <w:rPr>
          <w:lang w:val="en-US"/>
        </w:rPr>
        <w:t xml:space="preserve"> as it is with no further updates. After a trial period of approximately </w:t>
      </w:r>
      <w:r w:rsidR="00650D32">
        <w:rPr>
          <w:lang w:val="en-US"/>
        </w:rPr>
        <w:t>two</w:t>
      </w:r>
      <w:r w:rsidR="003B2C18">
        <w:rPr>
          <w:lang w:val="en-US"/>
        </w:rPr>
        <w:t xml:space="preserve"> years and upon confirmation of effectiveness</w:t>
      </w:r>
      <w:r w:rsidR="00805B1D">
        <w:rPr>
          <w:lang w:val="en-US"/>
        </w:rPr>
        <w:t>,</w:t>
      </w:r>
      <w:r w:rsidR="003B2C18">
        <w:rPr>
          <w:lang w:val="en-US"/>
        </w:rPr>
        <w:t xml:space="preserve"> the complete Annex 5 of Regulation No. 106 </w:t>
      </w:r>
      <w:proofErr w:type="gramStart"/>
      <w:r w:rsidR="003B2C18">
        <w:rPr>
          <w:lang w:val="en-US"/>
        </w:rPr>
        <w:t>w</w:t>
      </w:r>
      <w:r w:rsidR="00650D32">
        <w:rPr>
          <w:lang w:val="en-US"/>
        </w:rPr>
        <w:t>ould</w:t>
      </w:r>
      <w:r w:rsidR="003B2C18">
        <w:rPr>
          <w:lang w:val="en-US"/>
        </w:rPr>
        <w:t xml:space="preserve"> be transferred</w:t>
      </w:r>
      <w:proofErr w:type="gramEnd"/>
      <w:r w:rsidR="003B2C18">
        <w:rPr>
          <w:lang w:val="en-US"/>
        </w:rPr>
        <w:t xml:space="preserve"> to this Resolution on </w:t>
      </w:r>
      <w:proofErr w:type="spellStart"/>
      <w:r w:rsidR="003B2C18">
        <w:rPr>
          <w:lang w:val="en-US"/>
        </w:rPr>
        <w:t>Tyre</w:t>
      </w:r>
      <w:proofErr w:type="spellEnd"/>
      <w:r w:rsidR="003B2C18">
        <w:rPr>
          <w:lang w:val="en-US"/>
        </w:rPr>
        <w:t xml:space="preserve"> Sizes.</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BB0FB6">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B9" w:rsidRDefault="006F4BB9"/>
  </w:endnote>
  <w:endnote w:type="continuationSeparator" w:id="0">
    <w:p w:rsidR="006F4BB9" w:rsidRDefault="006F4BB9"/>
  </w:endnote>
  <w:endnote w:type="continuationNotice" w:id="1">
    <w:p w:rsidR="006F4BB9" w:rsidRDefault="006F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9A6A9E" w:rsidRDefault="006F4BB9"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F64F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9A6A9E" w:rsidRDefault="006F4BB9"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F64FD">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B9" w:rsidRPr="00D27D5E" w:rsidRDefault="006F4BB9" w:rsidP="00D27D5E">
      <w:pPr>
        <w:tabs>
          <w:tab w:val="right" w:pos="2155"/>
        </w:tabs>
        <w:spacing w:after="80"/>
        <w:ind w:left="680"/>
        <w:rPr>
          <w:u w:val="single"/>
        </w:rPr>
      </w:pPr>
      <w:r>
        <w:rPr>
          <w:u w:val="single"/>
        </w:rPr>
        <w:tab/>
      </w:r>
    </w:p>
  </w:footnote>
  <w:footnote w:type="continuationSeparator" w:id="0">
    <w:p w:rsidR="006F4BB9" w:rsidRDefault="006F4BB9">
      <w:r>
        <w:rPr>
          <w:u w:val="single"/>
        </w:rPr>
        <w:tab/>
      </w:r>
      <w:r>
        <w:rPr>
          <w:u w:val="single"/>
        </w:rPr>
        <w:tab/>
      </w:r>
      <w:r>
        <w:rPr>
          <w:u w:val="single"/>
        </w:rPr>
        <w:tab/>
      </w:r>
      <w:r>
        <w:rPr>
          <w:u w:val="single"/>
        </w:rPr>
        <w:tab/>
      </w:r>
    </w:p>
  </w:footnote>
  <w:footnote w:type="continuationNotice" w:id="1">
    <w:p w:rsidR="006F4BB9" w:rsidRDefault="006F4BB9"/>
  </w:footnote>
  <w:footnote w:id="2">
    <w:p w:rsidR="006F4BB9" w:rsidRPr="00706101" w:rsidRDefault="006F4BB9" w:rsidP="00AF13F6">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6271E0" w:rsidRDefault="006F4BB9" w:rsidP="006271E0">
    <w:pPr>
      <w:pStyle w:val="Header"/>
    </w:pPr>
    <w:r>
      <w:t>ECE/TRANS/WP.29/GRRF/201</w:t>
    </w:r>
    <w:r w:rsidR="001645D2">
      <w:t>7</w:t>
    </w:r>
    <w:r>
      <w:t>/</w:t>
    </w:r>
    <w:r w:rsidR="00650D32">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32" w:rsidRDefault="00650D32" w:rsidP="00E70B98">
    <w:pPr>
      <w:pStyle w:val="Header"/>
      <w:jc w:val="right"/>
    </w:pPr>
    <w:r>
      <w:t>ECE/TRANS/WP.29/GRRF/2017/6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4880D7F4">
      <w:start w:val="1"/>
      <w:numFmt w:val="lowerLetter"/>
      <w:lvlText w:val="(%1)"/>
      <w:lvlJc w:val="left"/>
      <w:pPr>
        <w:ind w:left="1539" w:hanging="360"/>
      </w:pPr>
    </w:lvl>
    <w:lvl w:ilvl="1" w:tplc="41EE985A">
      <w:start w:val="1"/>
      <w:numFmt w:val="lowerLetter"/>
      <w:lvlText w:val="%2."/>
      <w:lvlJc w:val="left"/>
      <w:pPr>
        <w:ind w:left="2259" w:hanging="360"/>
      </w:pPr>
    </w:lvl>
    <w:lvl w:ilvl="2" w:tplc="28A47A9E">
      <w:start w:val="1"/>
      <w:numFmt w:val="lowerRoman"/>
      <w:lvlText w:val="%3."/>
      <w:lvlJc w:val="right"/>
      <w:pPr>
        <w:ind w:left="2979" w:hanging="180"/>
      </w:pPr>
    </w:lvl>
    <w:lvl w:ilvl="3" w:tplc="88F6C9B4">
      <w:start w:val="1"/>
      <w:numFmt w:val="decimal"/>
      <w:lvlText w:val="%4."/>
      <w:lvlJc w:val="left"/>
      <w:pPr>
        <w:ind w:left="3699" w:hanging="360"/>
      </w:pPr>
    </w:lvl>
    <w:lvl w:ilvl="4" w:tplc="8E3E4E60">
      <w:start w:val="1"/>
      <w:numFmt w:val="lowerLetter"/>
      <w:lvlText w:val="%5."/>
      <w:lvlJc w:val="left"/>
      <w:pPr>
        <w:ind w:left="4419" w:hanging="360"/>
      </w:pPr>
    </w:lvl>
    <w:lvl w:ilvl="5" w:tplc="3BA6E058">
      <w:start w:val="1"/>
      <w:numFmt w:val="lowerRoman"/>
      <w:lvlText w:val="%6."/>
      <w:lvlJc w:val="right"/>
      <w:pPr>
        <w:ind w:left="5139" w:hanging="180"/>
      </w:pPr>
    </w:lvl>
    <w:lvl w:ilvl="6" w:tplc="27D0B90C">
      <w:start w:val="1"/>
      <w:numFmt w:val="decimal"/>
      <w:lvlText w:val="%7."/>
      <w:lvlJc w:val="left"/>
      <w:pPr>
        <w:ind w:left="5859" w:hanging="360"/>
      </w:pPr>
    </w:lvl>
    <w:lvl w:ilvl="7" w:tplc="88EE8DA8">
      <w:start w:val="1"/>
      <w:numFmt w:val="lowerLetter"/>
      <w:lvlText w:val="%8."/>
      <w:lvlJc w:val="left"/>
      <w:pPr>
        <w:ind w:left="6579" w:hanging="360"/>
      </w:pPr>
    </w:lvl>
    <w:lvl w:ilvl="8" w:tplc="0F8A8282">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2290"/>
        </w:tabs>
        <w:ind w:left="8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B8B0CA18">
      <w:start w:val="1"/>
      <w:numFmt w:val="lowerLetter"/>
      <w:lvlText w:val="(%1)"/>
      <w:lvlJc w:val="left"/>
      <w:pPr>
        <w:tabs>
          <w:tab w:val="num" w:pos="1134"/>
        </w:tabs>
        <w:ind w:left="1134" w:hanging="567"/>
      </w:pPr>
      <w:rPr>
        <w:rFonts w:ascii="Arial" w:hAnsi="Arial" w:cs="Times New Roman" w:hint="default"/>
        <w:b w:val="0"/>
        <w:i w:val="0"/>
        <w:sz w:val="22"/>
        <w:szCs w:val="22"/>
      </w:rPr>
    </w:lvl>
    <w:lvl w:ilvl="1" w:tplc="B1C6A6A2">
      <w:start w:val="1"/>
      <w:numFmt w:val="upperRoman"/>
      <w:lvlText w:val="%2."/>
      <w:lvlJc w:val="left"/>
      <w:pPr>
        <w:tabs>
          <w:tab w:val="num" w:pos="1440"/>
        </w:tabs>
        <w:ind w:left="1440" w:hanging="360"/>
      </w:pPr>
    </w:lvl>
    <w:lvl w:ilvl="2" w:tplc="3F74B33A">
      <w:start w:val="1"/>
      <w:numFmt w:val="bullet"/>
      <w:lvlText w:val=""/>
      <w:lvlJc w:val="left"/>
      <w:pPr>
        <w:tabs>
          <w:tab w:val="num" w:pos="2340"/>
        </w:tabs>
        <w:ind w:left="2340" w:hanging="360"/>
      </w:pPr>
      <w:rPr>
        <w:rFonts w:ascii="Symbol" w:hAnsi="Symbol" w:hint="default"/>
        <w:b w:val="0"/>
        <w:i w:val="0"/>
        <w:sz w:val="22"/>
        <w:szCs w:val="22"/>
      </w:rPr>
    </w:lvl>
    <w:lvl w:ilvl="3" w:tplc="3600E864">
      <w:start w:val="1"/>
      <w:numFmt w:val="decimal"/>
      <w:lvlText w:val="%4."/>
      <w:lvlJc w:val="left"/>
      <w:pPr>
        <w:tabs>
          <w:tab w:val="num" w:pos="2880"/>
        </w:tabs>
        <w:ind w:left="2880" w:hanging="360"/>
      </w:pPr>
    </w:lvl>
    <w:lvl w:ilvl="4" w:tplc="FF2CF4CA">
      <w:start w:val="1"/>
      <w:numFmt w:val="lowerLetter"/>
      <w:lvlText w:val="%5."/>
      <w:lvlJc w:val="left"/>
      <w:pPr>
        <w:tabs>
          <w:tab w:val="num" w:pos="3600"/>
        </w:tabs>
        <w:ind w:left="3600" w:hanging="360"/>
      </w:pPr>
    </w:lvl>
    <w:lvl w:ilvl="5" w:tplc="8A0EDB90">
      <w:start w:val="1"/>
      <w:numFmt w:val="lowerRoman"/>
      <w:lvlText w:val="%6."/>
      <w:lvlJc w:val="right"/>
      <w:pPr>
        <w:tabs>
          <w:tab w:val="num" w:pos="4320"/>
        </w:tabs>
        <w:ind w:left="4320" w:hanging="180"/>
      </w:pPr>
    </w:lvl>
    <w:lvl w:ilvl="6" w:tplc="C632F002">
      <w:start w:val="1"/>
      <w:numFmt w:val="decimal"/>
      <w:lvlText w:val="%7."/>
      <w:lvlJc w:val="left"/>
      <w:pPr>
        <w:tabs>
          <w:tab w:val="num" w:pos="5040"/>
        </w:tabs>
        <w:ind w:left="5040" w:hanging="360"/>
      </w:pPr>
    </w:lvl>
    <w:lvl w:ilvl="7" w:tplc="379A7E52">
      <w:start w:val="1"/>
      <w:numFmt w:val="lowerLetter"/>
      <w:lvlText w:val="%8."/>
      <w:lvlJc w:val="left"/>
      <w:pPr>
        <w:tabs>
          <w:tab w:val="num" w:pos="5760"/>
        </w:tabs>
        <w:ind w:left="5760" w:hanging="360"/>
      </w:pPr>
    </w:lvl>
    <w:lvl w:ilvl="8" w:tplc="9ED86160">
      <w:start w:val="1"/>
      <w:numFmt w:val="lowerRoman"/>
      <w:lvlText w:val="%9."/>
      <w:lvlJc w:val="right"/>
      <w:pPr>
        <w:tabs>
          <w:tab w:val="num" w:pos="6480"/>
        </w:tabs>
        <w:ind w:left="6480" w:hanging="180"/>
      </w:pPr>
    </w:lvl>
  </w:abstractNum>
  <w:abstractNum w:abstractNumId="5">
    <w:nsid w:val="3ACF4EB2"/>
    <w:multiLevelType w:val="hybridMultilevel"/>
    <w:tmpl w:val="3F2CCC0E"/>
    <w:lvl w:ilvl="0" w:tplc="B3DED548">
      <w:start w:val="1"/>
      <w:numFmt w:val="bullet"/>
      <w:pStyle w:val="Bullet2G"/>
      <w:lvlText w:val="•"/>
      <w:lvlJc w:val="left"/>
      <w:pPr>
        <w:tabs>
          <w:tab w:val="num" w:pos="2268"/>
        </w:tabs>
        <w:ind w:left="2268" w:hanging="170"/>
      </w:pPr>
      <w:rPr>
        <w:rFonts w:ascii="Times New Roman" w:hAnsi="Times New Roman" w:cs="Times New Roman" w:hint="default"/>
      </w:rPr>
    </w:lvl>
    <w:lvl w:ilvl="1" w:tplc="EBE42B82" w:tentative="1">
      <w:start w:val="1"/>
      <w:numFmt w:val="bullet"/>
      <w:lvlText w:val="o"/>
      <w:lvlJc w:val="left"/>
      <w:pPr>
        <w:tabs>
          <w:tab w:val="num" w:pos="3708"/>
        </w:tabs>
        <w:ind w:left="3708" w:hanging="360"/>
      </w:pPr>
      <w:rPr>
        <w:rFonts w:ascii="Courier New" w:hAnsi="Courier New" w:hint="default"/>
      </w:rPr>
    </w:lvl>
    <w:lvl w:ilvl="2" w:tplc="65E0D272" w:tentative="1">
      <w:start w:val="1"/>
      <w:numFmt w:val="bullet"/>
      <w:lvlText w:val=""/>
      <w:lvlJc w:val="left"/>
      <w:pPr>
        <w:tabs>
          <w:tab w:val="num" w:pos="4428"/>
        </w:tabs>
        <w:ind w:left="4428" w:hanging="360"/>
      </w:pPr>
      <w:rPr>
        <w:rFonts w:ascii="Wingdings" w:hAnsi="Wingdings" w:hint="default"/>
      </w:rPr>
    </w:lvl>
    <w:lvl w:ilvl="3" w:tplc="1F209796" w:tentative="1">
      <w:start w:val="1"/>
      <w:numFmt w:val="bullet"/>
      <w:lvlText w:val=""/>
      <w:lvlJc w:val="left"/>
      <w:pPr>
        <w:tabs>
          <w:tab w:val="num" w:pos="5148"/>
        </w:tabs>
        <w:ind w:left="5148" w:hanging="360"/>
      </w:pPr>
      <w:rPr>
        <w:rFonts w:ascii="Symbol" w:hAnsi="Symbol" w:hint="default"/>
      </w:rPr>
    </w:lvl>
    <w:lvl w:ilvl="4" w:tplc="F0A6AAC2" w:tentative="1">
      <w:start w:val="1"/>
      <w:numFmt w:val="bullet"/>
      <w:lvlText w:val="o"/>
      <w:lvlJc w:val="left"/>
      <w:pPr>
        <w:tabs>
          <w:tab w:val="num" w:pos="5868"/>
        </w:tabs>
        <w:ind w:left="5868" w:hanging="360"/>
      </w:pPr>
      <w:rPr>
        <w:rFonts w:ascii="Courier New" w:hAnsi="Courier New" w:hint="default"/>
      </w:rPr>
    </w:lvl>
    <w:lvl w:ilvl="5" w:tplc="85C68422" w:tentative="1">
      <w:start w:val="1"/>
      <w:numFmt w:val="bullet"/>
      <w:lvlText w:val=""/>
      <w:lvlJc w:val="left"/>
      <w:pPr>
        <w:tabs>
          <w:tab w:val="num" w:pos="6588"/>
        </w:tabs>
        <w:ind w:left="6588" w:hanging="360"/>
      </w:pPr>
      <w:rPr>
        <w:rFonts w:ascii="Wingdings" w:hAnsi="Wingdings" w:hint="default"/>
      </w:rPr>
    </w:lvl>
    <w:lvl w:ilvl="6" w:tplc="9466A9B8" w:tentative="1">
      <w:start w:val="1"/>
      <w:numFmt w:val="bullet"/>
      <w:lvlText w:val=""/>
      <w:lvlJc w:val="left"/>
      <w:pPr>
        <w:tabs>
          <w:tab w:val="num" w:pos="7308"/>
        </w:tabs>
        <w:ind w:left="7308" w:hanging="360"/>
      </w:pPr>
      <w:rPr>
        <w:rFonts w:ascii="Symbol" w:hAnsi="Symbol" w:hint="default"/>
      </w:rPr>
    </w:lvl>
    <w:lvl w:ilvl="7" w:tplc="A7FA9B22" w:tentative="1">
      <w:start w:val="1"/>
      <w:numFmt w:val="bullet"/>
      <w:lvlText w:val="o"/>
      <w:lvlJc w:val="left"/>
      <w:pPr>
        <w:tabs>
          <w:tab w:val="num" w:pos="8028"/>
        </w:tabs>
        <w:ind w:left="8028" w:hanging="360"/>
      </w:pPr>
      <w:rPr>
        <w:rFonts w:ascii="Courier New" w:hAnsi="Courier New" w:hint="default"/>
      </w:rPr>
    </w:lvl>
    <w:lvl w:ilvl="8" w:tplc="EE4EDD6A"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5925DC1"/>
    <w:multiLevelType w:val="hybridMultilevel"/>
    <w:tmpl w:val="FAA66F24"/>
    <w:lvl w:ilvl="0" w:tplc="78607A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8AD07B2"/>
    <w:multiLevelType w:val="hybridMultilevel"/>
    <w:tmpl w:val="D7D47906"/>
    <w:lvl w:ilvl="0" w:tplc="F7341E2C">
      <w:start w:val="1"/>
      <w:numFmt w:val="bullet"/>
      <w:pStyle w:val="Bullet1G"/>
      <w:lvlText w:val="•"/>
      <w:lvlJc w:val="left"/>
      <w:pPr>
        <w:tabs>
          <w:tab w:val="num" w:pos="1701"/>
        </w:tabs>
        <w:ind w:left="1701" w:hanging="170"/>
      </w:pPr>
      <w:rPr>
        <w:rFonts w:ascii="Times New Roman" w:hAnsi="Times New Roman" w:cs="Times New Roman" w:hint="default"/>
      </w:rPr>
    </w:lvl>
    <w:lvl w:ilvl="1" w:tplc="0916D9BE" w:tentative="1">
      <w:start w:val="1"/>
      <w:numFmt w:val="bullet"/>
      <w:lvlText w:val="o"/>
      <w:lvlJc w:val="left"/>
      <w:pPr>
        <w:tabs>
          <w:tab w:val="num" w:pos="3141"/>
        </w:tabs>
        <w:ind w:left="3141" w:hanging="360"/>
      </w:pPr>
      <w:rPr>
        <w:rFonts w:ascii="Courier New" w:hAnsi="Courier New" w:hint="default"/>
      </w:rPr>
    </w:lvl>
    <w:lvl w:ilvl="2" w:tplc="ECC83250" w:tentative="1">
      <w:start w:val="1"/>
      <w:numFmt w:val="bullet"/>
      <w:lvlText w:val=""/>
      <w:lvlJc w:val="left"/>
      <w:pPr>
        <w:tabs>
          <w:tab w:val="num" w:pos="3861"/>
        </w:tabs>
        <w:ind w:left="3861" w:hanging="360"/>
      </w:pPr>
      <w:rPr>
        <w:rFonts w:ascii="Wingdings" w:hAnsi="Wingdings" w:hint="default"/>
      </w:rPr>
    </w:lvl>
    <w:lvl w:ilvl="3" w:tplc="75BADD34" w:tentative="1">
      <w:start w:val="1"/>
      <w:numFmt w:val="bullet"/>
      <w:lvlText w:val=""/>
      <w:lvlJc w:val="left"/>
      <w:pPr>
        <w:tabs>
          <w:tab w:val="num" w:pos="4581"/>
        </w:tabs>
        <w:ind w:left="4581" w:hanging="360"/>
      </w:pPr>
      <w:rPr>
        <w:rFonts w:ascii="Symbol" w:hAnsi="Symbol" w:hint="default"/>
      </w:rPr>
    </w:lvl>
    <w:lvl w:ilvl="4" w:tplc="A9A4A59E" w:tentative="1">
      <w:start w:val="1"/>
      <w:numFmt w:val="bullet"/>
      <w:lvlText w:val="o"/>
      <w:lvlJc w:val="left"/>
      <w:pPr>
        <w:tabs>
          <w:tab w:val="num" w:pos="5301"/>
        </w:tabs>
        <w:ind w:left="5301" w:hanging="360"/>
      </w:pPr>
      <w:rPr>
        <w:rFonts w:ascii="Courier New" w:hAnsi="Courier New" w:hint="default"/>
      </w:rPr>
    </w:lvl>
    <w:lvl w:ilvl="5" w:tplc="271EEF76" w:tentative="1">
      <w:start w:val="1"/>
      <w:numFmt w:val="bullet"/>
      <w:lvlText w:val=""/>
      <w:lvlJc w:val="left"/>
      <w:pPr>
        <w:tabs>
          <w:tab w:val="num" w:pos="6021"/>
        </w:tabs>
        <w:ind w:left="6021" w:hanging="360"/>
      </w:pPr>
      <w:rPr>
        <w:rFonts w:ascii="Wingdings" w:hAnsi="Wingdings" w:hint="default"/>
      </w:rPr>
    </w:lvl>
    <w:lvl w:ilvl="6" w:tplc="2A3CC642" w:tentative="1">
      <w:start w:val="1"/>
      <w:numFmt w:val="bullet"/>
      <w:lvlText w:val=""/>
      <w:lvlJc w:val="left"/>
      <w:pPr>
        <w:tabs>
          <w:tab w:val="num" w:pos="6741"/>
        </w:tabs>
        <w:ind w:left="6741" w:hanging="360"/>
      </w:pPr>
      <w:rPr>
        <w:rFonts w:ascii="Symbol" w:hAnsi="Symbol" w:hint="default"/>
      </w:rPr>
    </w:lvl>
    <w:lvl w:ilvl="7" w:tplc="900E0FAA" w:tentative="1">
      <w:start w:val="1"/>
      <w:numFmt w:val="bullet"/>
      <w:lvlText w:val="o"/>
      <w:lvlJc w:val="left"/>
      <w:pPr>
        <w:tabs>
          <w:tab w:val="num" w:pos="7461"/>
        </w:tabs>
        <w:ind w:left="7461" w:hanging="360"/>
      </w:pPr>
      <w:rPr>
        <w:rFonts w:ascii="Courier New" w:hAnsi="Courier New" w:hint="default"/>
      </w:rPr>
    </w:lvl>
    <w:lvl w:ilvl="8" w:tplc="36BE6124" w:tentative="1">
      <w:start w:val="1"/>
      <w:numFmt w:val="bullet"/>
      <w:lvlText w:val=""/>
      <w:lvlJc w:val="left"/>
      <w:pPr>
        <w:tabs>
          <w:tab w:val="num" w:pos="8181"/>
        </w:tabs>
        <w:ind w:left="8181" w:hanging="360"/>
      </w:pPr>
      <w:rPr>
        <w:rFonts w:ascii="Wingdings" w:hAnsi="Wingdings" w:hint="default"/>
      </w:rPr>
    </w:lvl>
  </w:abstractNum>
  <w:abstractNum w:abstractNumId="9">
    <w:nsid w:val="6A271B4D"/>
    <w:multiLevelType w:val="hybridMultilevel"/>
    <w:tmpl w:val="1B3C186A"/>
    <w:lvl w:ilvl="0" w:tplc="E24C15DA">
      <w:start w:val="1"/>
      <w:numFmt w:val="decimal"/>
      <w:lvlText w:val="%1."/>
      <w:lvlJc w:val="left"/>
      <w:pPr>
        <w:ind w:left="1494" w:hanging="360"/>
      </w:pPr>
    </w:lvl>
    <w:lvl w:ilvl="1" w:tplc="040C0003">
      <w:start w:val="1"/>
      <w:numFmt w:val="lowerLetter"/>
      <w:lvlText w:val="%2."/>
      <w:lvlJc w:val="left"/>
      <w:pPr>
        <w:ind w:left="2214" w:hanging="360"/>
      </w:pPr>
    </w:lvl>
    <w:lvl w:ilvl="2" w:tplc="040C0005">
      <w:start w:val="1"/>
      <w:numFmt w:val="lowerRoman"/>
      <w:lvlText w:val="%3."/>
      <w:lvlJc w:val="right"/>
      <w:pPr>
        <w:ind w:left="2934" w:hanging="180"/>
      </w:pPr>
    </w:lvl>
    <w:lvl w:ilvl="3" w:tplc="040C0001">
      <w:start w:val="1"/>
      <w:numFmt w:val="decimal"/>
      <w:lvlText w:val="%4."/>
      <w:lvlJc w:val="left"/>
      <w:pPr>
        <w:ind w:left="3654" w:hanging="360"/>
      </w:pPr>
    </w:lvl>
    <w:lvl w:ilvl="4" w:tplc="040C0003">
      <w:start w:val="1"/>
      <w:numFmt w:val="lowerLetter"/>
      <w:lvlText w:val="%5."/>
      <w:lvlJc w:val="left"/>
      <w:pPr>
        <w:ind w:left="4374" w:hanging="360"/>
      </w:pPr>
    </w:lvl>
    <w:lvl w:ilvl="5" w:tplc="040C0005">
      <w:start w:val="1"/>
      <w:numFmt w:val="lowerRoman"/>
      <w:lvlText w:val="%6."/>
      <w:lvlJc w:val="right"/>
      <w:pPr>
        <w:ind w:left="5094" w:hanging="180"/>
      </w:pPr>
    </w:lvl>
    <w:lvl w:ilvl="6" w:tplc="040C0001">
      <w:start w:val="1"/>
      <w:numFmt w:val="decimal"/>
      <w:lvlText w:val="%7."/>
      <w:lvlJc w:val="left"/>
      <w:pPr>
        <w:ind w:left="5814" w:hanging="360"/>
      </w:pPr>
    </w:lvl>
    <w:lvl w:ilvl="7" w:tplc="040C0003">
      <w:start w:val="1"/>
      <w:numFmt w:val="lowerLetter"/>
      <w:lvlText w:val="%8."/>
      <w:lvlJc w:val="left"/>
      <w:pPr>
        <w:ind w:left="6534" w:hanging="360"/>
      </w:pPr>
    </w:lvl>
    <w:lvl w:ilvl="8" w:tplc="040C0005">
      <w:start w:val="1"/>
      <w:numFmt w:val="lowerRoman"/>
      <w:lvlText w:val="%9."/>
      <w:lvlJc w:val="right"/>
      <w:pPr>
        <w:ind w:left="7254" w:hanging="180"/>
      </w:pPr>
    </w:lvl>
  </w:abstractNum>
  <w:abstractNum w:abstractNumId="10">
    <w:nsid w:val="6AD35E86"/>
    <w:multiLevelType w:val="hybridMultilevel"/>
    <w:tmpl w:val="F6AA6604"/>
    <w:lvl w:ilvl="0" w:tplc="080C000F">
      <w:start w:val="1"/>
      <w:numFmt w:val="decimal"/>
      <w:lvlText w:val="%1."/>
      <w:lvlJc w:val="left"/>
      <w:pPr>
        <w:ind w:left="777" w:hanging="360"/>
      </w:pPr>
    </w:lvl>
    <w:lvl w:ilvl="1" w:tplc="080C0019" w:tentative="1">
      <w:start w:val="1"/>
      <w:numFmt w:val="lowerLetter"/>
      <w:lvlText w:val="%2."/>
      <w:lvlJc w:val="left"/>
      <w:pPr>
        <w:ind w:left="1497" w:hanging="360"/>
      </w:pPr>
    </w:lvl>
    <w:lvl w:ilvl="2" w:tplc="080C001B" w:tentative="1">
      <w:start w:val="1"/>
      <w:numFmt w:val="lowerRoman"/>
      <w:lvlText w:val="%3."/>
      <w:lvlJc w:val="right"/>
      <w:pPr>
        <w:ind w:left="2217" w:hanging="180"/>
      </w:pPr>
    </w:lvl>
    <w:lvl w:ilvl="3" w:tplc="080C000F" w:tentative="1">
      <w:start w:val="1"/>
      <w:numFmt w:val="decimal"/>
      <w:lvlText w:val="%4."/>
      <w:lvlJc w:val="left"/>
      <w:pPr>
        <w:ind w:left="2937" w:hanging="360"/>
      </w:pPr>
    </w:lvl>
    <w:lvl w:ilvl="4" w:tplc="080C0019" w:tentative="1">
      <w:start w:val="1"/>
      <w:numFmt w:val="lowerLetter"/>
      <w:lvlText w:val="%5."/>
      <w:lvlJc w:val="left"/>
      <w:pPr>
        <w:ind w:left="3657" w:hanging="360"/>
      </w:pPr>
    </w:lvl>
    <w:lvl w:ilvl="5" w:tplc="080C001B" w:tentative="1">
      <w:start w:val="1"/>
      <w:numFmt w:val="lowerRoman"/>
      <w:lvlText w:val="%6."/>
      <w:lvlJc w:val="right"/>
      <w:pPr>
        <w:ind w:left="4377" w:hanging="180"/>
      </w:pPr>
    </w:lvl>
    <w:lvl w:ilvl="6" w:tplc="080C000F" w:tentative="1">
      <w:start w:val="1"/>
      <w:numFmt w:val="decimal"/>
      <w:lvlText w:val="%7."/>
      <w:lvlJc w:val="left"/>
      <w:pPr>
        <w:ind w:left="5097" w:hanging="360"/>
      </w:pPr>
    </w:lvl>
    <w:lvl w:ilvl="7" w:tplc="080C0019" w:tentative="1">
      <w:start w:val="1"/>
      <w:numFmt w:val="lowerLetter"/>
      <w:lvlText w:val="%8."/>
      <w:lvlJc w:val="left"/>
      <w:pPr>
        <w:ind w:left="5817" w:hanging="360"/>
      </w:pPr>
    </w:lvl>
    <w:lvl w:ilvl="8" w:tplc="080C001B" w:tentative="1">
      <w:start w:val="1"/>
      <w:numFmt w:val="lowerRoman"/>
      <w:lvlText w:val="%9."/>
      <w:lvlJc w:val="right"/>
      <w:pPr>
        <w:ind w:left="6537" w:hanging="180"/>
      </w:pPr>
    </w:lvl>
  </w:abstractNum>
  <w:abstractNum w:abstractNumId="11">
    <w:nsid w:val="75E223DA"/>
    <w:multiLevelType w:val="hybridMultilevel"/>
    <w:tmpl w:val="5B7ACB42"/>
    <w:lvl w:ilvl="0" w:tplc="8C4849A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1"/>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80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BA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91F"/>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5D2"/>
    <w:rsid w:val="00164B1E"/>
    <w:rsid w:val="00165489"/>
    <w:rsid w:val="0017009F"/>
    <w:rsid w:val="0017182C"/>
    <w:rsid w:val="001724D4"/>
    <w:rsid w:val="00172B48"/>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80C"/>
    <w:rsid w:val="00207580"/>
    <w:rsid w:val="00210916"/>
    <w:rsid w:val="00210F1B"/>
    <w:rsid w:val="002110E3"/>
    <w:rsid w:val="00212496"/>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68"/>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0684"/>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B10"/>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2C18"/>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422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377B"/>
    <w:rsid w:val="00484D67"/>
    <w:rsid w:val="004853AE"/>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3AD5"/>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392"/>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1E0"/>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D32"/>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513F"/>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BB9"/>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4E63"/>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B1D"/>
    <w:rsid w:val="0081002F"/>
    <w:rsid w:val="00810A12"/>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04C"/>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172"/>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5636"/>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1E26"/>
    <w:rsid w:val="009A2F78"/>
    <w:rsid w:val="009A321F"/>
    <w:rsid w:val="009A6A9E"/>
    <w:rsid w:val="009A6CAC"/>
    <w:rsid w:val="009A6D94"/>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0E0"/>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3F6"/>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932"/>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C6"/>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2F81"/>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0FB6"/>
    <w:rsid w:val="00BB14FC"/>
    <w:rsid w:val="00BB1E2D"/>
    <w:rsid w:val="00BB224B"/>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0D08"/>
    <w:rsid w:val="00BF1FC8"/>
    <w:rsid w:val="00BF2655"/>
    <w:rsid w:val="00BF3AD2"/>
    <w:rsid w:val="00BF4401"/>
    <w:rsid w:val="00BF4DA3"/>
    <w:rsid w:val="00BF5007"/>
    <w:rsid w:val="00BF50C3"/>
    <w:rsid w:val="00BF5778"/>
    <w:rsid w:val="00BF7620"/>
    <w:rsid w:val="00BF7B79"/>
    <w:rsid w:val="00C000F3"/>
    <w:rsid w:val="00C02294"/>
    <w:rsid w:val="00C02CCE"/>
    <w:rsid w:val="00C03975"/>
    <w:rsid w:val="00C04A87"/>
    <w:rsid w:val="00C05A00"/>
    <w:rsid w:val="00C061E3"/>
    <w:rsid w:val="00C06622"/>
    <w:rsid w:val="00C07F85"/>
    <w:rsid w:val="00C07FEE"/>
    <w:rsid w:val="00C13162"/>
    <w:rsid w:val="00C15C47"/>
    <w:rsid w:val="00C15FAD"/>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18"/>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50F"/>
    <w:rsid w:val="00C658A5"/>
    <w:rsid w:val="00C65C95"/>
    <w:rsid w:val="00C65CB1"/>
    <w:rsid w:val="00C66040"/>
    <w:rsid w:val="00C6664E"/>
    <w:rsid w:val="00C666A3"/>
    <w:rsid w:val="00C66C0F"/>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4E26"/>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E7D51"/>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B09"/>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026A"/>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46F06"/>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B98"/>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64FD"/>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87C8-D52C-4284-8CFC-06AB72A9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1611734</vt:lpstr>
      <vt:lpstr>1611734</vt:lpstr>
    </vt:vector>
  </TitlesOfParts>
  <Company>CSD</Company>
  <LinksUpToDate>false</LinksUpToDate>
  <CharactersWithSpaces>4914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1611734</dc:title>
  <dc:subject>ECE/TRANS/WP.29/GRRF/2016/46</dc:subject>
  <dc:creator>Corinne</dc:creator>
  <cp:lastModifiedBy>Benedicte Boudol</cp:lastModifiedBy>
  <cp:revision>3</cp:revision>
  <cp:lastPrinted>2016-03-21T17:29:00Z</cp:lastPrinted>
  <dcterms:created xsi:type="dcterms:W3CDTF">2016-11-10T14:48:00Z</dcterms:created>
  <dcterms:modified xsi:type="dcterms:W3CDTF">2016-11-10T14:55:00Z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