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E4E9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E4E96" w:rsidP="00FE4E96">
            <w:pPr>
              <w:jc w:val="right"/>
            </w:pPr>
            <w:r w:rsidRPr="00FE4E96">
              <w:rPr>
                <w:sz w:val="40"/>
              </w:rPr>
              <w:t>ECE</w:t>
            </w:r>
            <w:r>
              <w:t>/TRANS/WP.29/GRPE/2018/10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E4E96" w:rsidP="00C97039">
            <w:pPr>
              <w:spacing w:before="240"/>
            </w:pPr>
            <w:r>
              <w:t>Distr. générale</w:t>
            </w:r>
          </w:p>
          <w:p w:rsidR="00FE4E96" w:rsidRDefault="00FE4E96" w:rsidP="00FE4E96">
            <w:pPr>
              <w:spacing w:line="240" w:lineRule="exact"/>
            </w:pPr>
            <w:r>
              <w:t>20 octobre 2017</w:t>
            </w:r>
          </w:p>
          <w:p w:rsidR="00FE4E96" w:rsidRDefault="00FE4E96" w:rsidP="00FE4E96">
            <w:pPr>
              <w:spacing w:line="240" w:lineRule="exact"/>
            </w:pPr>
            <w:r>
              <w:t>Français</w:t>
            </w:r>
          </w:p>
          <w:p w:rsidR="00FE4E96" w:rsidRPr="00DB58B5" w:rsidRDefault="00FE4E96" w:rsidP="00FE4E9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E4E96" w:rsidRDefault="00FE4E9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E4E96" w:rsidRDefault="00FE4E96" w:rsidP="00257168">
      <w:pPr>
        <w:spacing w:before="120" w:after="120" w:line="240" w:lineRule="exact"/>
        <w:rPr>
          <w:b/>
        </w:rPr>
      </w:pPr>
      <w:r>
        <w:rPr>
          <w:b/>
        </w:rPr>
        <w:t>Groupe de travail de la pollution et de l’énergie</w:t>
      </w:r>
    </w:p>
    <w:p w:rsidR="00FE4E96" w:rsidRDefault="00FE4E96" w:rsidP="00257168">
      <w:pPr>
        <w:spacing w:before="120" w:line="240" w:lineRule="exact"/>
        <w:rPr>
          <w:b/>
        </w:rPr>
      </w:pPr>
      <w:r w:rsidRPr="00FE4E96">
        <w:rPr>
          <w:b/>
          <w:lang w:val="fr-FR"/>
        </w:rPr>
        <w:t>Soixante-seizième</w:t>
      </w:r>
      <w:r w:rsidRPr="00FE4E96">
        <w:rPr>
          <w:b/>
        </w:rPr>
        <w:t xml:space="preserve"> </w:t>
      </w:r>
      <w:r>
        <w:rPr>
          <w:b/>
        </w:rPr>
        <w:t>session</w:t>
      </w:r>
    </w:p>
    <w:p w:rsidR="00FE4E96" w:rsidRDefault="00FE4E96" w:rsidP="00257168">
      <w:pPr>
        <w:spacing w:line="240" w:lineRule="exact"/>
      </w:pPr>
      <w:r>
        <w:t xml:space="preserve">Genève, </w:t>
      </w:r>
      <w:r w:rsidRPr="00FE4E96">
        <w:rPr>
          <w:lang w:val="fr-FR"/>
        </w:rPr>
        <w:t>9-12</w:t>
      </w:r>
      <w:r>
        <w:rPr>
          <w:lang w:val="fr-FR"/>
        </w:rPr>
        <w:t> </w:t>
      </w:r>
      <w:r w:rsidRPr="00FE4E96">
        <w:rPr>
          <w:lang w:val="fr-FR"/>
        </w:rPr>
        <w:t>janvier 2018</w:t>
      </w:r>
    </w:p>
    <w:p w:rsidR="00FE4E96" w:rsidRDefault="00FE4E96" w:rsidP="00257168">
      <w:pPr>
        <w:spacing w:line="240" w:lineRule="exact"/>
      </w:pPr>
      <w:r>
        <w:t xml:space="preserve">Point </w:t>
      </w:r>
      <w:r w:rsidRPr="00636405">
        <w:rPr>
          <w:szCs w:val="24"/>
          <w:lang w:val="fr-FR"/>
        </w:rPr>
        <w:t>4 a)</w:t>
      </w:r>
      <w:r w:rsidR="00183E69">
        <w:rPr>
          <w:szCs w:val="24"/>
          <w:lang w:val="fr-FR"/>
        </w:rPr>
        <w:t xml:space="preserve"> </w:t>
      </w:r>
      <w:r>
        <w:t>de l’ordre du jour provisoire</w:t>
      </w:r>
    </w:p>
    <w:p w:rsidR="00F9573C" w:rsidRDefault="00FE4E96" w:rsidP="00AF0CB5">
      <w:pPr>
        <w:rPr>
          <w:b/>
          <w:szCs w:val="24"/>
          <w:lang w:val="fr-FR"/>
        </w:rPr>
      </w:pPr>
      <w:r w:rsidRPr="00636405">
        <w:rPr>
          <w:b/>
          <w:szCs w:val="24"/>
          <w:lang w:val="fr-FR"/>
        </w:rPr>
        <w:t xml:space="preserve">Véhicules utilitaires lourds − Règlements </w:t>
      </w:r>
      <w:r w:rsidRPr="00FE4E96">
        <w:rPr>
          <w:rFonts w:eastAsia="MS Mincho"/>
          <w:b/>
          <w:szCs w:val="22"/>
          <w:lang w:val="fr-FR"/>
        </w:rPr>
        <w:t>n</w:t>
      </w:r>
      <w:r w:rsidRPr="00FE4E96">
        <w:rPr>
          <w:rFonts w:eastAsia="MS Mincho"/>
          <w:b/>
          <w:szCs w:val="22"/>
          <w:vertAlign w:val="superscript"/>
          <w:lang w:val="fr-FR"/>
        </w:rPr>
        <w:t>o</w:t>
      </w:r>
      <w:r>
        <w:rPr>
          <w:rFonts w:eastAsia="MS Mincho"/>
          <w:b/>
          <w:szCs w:val="22"/>
          <w:vertAlign w:val="superscript"/>
          <w:lang w:val="fr-FR"/>
        </w:rPr>
        <w:t>s</w:t>
      </w:r>
      <w:r>
        <w:rPr>
          <w:b/>
          <w:szCs w:val="24"/>
          <w:lang w:val="fr-FR"/>
        </w:rPr>
        <w:t> </w:t>
      </w:r>
      <w:r w:rsidRPr="00636405">
        <w:rPr>
          <w:b/>
          <w:szCs w:val="24"/>
          <w:lang w:val="fr-FR"/>
        </w:rPr>
        <w:t xml:space="preserve">49 (Émissions </w:t>
      </w:r>
      <w:r>
        <w:rPr>
          <w:b/>
          <w:szCs w:val="24"/>
          <w:lang w:val="fr-FR"/>
        </w:rPr>
        <w:br/>
      </w:r>
      <w:r w:rsidRPr="00636405">
        <w:rPr>
          <w:b/>
          <w:szCs w:val="24"/>
          <w:lang w:val="fr-FR"/>
        </w:rPr>
        <w:t xml:space="preserve">des moteurs à allumage par compression et des moteurs </w:t>
      </w:r>
      <w:r>
        <w:rPr>
          <w:b/>
          <w:szCs w:val="24"/>
          <w:lang w:val="fr-FR"/>
        </w:rPr>
        <w:br/>
      </w:r>
      <w:r w:rsidRPr="00636405">
        <w:rPr>
          <w:b/>
          <w:szCs w:val="24"/>
          <w:lang w:val="fr-FR"/>
        </w:rPr>
        <w:t xml:space="preserve">à allumage commandé (GNC et GPL)) et 132 </w:t>
      </w:r>
      <w:r>
        <w:rPr>
          <w:b/>
          <w:szCs w:val="24"/>
          <w:lang w:val="fr-FR"/>
        </w:rPr>
        <w:br/>
      </w:r>
      <w:r w:rsidRPr="00636405">
        <w:rPr>
          <w:b/>
          <w:szCs w:val="24"/>
          <w:lang w:val="fr-FR"/>
        </w:rPr>
        <w:t>(Dispositifs antipollution de mise à niveau)</w:t>
      </w:r>
    </w:p>
    <w:p w:rsidR="00FE4E96" w:rsidRPr="00636405" w:rsidRDefault="00FE4E96" w:rsidP="00FE4E96">
      <w:pPr>
        <w:pStyle w:val="HChG"/>
        <w:rPr>
          <w:lang w:val="fr-FR"/>
        </w:rPr>
      </w:pPr>
      <w:r>
        <w:rPr>
          <w:lang w:val="fr-FR"/>
        </w:rPr>
        <w:tab/>
      </w:r>
      <w:r>
        <w:rPr>
          <w:lang w:val="fr-FR"/>
        </w:rPr>
        <w:tab/>
      </w:r>
      <w:r w:rsidRPr="00636405">
        <w:rPr>
          <w:lang w:val="fr-FR"/>
        </w:rPr>
        <w:t>Proposition de nouveau complément à la série 06 d</w:t>
      </w:r>
      <w:r>
        <w:rPr>
          <w:lang w:val="fr-FR"/>
        </w:rPr>
        <w:t>’</w:t>
      </w:r>
      <w:r w:rsidRPr="00636405">
        <w:rPr>
          <w:lang w:val="fr-FR"/>
        </w:rPr>
        <w:t xml:space="preserve">amendements au Règlement </w:t>
      </w:r>
      <w:r w:rsidRPr="00FE4E96">
        <w:rPr>
          <w:rFonts w:eastAsia="MS Mincho"/>
          <w:szCs w:val="22"/>
          <w:lang w:val="fr-FR"/>
        </w:rPr>
        <w:t>n</w:t>
      </w:r>
      <w:r w:rsidRPr="00FE4E96">
        <w:rPr>
          <w:rFonts w:eastAsia="MS Mincho"/>
          <w:szCs w:val="22"/>
          <w:vertAlign w:val="superscript"/>
          <w:lang w:val="fr-FR"/>
        </w:rPr>
        <w:t>o</w:t>
      </w:r>
      <w:r>
        <w:rPr>
          <w:lang w:val="fr-FR"/>
        </w:rPr>
        <w:t> </w:t>
      </w:r>
      <w:r w:rsidRPr="00636405">
        <w:rPr>
          <w:lang w:val="fr-FR"/>
        </w:rPr>
        <w:t xml:space="preserve">49 (Émissions </w:t>
      </w:r>
      <w:r>
        <w:rPr>
          <w:lang w:val="fr-FR"/>
        </w:rPr>
        <w:br/>
      </w:r>
      <w:r w:rsidRPr="00636405">
        <w:rPr>
          <w:lang w:val="fr-FR"/>
        </w:rPr>
        <w:t xml:space="preserve">des moteurs à allumage par compression et des </w:t>
      </w:r>
      <w:r>
        <w:rPr>
          <w:lang w:val="fr-FR"/>
        </w:rPr>
        <w:br/>
      </w:r>
      <w:r w:rsidRPr="00636405">
        <w:rPr>
          <w:lang w:val="fr-FR"/>
        </w:rPr>
        <w:t>moteurs à allumage commandé (GNC et GPL))</w:t>
      </w:r>
    </w:p>
    <w:p w:rsidR="00FE4E96" w:rsidRPr="00636405" w:rsidRDefault="00FE4E96" w:rsidP="00FE4E96">
      <w:pPr>
        <w:pStyle w:val="H1G"/>
        <w:rPr>
          <w:lang w:val="fr-FR"/>
        </w:rPr>
      </w:pPr>
      <w:r w:rsidRPr="00636405">
        <w:rPr>
          <w:lang w:val="fr-FR"/>
        </w:rPr>
        <w:tab/>
      </w:r>
      <w:r w:rsidRPr="00636405">
        <w:rPr>
          <w:lang w:val="fr-FR"/>
        </w:rPr>
        <w:tab/>
        <w:t>Communication de l</w:t>
      </w:r>
      <w:r>
        <w:rPr>
          <w:lang w:val="fr-FR"/>
        </w:rPr>
        <w:t>’</w:t>
      </w:r>
      <w:r w:rsidRPr="00636405">
        <w:rPr>
          <w:lang w:val="fr-FR"/>
        </w:rPr>
        <w:t>expert de l</w:t>
      </w:r>
      <w:r>
        <w:rPr>
          <w:lang w:val="fr-FR"/>
        </w:rPr>
        <w:t>’</w:t>
      </w:r>
      <w:r w:rsidRPr="00636405">
        <w:rPr>
          <w:lang w:val="fr-FR"/>
        </w:rPr>
        <w:t xml:space="preserve">Organisation internationale </w:t>
      </w:r>
      <w:r>
        <w:rPr>
          <w:lang w:val="fr-FR"/>
        </w:rPr>
        <w:br/>
      </w:r>
      <w:r w:rsidRPr="00636405">
        <w:rPr>
          <w:lang w:val="fr-FR"/>
        </w:rPr>
        <w:t>des constructeurs d</w:t>
      </w:r>
      <w:r>
        <w:rPr>
          <w:lang w:val="fr-FR"/>
        </w:rPr>
        <w:t>’</w:t>
      </w:r>
      <w:r w:rsidRPr="00636405">
        <w:rPr>
          <w:lang w:val="fr-FR"/>
        </w:rPr>
        <w:t>automobiles</w:t>
      </w:r>
      <w:r w:rsidRPr="00FE4E96">
        <w:rPr>
          <w:rStyle w:val="FootnoteReference"/>
          <w:b w:val="0"/>
          <w:sz w:val="20"/>
          <w:vertAlign w:val="baseline"/>
        </w:rPr>
        <w:footnoteReference w:customMarkFollows="1" w:id="2"/>
        <w:t>*</w:t>
      </w:r>
    </w:p>
    <w:p w:rsidR="00FE4E96" w:rsidRDefault="00FE4E96" w:rsidP="00FE4E96">
      <w:pPr>
        <w:pStyle w:val="SingleTxtG"/>
        <w:ind w:firstLine="567"/>
        <w:rPr>
          <w:lang w:val="fr-FR"/>
        </w:rPr>
      </w:pPr>
      <w:r w:rsidRPr="00636405">
        <w:rPr>
          <w:lang w:val="fr-FR"/>
        </w:rPr>
        <w:t>Le texte reproduit ci-après, établi par l</w:t>
      </w:r>
      <w:r>
        <w:rPr>
          <w:lang w:val="fr-FR"/>
        </w:rPr>
        <w:t>’</w:t>
      </w:r>
      <w:r w:rsidRPr="00636405">
        <w:rPr>
          <w:lang w:val="fr-FR"/>
        </w:rPr>
        <w:t>expert de l</w:t>
      </w:r>
      <w:r>
        <w:rPr>
          <w:lang w:val="fr-FR"/>
        </w:rPr>
        <w:t>’</w:t>
      </w:r>
      <w:r w:rsidRPr="00636405">
        <w:rPr>
          <w:lang w:val="fr-FR"/>
        </w:rPr>
        <w:t>Organisation internationale des constructeurs d</w:t>
      </w:r>
      <w:r>
        <w:rPr>
          <w:lang w:val="fr-FR"/>
        </w:rPr>
        <w:t>’</w:t>
      </w:r>
      <w:r w:rsidRPr="00636405">
        <w:rPr>
          <w:lang w:val="fr-FR"/>
        </w:rPr>
        <w:t>automobiles (OICA), vise à améliorer les dispositions qui s</w:t>
      </w:r>
      <w:r>
        <w:rPr>
          <w:lang w:val="fr-FR"/>
        </w:rPr>
        <w:t>’</w:t>
      </w:r>
      <w:r w:rsidRPr="00636405">
        <w:rPr>
          <w:lang w:val="fr-FR"/>
        </w:rPr>
        <w:t>appliquent à la validation du signal de couple du module de gestion électronique du moteur dans la série 06 d</w:t>
      </w:r>
      <w:r>
        <w:rPr>
          <w:lang w:val="fr-FR"/>
        </w:rPr>
        <w:t>’</w:t>
      </w:r>
      <w:r w:rsidRPr="00636405">
        <w:rPr>
          <w:lang w:val="fr-FR"/>
        </w:rPr>
        <w:t>amendements au Règlement n</w:t>
      </w:r>
      <w:r w:rsidRPr="00636405">
        <w:rPr>
          <w:vertAlign w:val="superscript"/>
          <w:lang w:val="fr-FR"/>
        </w:rPr>
        <w:t>o</w:t>
      </w:r>
      <w:r w:rsidRPr="00636405">
        <w:rPr>
          <w:lang w:val="fr-FR"/>
        </w:rPr>
        <w:t xml:space="preserve"> 49. Les dispositions actuelles contraignent le constructeur à diminuer volontairement la précision du signal de couple dans le cas où il déclare des carburants commerciaux supplémentaires. La proposition tient compte du projet de complément 5 à la série 06 d</w:t>
      </w:r>
      <w:r>
        <w:rPr>
          <w:lang w:val="fr-FR"/>
        </w:rPr>
        <w:t>’</w:t>
      </w:r>
      <w:r w:rsidRPr="00636405">
        <w:rPr>
          <w:lang w:val="fr-FR"/>
        </w:rPr>
        <w:t>amendements au Règlement n</w:t>
      </w:r>
      <w:r w:rsidRPr="00636405">
        <w:rPr>
          <w:vertAlign w:val="superscript"/>
          <w:lang w:val="fr-FR"/>
        </w:rPr>
        <w:t>o</w:t>
      </w:r>
      <w:r w:rsidR="008809D8">
        <w:rPr>
          <w:lang w:val="fr-FR"/>
        </w:rPr>
        <w:t> </w:t>
      </w:r>
      <w:r w:rsidRPr="00636405">
        <w:rPr>
          <w:lang w:val="fr-FR"/>
        </w:rPr>
        <w:t>49, adopté à la dernière session du Groupe de travail de la pollution et de l</w:t>
      </w:r>
      <w:r>
        <w:rPr>
          <w:lang w:val="fr-FR"/>
        </w:rPr>
        <w:t>’</w:t>
      </w:r>
      <w:r w:rsidRPr="00636405">
        <w:rPr>
          <w:lang w:val="fr-FR"/>
        </w:rPr>
        <w:t>énergie (GRPE) (voir le rapport ECE/TRANS/WP.29/GRPE/75, par.</w:t>
      </w:r>
      <w:r>
        <w:rPr>
          <w:lang w:val="fr-FR"/>
        </w:rPr>
        <w:t> </w:t>
      </w:r>
      <w:r w:rsidRPr="00636405">
        <w:rPr>
          <w:lang w:val="fr-FR"/>
        </w:rPr>
        <w:t>21), sous réserve de l</w:t>
      </w:r>
      <w:r>
        <w:rPr>
          <w:lang w:val="fr-FR"/>
        </w:rPr>
        <w:t>’</w:t>
      </w:r>
      <w:r w:rsidRPr="00636405">
        <w:rPr>
          <w:lang w:val="fr-FR"/>
        </w:rPr>
        <w:t>adoption finale du document ECE/TRANS/WP.29/2017/130 par le Forum mondial de l</w:t>
      </w:r>
      <w:r>
        <w:rPr>
          <w:lang w:val="fr-FR"/>
        </w:rPr>
        <w:t>’</w:t>
      </w:r>
      <w:r w:rsidRPr="00636405">
        <w:rPr>
          <w:lang w:val="fr-FR"/>
        </w:rPr>
        <w:t>harmonisation des Règlements concernant les véhicules (WP.29) et le Comité d</w:t>
      </w:r>
      <w:r>
        <w:rPr>
          <w:lang w:val="fr-FR"/>
        </w:rPr>
        <w:t>’</w:t>
      </w:r>
      <w:r w:rsidRPr="00636405">
        <w:rPr>
          <w:lang w:val="fr-FR"/>
        </w:rPr>
        <w:t>administration de l</w:t>
      </w:r>
      <w:r>
        <w:rPr>
          <w:lang w:val="fr-FR"/>
        </w:rPr>
        <w:t>’</w:t>
      </w:r>
      <w:r w:rsidRPr="00636405">
        <w:rPr>
          <w:lang w:val="fr-FR"/>
        </w:rPr>
        <w:t>Accord de 1958 (AC.1) à leurs sessions de novembre 2017. Les modifications qu</w:t>
      </w:r>
      <w:r>
        <w:rPr>
          <w:lang w:val="fr-FR"/>
        </w:rPr>
        <w:t>’</w:t>
      </w:r>
      <w:r w:rsidRPr="00636405">
        <w:rPr>
          <w:lang w:val="fr-FR"/>
        </w:rPr>
        <w:t>il est proposé d</w:t>
      </w:r>
      <w:r>
        <w:rPr>
          <w:lang w:val="fr-FR"/>
        </w:rPr>
        <w:t>’</w:t>
      </w:r>
      <w:r w:rsidRPr="00636405">
        <w:rPr>
          <w:lang w:val="fr-FR"/>
        </w:rPr>
        <w:t>apporter au texte actuel du Règlement sont signalées en caractères gras pour les ajouts ou en caractères biffés pour les suppressions.</w:t>
      </w:r>
    </w:p>
    <w:p w:rsidR="00FE4E96" w:rsidRPr="00636405" w:rsidRDefault="00FE4E96" w:rsidP="000C304C">
      <w:pPr>
        <w:pStyle w:val="HChG"/>
        <w:spacing w:before="120"/>
        <w:rPr>
          <w:lang w:val="fr-FR"/>
        </w:rPr>
      </w:pPr>
      <w:r>
        <w:rPr>
          <w:lang w:val="fr-FR"/>
        </w:rPr>
        <w:br w:type="page"/>
      </w:r>
      <w:r w:rsidRPr="00636405">
        <w:rPr>
          <w:lang w:val="fr-FR"/>
        </w:rPr>
        <w:lastRenderedPageBreak/>
        <w:tab/>
        <w:t>I.</w:t>
      </w:r>
      <w:r w:rsidRPr="00636405">
        <w:rPr>
          <w:lang w:val="fr-FR"/>
        </w:rPr>
        <w:tab/>
        <w:t>Proposition</w:t>
      </w:r>
    </w:p>
    <w:p w:rsidR="00FE4E96" w:rsidRPr="00636405" w:rsidRDefault="00FE4E96" w:rsidP="00FE4E96">
      <w:pPr>
        <w:pStyle w:val="SingleTxtG"/>
        <w:rPr>
          <w:lang w:val="fr-FR"/>
        </w:rPr>
      </w:pPr>
      <w:r w:rsidRPr="00636405">
        <w:rPr>
          <w:i/>
          <w:lang w:val="fr-FR"/>
        </w:rPr>
        <w:t>Paragraphe 4.6.2</w:t>
      </w:r>
      <w:r w:rsidRPr="00636405">
        <w:rPr>
          <w:lang w:val="fr-FR"/>
        </w:rPr>
        <w:t>, modifier comme suit</w:t>
      </w:r>
      <w:r>
        <w:rPr>
          <w:lang w:val="fr-FR"/>
        </w:rPr>
        <w:t> :</w:t>
      </w:r>
    </w:p>
    <w:p w:rsidR="00FE4E96" w:rsidRPr="00636405" w:rsidRDefault="00FE4E96" w:rsidP="00FE4E96">
      <w:pPr>
        <w:pStyle w:val="SingleTxtG"/>
        <w:ind w:left="2268" w:hanging="1134"/>
        <w:rPr>
          <w:lang w:val="fr-FR"/>
        </w:rPr>
      </w:pPr>
      <w:r w:rsidRPr="00636405">
        <w:rPr>
          <w:lang w:val="fr-FR"/>
        </w:rPr>
        <w:t>«</w:t>
      </w:r>
      <w:r w:rsidR="00183E69">
        <w:rPr>
          <w:lang w:val="fr-FR"/>
        </w:rPr>
        <w:t> </w:t>
      </w:r>
      <w:r w:rsidRPr="00636405">
        <w:rPr>
          <w:lang w:val="fr-FR"/>
        </w:rPr>
        <w:t>4.6.2</w:t>
      </w:r>
      <w:r w:rsidRPr="00636405">
        <w:rPr>
          <w:lang w:val="fr-FR"/>
        </w:rPr>
        <w:tab/>
        <w:t>S</w:t>
      </w:r>
      <w:r>
        <w:rPr>
          <w:lang w:val="fr-FR"/>
        </w:rPr>
        <w:t>’</w:t>
      </w:r>
      <w:r w:rsidRPr="00636405">
        <w:rPr>
          <w:lang w:val="fr-FR"/>
        </w:rPr>
        <w:t>il autorise à faire fonctionner la famille de moteurs avec des carburants du marché qui ne correspondent ni aux carburants de référence mentionnés à l</w:t>
      </w:r>
      <w:r>
        <w:rPr>
          <w:lang w:val="fr-FR"/>
        </w:rPr>
        <w:t>’</w:t>
      </w:r>
      <w:r w:rsidRPr="00636405">
        <w:rPr>
          <w:lang w:val="fr-FR"/>
        </w:rPr>
        <w:t>annexe 5, ni à la norme CEN EN 228 (dans le cas de l</w:t>
      </w:r>
      <w:r>
        <w:rPr>
          <w:lang w:val="fr-FR"/>
        </w:rPr>
        <w:t>’</w:t>
      </w:r>
      <w:r w:rsidRPr="00636405">
        <w:rPr>
          <w:lang w:val="fr-FR"/>
        </w:rPr>
        <w:t>essence sans plomb) ou à la norme CEN EN 590 (dans le cas du gazole), tels que l</w:t>
      </w:r>
      <w:r>
        <w:rPr>
          <w:lang w:val="fr-FR"/>
        </w:rPr>
        <w:t>’</w:t>
      </w:r>
      <w:r w:rsidRPr="00636405">
        <w:rPr>
          <w:lang w:val="fr-FR"/>
        </w:rPr>
        <w:t>EMAG</w:t>
      </w:r>
      <w:r w:rsidR="007C4DF4">
        <w:rPr>
          <w:lang w:val="fr-FR"/>
        </w:rPr>
        <w:t> </w:t>
      </w:r>
      <w:r w:rsidRPr="00636405">
        <w:rPr>
          <w:lang w:val="fr-FR"/>
        </w:rPr>
        <w:t>B100 (norme CEN</w:t>
      </w:r>
      <w:r>
        <w:rPr>
          <w:lang w:val="fr-FR"/>
        </w:rPr>
        <w:t> </w:t>
      </w:r>
      <w:r w:rsidRPr="00636405">
        <w:rPr>
          <w:lang w:val="fr-FR"/>
        </w:rPr>
        <w:t>EN</w:t>
      </w:r>
      <w:r>
        <w:rPr>
          <w:lang w:val="fr-FR"/>
        </w:rPr>
        <w:t> </w:t>
      </w:r>
      <w:r w:rsidRPr="00636405">
        <w:rPr>
          <w:lang w:val="fr-FR"/>
        </w:rPr>
        <w:t>14214), les carburants diesel à haute teneur en EMAG</w:t>
      </w:r>
      <w:r>
        <w:rPr>
          <w:lang w:val="fr-FR"/>
        </w:rPr>
        <w:t> </w:t>
      </w:r>
      <w:r w:rsidRPr="00636405">
        <w:rPr>
          <w:lang w:val="fr-FR"/>
        </w:rPr>
        <w:t>B20/B30 (norme CEN</w:t>
      </w:r>
      <w:r w:rsidR="007C4DF4">
        <w:rPr>
          <w:lang w:val="fr-FR"/>
        </w:rPr>
        <w:t> </w:t>
      </w:r>
      <w:r w:rsidRPr="00636405">
        <w:rPr>
          <w:lang w:val="fr-FR"/>
        </w:rPr>
        <w:t>EN</w:t>
      </w:r>
      <w:r w:rsidR="007C4DF4">
        <w:rPr>
          <w:lang w:val="fr-FR"/>
        </w:rPr>
        <w:t> </w:t>
      </w:r>
      <w:r w:rsidRPr="00636405">
        <w:rPr>
          <w:lang w:val="fr-FR"/>
        </w:rPr>
        <w:t>16709) ou les gazoles paraffiniques (norme CEN</w:t>
      </w:r>
      <w:r>
        <w:rPr>
          <w:lang w:val="fr-FR"/>
        </w:rPr>
        <w:t> </w:t>
      </w:r>
      <w:r w:rsidRPr="00636405">
        <w:rPr>
          <w:lang w:val="fr-FR"/>
        </w:rPr>
        <w:t>EN</w:t>
      </w:r>
      <w:r>
        <w:rPr>
          <w:lang w:val="fr-FR"/>
        </w:rPr>
        <w:t> </w:t>
      </w:r>
      <w:r w:rsidRPr="00636405">
        <w:rPr>
          <w:lang w:val="fr-FR"/>
        </w:rPr>
        <w:t>15940), le constructeur doit satisfaire aux prescriptions du paragraphe 4.6.1 ainsi qu</w:t>
      </w:r>
      <w:r>
        <w:rPr>
          <w:lang w:val="fr-FR"/>
        </w:rPr>
        <w:t>’</w:t>
      </w:r>
      <w:r w:rsidRPr="00636405">
        <w:rPr>
          <w:lang w:val="fr-FR"/>
        </w:rPr>
        <w:t>aux prescriptions suivantes</w:t>
      </w:r>
      <w:r>
        <w:rPr>
          <w:lang w:val="fr-FR"/>
        </w:rPr>
        <w:t> :</w:t>
      </w:r>
    </w:p>
    <w:p w:rsidR="00FE4E96" w:rsidRPr="00636405" w:rsidRDefault="00FE4E96" w:rsidP="007C4DF4">
      <w:pPr>
        <w:pStyle w:val="SingleTxtG"/>
        <w:ind w:left="2835" w:hanging="567"/>
        <w:rPr>
          <w:lang w:val="fr-FR"/>
        </w:rPr>
      </w:pPr>
      <w:r w:rsidRPr="00636405">
        <w:rPr>
          <w:lang w:val="fr-FR"/>
        </w:rPr>
        <w:t>a)</w:t>
      </w:r>
      <w:r w:rsidRPr="00636405">
        <w:rPr>
          <w:lang w:val="fr-FR"/>
        </w:rPr>
        <w:tab/>
        <w:t>Déclarer les carburants avec lesquels la famille de moteurs peut fonctionner au point 3.2.2.2.1 du document d</w:t>
      </w:r>
      <w:r>
        <w:rPr>
          <w:lang w:val="fr-FR"/>
        </w:rPr>
        <w:t>’</w:t>
      </w:r>
      <w:r w:rsidRPr="00636405">
        <w:rPr>
          <w:lang w:val="fr-FR"/>
        </w:rPr>
        <w:t>information présenté dans la partie 1 de l</w:t>
      </w:r>
      <w:r>
        <w:rPr>
          <w:lang w:val="fr-FR"/>
        </w:rPr>
        <w:t>’</w:t>
      </w:r>
      <w:r w:rsidRPr="00636405">
        <w:rPr>
          <w:lang w:val="fr-FR"/>
        </w:rPr>
        <w:t>annexe 1, en faisant référence à une norme officielle ou aux spécifications de production d</w:t>
      </w:r>
      <w:r>
        <w:rPr>
          <w:lang w:val="fr-FR"/>
        </w:rPr>
        <w:t>’</w:t>
      </w:r>
      <w:r w:rsidRPr="00636405">
        <w:rPr>
          <w:lang w:val="fr-FR"/>
        </w:rPr>
        <w:t>un carburant du marché propre à une marque qui ne répond à aucune norme officielle, comme l</w:t>
      </w:r>
      <w:r>
        <w:rPr>
          <w:lang w:val="fr-FR"/>
        </w:rPr>
        <w:t>’</w:t>
      </w:r>
      <w:r w:rsidRPr="00636405">
        <w:rPr>
          <w:lang w:val="fr-FR"/>
        </w:rPr>
        <w:t>un des carburants mentionnés au 4.6.2. Le constructeur doit également assurer que les fonctions du système OBD ne sont pas perturbées par l</w:t>
      </w:r>
      <w:r>
        <w:rPr>
          <w:lang w:val="fr-FR"/>
        </w:rPr>
        <w:t>’</w:t>
      </w:r>
      <w:r w:rsidRPr="00636405">
        <w:rPr>
          <w:lang w:val="fr-FR"/>
        </w:rPr>
        <w:t>utilisation du carburant déclaré</w:t>
      </w:r>
      <w:r w:rsidR="007C4DF4">
        <w:rPr>
          <w:lang w:val="fr-FR"/>
        </w:rPr>
        <w:t> </w:t>
      </w:r>
      <w:r>
        <w:rPr>
          <w:lang w:val="fr-FR"/>
        </w:rPr>
        <w:t>;</w:t>
      </w:r>
    </w:p>
    <w:p w:rsidR="00FE4E96" w:rsidRPr="00636405" w:rsidRDefault="007C4DF4" w:rsidP="007C4DF4">
      <w:pPr>
        <w:pStyle w:val="SingleTxtG"/>
        <w:ind w:left="2835" w:hanging="567"/>
        <w:rPr>
          <w:b/>
          <w:szCs w:val="24"/>
          <w:lang w:val="fr-FR"/>
        </w:rPr>
      </w:pPr>
      <w:r w:rsidRPr="007C4DF4">
        <w:rPr>
          <w:szCs w:val="24"/>
          <w:lang w:val="fr-FR"/>
        </w:rPr>
        <w:t>b)</w:t>
      </w:r>
      <w:r w:rsidR="00FE4E96" w:rsidRPr="007C4DF4">
        <w:rPr>
          <w:szCs w:val="24"/>
          <w:lang w:val="fr-FR"/>
        </w:rPr>
        <w:tab/>
      </w:r>
      <w:r w:rsidR="00FE4E96" w:rsidRPr="00636405">
        <w:rPr>
          <w:b/>
          <w:szCs w:val="24"/>
          <w:lang w:val="fr-FR"/>
        </w:rPr>
        <w:t>Déterminer le facteur de correction de la puissance pour chaque carburant déclaré, conformément aux dispositions du paragraphe 9.4.2.8 s</w:t>
      </w:r>
      <w:r w:rsidR="00FE4E96">
        <w:rPr>
          <w:b/>
          <w:szCs w:val="24"/>
          <w:lang w:val="fr-FR"/>
        </w:rPr>
        <w:t>’</w:t>
      </w:r>
      <w:r w:rsidR="00FE4E96" w:rsidRPr="00636405">
        <w:rPr>
          <w:b/>
          <w:szCs w:val="24"/>
          <w:lang w:val="fr-FR"/>
        </w:rPr>
        <w:t>il y a lieu selon les dispositions du paragraphe 9.4.2.7. Déclarer le facteur pour chaque carburant au 3.2.2.2.2 du document d</w:t>
      </w:r>
      <w:r w:rsidR="00FE4E96">
        <w:rPr>
          <w:b/>
          <w:szCs w:val="24"/>
          <w:lang w:val="fr-FR"/>
        </w:rPr>
        <w:t>’</w:t>
      </w:r>
      <w:r w:rsidR="00FE4E96" w:rsidRPr="00636405">
        <w:rPr>
          <w:b/>
          <w:szCs w:val="24"/>
          <w:lang w:val="fr-FR"/>
        </w:rPr>
        <w:t>information présenté dans la partie 1 de l</w:t>
      </w:r>
      <w:r w:rsidR="00FE4E96">
        <w:rPr>
          <w:b/>
          <w:szCs w:val="24"/>
          <w:lang w:val="fr-FR"/>
        </w:rPr>
        <w:t>’</w:t>
      </w:r>
      <w:r w:rsidR="00FE4E96" w:rsidRPr="00636405">
        <w:rPr>
          <w:b/>
          <w:szCs w:val="24"/>
          <w:lang w:val="fr-FR"/>
        </w:rPr>
        <w:t>annexe 1, s</w:t>
      </w:r>
      <w:r w:rsidR="00FE4E96">
        <w:rPr>
          <w:b/>
          <w:szCs w:val="24"/>
          <w:lang w:val="fr-FR"/>
        </w:rPr>
        <w:t>’</w:t>
      </w:r>
      <w:r w:rsidR="00FE4E96" w:rsidRPr="00636405">
        <w:rPr>
          <w:b/>
          <w:szCs w:val="24"/>
          <w:lang w:val="fr-FR"/>
        </w:rPr>
        <w:t>il y a lieu</w:t>
      </w:r>
      <w:r>
        <w:rPr>
          <w:b/>
          <w:szCs w:val="24"/>
          <w:lang w:val="fr-FR"/>
        </w:rPr>
        <w:t> </w:t>
      </w:r>
      <w:r w:rsidR="00FE4E96" w:rsidRPr="00636405">
        <w:rPr>
          <w:b/>
          <w:szCs w:val="24"/>
          <w:lang w:val="fr-FR"/>
        </w:rPr>
        <w:t>;</w:t>
      </w:r>
    </w:p>
    <w:p w:rsidR="00FE4E96" w:rsidRPr="00636405" w:rsidRDefault="00FE4E96" w:rsidP="007C4DF4">
      <w:pPr>
        <w:pStyle w:val="SingleTxtG"/>
        <w:ind w:left="2835" w:hanging="567"/>
        <w:rPr>
          <w:szCs w:val="24"/>
          <w:lang w:val="fr-FR"/>
        </w:rPr>
      </w:pPr>
      <w:r w:rsidRPr="00636405">
        <w:rPr>
          <w:szCs w:val="24"/>
          <w:lang w:val="fr-FR"/>
        </w:rPr>
        <w:t>c)</w:t>
      </w:r>
      <w:r w:rsidRPr="00636405">
        <w:rPr>
          <w:szCs w:val="24"/>
          <w:lang w:val="fr-FR"/>
        </w:rPr>
        <w:tab/>
        <w:t>Démontrer que le moteur de base satisfait aux prescriptions énoncées à l</w:t>
      </w:r>
      <w:r>
        <w:rPr>
          <w:szCs w:val="24"/>
          <w:lang w:val="fr-FR"/>
        </w:rPr>
        <w:t>’</w:t>
      </w:r>
      <w:r w:rsidRPr="00636405">
        <w:rPr>
          <w:szCs w:val="24"/>
          <w:lang w:val="fr-FR"/>
        </w:rPr>
        <w:t>annexe 4 et à l</w:t>
      </w:r>
      <w:r>
        <w:rPr>
          <w:szCs w:val="24"/>
          <w:lang w:val="fr-FR"/>
        </w:rPr>
        <w:t>’</w:t>
      </w:r>
      <w:r w:rsidRPr="00636405">
        <w:rPr>
          <w:szCs w:val="24"/>
          <w:lang w:val="fr-FR"/>
        </w:rPr>
        <w:t>appendice 1 de l</w:t>
      </w:r>
      <w:r>
        <w:rPr>
          <w:szCs w:val="24"/>
          <w:lang w:val="fr-FR"/>
        </w:rPr>
        <w:t>’</w:t>
      </w:r>
      <w:r w:rsidRPr="00636405">
        <w:rPr>
          <w:szCs w:val="24"/>
          <w:lang w:val="fr-FR"/>
        </w:rPr>
        <w:t>annexe 10 du présent Règlement en utilisant les carburants déclarés</w:t>
      </w:r>
      <w:r w:rsidR="007F0576">
        <w:rPr>
          <w:szCs w:val="24"/>
          <w:lang w:val="fr-FR"/>
        </w:rPr>
        <w:t> </w:t>
      </w:r>
      <w:r>
        <w:rPr>
          <w:szCs w:val="24"/>
          <w:lang w:val="fr-FR"/>
        </w:rPr>
        <w:t>;</w:t>
      </w:r>
      <w:r w:rsidRPr="00636405">
        <w:rPr>
          <w:szCs w:val="24"/>
          <w:lang w:val="fr-FR"/>
        </w:rPr>
        <w:t xml:space="preserve"> l</w:t>
      </w:r>
      <w:r>
        <w:rPr>
          <w:szCs w:val="24"/>
          <w:lang w:val="fr-FR"/>
        </w:rPr>
        <w:t>’</w:t>
      </w:r>
      <w:r w:rsidRPr="00636405">
        <w:rPr>
          <w:szCs w:val="24"/>
          <w:lang w:val="fr-FR"/>
        </w:rPr>
        <w:t>autorité d</w:t>
      </w:r>
      <w:r>
        <w:rPr>
          <w:szCs w:val="24"/>
          <w:lang w:val="fr-FR"/>
        </w:rPr>
        <w:t>’</w:t>
      </w:r>
      <w:r w:rsidRPr="00636405">
        <w:rPr>
          <w:szCs w:val="24"/>
          <w:lang w:val="fr-FR"/>
        </w:rPr>
        <w:t>homologation peut exiger que les prescriptions en matière de démonstration soient complétées de façon à correspondre à celles énoncées à l</w:t>
      </w:r>
      <w:r>
        <w:rPr>
          <w:szCs w:val="24"/>
          <w:lang w:val="fr-FR"/>
        </w:rPr>
        <w:t>’</w:t>
      </w:r>
      <w:r w:rsidRPr="00636405">
        <w:rPr>
          <w:szCs w:val="24"/>
          <w:lang w:val="fr-FR"/>
        </w:rPr>
        <w:t>annexe 7 et à l</w:t>
      </w:r>
      <w:r>
        <w:rPr>
          <w:szCs w:val="24"/>
          <w:lang w:val="fr-FR"/>
        </w:rPr>
        <w:t>’</w:t>
      </w:r>
      <w:r w:rsidRPr="00636405">
        <w:rPr>
          <w:szCs w:val="24"/>
          <w:lang w:val="fr-FR"/>
        </w:rPr>
        <w:t>annexe 9A</w:t>
      </w:r>
      <w:r w:rsidR="007C4DF4">
        <w:rPr>
          <w:szCs w:val="24"/>
          <w:lang w:val="fr-FR"/>
        </w:rPr>
        <w:t> </w:t>
      </w:r>
      <w:r>
        <w:rPr>
          <w:szCs w:val="24"/>
          <w:lang w:val="fr-FR"/>
        </w:rPr>
        <w:t>;</w:t>
      </w:r>
    </w:p>
    <w:p w:rsidR="00FE4E96" w:rsidRPr="00636405" w:rsidRDefault="00FE4E96" w:rsidP="007C4DF4">
      <w:pPr>
        <w:pStyle w:val="SingleTxtG"/>
        <w:ind w:left="2835" w:hanging="567"/>
        <w:rPr>
          <w:lang w:val="fr-FR"/>
        </w:rPr>
      </w:pPr>
      <w:r w:rsidRPr="00636405">
        <w:rPr>
          <w:b/>
          <w:lang w:val="fr-FR"/>
        </w:rPr>
        <w:t>d)</w:t>
      </w:r>
      <w:r w:rsidRPr="00636405">
        <w:rPr>
          <w:lang w:val="fr-FR"/>
        </w:rPr>
        <w:tab/>
      </w:r>
      <w:r w:rsidRPr="007C4DF4">
        <w:rPr>
          <w:szCs w:val="24"/>
          <w:lang w:val="fr-FR"/>
        </w:rPr>
        <w:t>Satisfaire</w:t>
      </w:r>
      <w:r w:rsidRPr="00636405">
        <w:rPr>
          <w:lang w:val="fr-FR"/>
        </w:rPr>
        <w:t xml:space="preserve"> aux prescriptions de conformité en service énoncées à l</w:t>
      </w:r>
      <w:r>
        <w:rPr>
          <w:lang w:val="fr-FR"/>
        </w:rPr>
        <w:t>’</w:t>
      </w:r>
      <w:r w:rsidRPr="00636405">
        <w:rPr>
          <w:lang w:val="fr-FR"/>
        </w:rPr>
        <w:t>annexe 8 en utilisant les carburants déclarés, y compris tout mélange entre les carburants déclarés et les carburants du marché pertinents.</w:t>
      </w:r>
    </w:p>
    <w:p w:rsidR="00FE4E96" w:rsidRPr="00636405" w:rsidRDefault="00FE4E96" w:rsidP="007C4DF4">
      <w:pPr>
        <w:pStyle w:val="SingleTxtG"/>
        <w:ind w:left="2268"/>
        <w:rPr>
          <w:lang w:val="fr-FR"/>
        </w:rPr>
      </w:pPr>
      <w:r w:rsidRPr="00636405">
        <w:rPr>
          <w:lang w:val="fr-FR"/>
        </w:rPr>
        <w:t>À la demande du constructeur, les prescriptions énoncées ici sont applicables aux carburants utilisés pour des véhicules militaires.</w:t>
      </w:r>
    </w:p>
    <w:p w:rsidR="00FE4E96" w:rsidRPr="00636405" w:rsidRDefault="00FE4E96" w:rsidP="007C4DF4">
      <w:pPr>
        <w:pStyle w:val="SingleTxtG"/>
        <w:ind w:left="2268"/>
        <w:rPr>
          <w:lang w:val="fr-FR"/>
        </w:rPr>
      </w:pPr>
      <w:r w:rsidRPr="00636405">
        <w:rPr>
          <w:lang w:val="fr-FR"/>
        </w:rPr>
        <w:t>Aux fins du 4.6.2 a), dans lequel les essais d</w:t>
      </w:r>
      <w:r>
        <w:rPr>
          <w:lang w:val="fr-FR"/>
        </w:rPr>
        <w:t>’</w:t>
      </w:r>
      <w:r w:rsidRPr="00636405">
        <w:rPr>
          <w:lang w:val="fr-FR"/>
        </w:rPr>
        <w:t>émissions sont réalisés pour démontrer la conformité aux prescriptions du présent Règlement, un rapport d</w:t>
      </w:r>
      <w:r>
        <w:rPr>
          <w:lang w:val="fr-FR"/>
        </w:rPr>
        <w:t>’</w:t>
      </w:r>
      <w:r w:rsidRPr="00636405">
        <w:rPr>
          <w:lang w:val="fr-FR"/>
        </w:rPr>
        <w:t>analyse du carburant d</w:t>
      </w:r>
      <w:r>
        <w:rPr>
          <w:lang w:val="fr-FR"/>
        </w:rPr>
        <w:t>’</w:t>
      </w:r>
      <w:r w:rsidRPr="00636405">
        <w:rPr>
          <w:lang w:val="fr-FR"/>
        </w:rPr>
        <w:t>essai, contenant au moins les paramètres indiqués dans la spécification officielle du fournisseur du carburant, doit être joint au procès-verbal d</w:t>
      </w:r>
      <w:r>
        <w:rPr>
          <w:lang w:val="fr-FR"/>
        </w:rPr>
        <w:t>’</w:t>
      </w:r>
      <w:r w:rsidRPr="00636405">
        <w:rPr>
          <w:lang w:val="fr-FR"/>
        </w:rPr>
        <w:t>essai.</w:t>
      </w:r>
      <w:r w:rsidR="007C4DF4">
        <w:rPr>
          <w:lang w:val="fr-FR"/>
        </w:rPr>
        <w:t> </w:t>
      </w:r>
      <w:r w:rsidRPr="00636405">
        <w:rPr>
          <w:lang w:val="fr-FR"/>
        </w:rPr>
        <w:t>».</w:t>
      </w:r>
    </w:p>
    <w:p w:rsidR="00FE4E96" w:rsidRPr="00636405" w:rsidRDefault="00FE4E96" w:rsidP="007C4DF4">
      <w:pPr>
        <w:pStyle w:val="SingleTxtG"/>
        <w:rPr>
          <w:lang w:val="fr-FR"/>
        </w:rPr>
      </w:pPr>
      <w:r w:rsidRPr="007C4DF4">
        <w:rPr>
          <w:i/>
          <w:lang w:val="fr-FR"/>
        </w:rPr>
        <w:t>Paragraphes 9.4.2.5 à 9.4.3.3.1</w:t>
      </w:r>
      <w:r w:rsidRPr="00636405">
        <w:rPr>
          <w:lang w:val="fr-FR"/>
        </w:rPr>
        <w:t>, modifier comme suit</w:t>
      </w:r>
      <w:r w:rsidR="007C4DF4">
        <w:rPr>
          <w:lang w:val="fr-FR"/>
        </w:rPr>
        <w:t> </w:t>
      </w:r>
      <w:r w:rsidRPr="00636405">
        <w:rPr>
          <w:lang w:val="fr-FR"/>
        </w:rPr>
        <w:t>:</w:t>
      </w:r>
    </w:p>
    <w:p w:rsidR="00FE4E96" w:rsidRPr="00636405" w:rsidRDefault="00FE4E96" w:rsidP="007C4DF4">
      <w:pPr>
        <w:pStyle w:val="SingleTxtG"/>
        <w:ind w:left="2268" w:hanging="1134"/>
        <w:rPr>
          <w:lang w:val="fr-FR"/>
        </w:rPr>
      </w:pPr>
      <w:r w:rsidRPr="00636405">
        <w:rPr>
          <w:lang w:val="fr-FR"/>
        </w:rPr>
        <w:t>«</w:t>
      </w:r>
      <w:r w:rsidR="00183E69">
        <w:rPr>
          <w:lang w:val="fr-FR"/>
        </w:rPr>
        <w:t> </w:t>
      </w:r>
      <w:r w:rsidRPr="00636405">
        <w:rPr>
          <w:lang w:val="fr-FR"/>
        </w:rPr>
        <w:t>9.4.2.5</w:t>
      </w:r>
      <w:r w:rsidRPr="00636405">
        <w:rPr>
          <w:lang w:val="fr-FR"/>
        </w:rPr>
        <w:tab/>
        <w:t>La charge moyenne en Nm, calculée pour chaque cas de fonctionnement à partir des données requises au paragraphe 9.4.2.1, ne doit pas différer de la charge moyenne mesurée dans le même cas de fonctionnement de plus de</w:t>
      </w:r>
      <w:r w:rsidR="007C4DF4">
        <w:rPr>
          <w:lang w:val="fr-FR"/>
        </w:rPr>
        <w:t> </w:t>
      </w:r>
      <w:r w:rsidRPr="00636405">
        <w:rPr>
          <w:lang w:val="fr-FR"/>
        </w:rPr>
        <w:t xml:space="preserve">: </w:t>
      </w:r>
    </w:p>
    <w:p w:rsidR="00FE4E96" w:rsidRPr="00636405" w:rsidRDefault="00FE4E96" w:rsidP="007C4DF4">
      <w:pPr>
        <w:pStyle w:val="SingleTxtG"/>
        <w:ind w:left="2835" w:hanging="567"/>
        <w:rPr>
          <w:lang w:val="fr-FR"/>
        </w:rPr>
      </w:pPr>
      <w:r w:rsidRPr="00636405">
        <w:rPr>
          <w:lang w:val="fr-FR"/>
        </w:rPr>
        <w:t>a)</w:t>
      </w:r>
      <w:r w:rsidRPr="00636405">
        <w:rPr>
          <w:lang w:val="fr-FR"/>
        </w:rPr>
        <w:tab/>
        <w:t>7</w:t>
      </w:r>
      <w:r w:rsidR="007C4DF4">
        <w:rPr>
          <w:lang w:val="fr-FR"/>
        </w:rPr>
        <w:t> </w:t>
      </w:r>
      <w:r w:rsidRPr="00636405">
        <w:rPr>
          <w:lang w:val="fr-FR"/>
        </w:rPr>
        <w:t>% de la détermination de la puissance du mo</w:t>
      </w:r>
      <w:r w:rsidR="007C4DF4">
        <w:rPr>
          <w:lang w:val="fr-FR"/>
        </w:rPr>
        <w:t xml:space="preserve">teur conformément au Règlement </w:t>
      </w:r>
      <w:r w:rsidR="007C4DF4" w:rsidRPr="007C4DF4">
        <w:rPr>
          <w:rFonts w:eastAsia="MS Mincho"/>
          <w:szCs w:val="22"/>
          <w:lang w:val="fr-FR"/>
        </w:rPr>
        <w:t>n</w:t>
      </w:r>
      <w:r w:rsidR="007C4DF4" w:rsidRPr="007C4DF4">
        <w:rPr>
          <w:rFonts w:eastAsia="MS Mincho"/>
          <w:szCs w:val="22"/>
          <w:vertAlign w:val="superscript"/>
          <w:lang w:val="fr-FR"/>
        </w:rPr>
        <w:t>o</w:t>
      </w:r>
      <w:r w:rsidR="007C4DF4">
        <w:rPr>
          <w:lang w:val="fr-FR"/>
        </w:rPr>
        <w:t> </w:t>
      </w:r>
      <w:r w:rsidRPr="00636405">
        <w:rPr>
          <w:lang w:val="fr-FR"/>
        </w:rPr>
        <w:t>85</w:t>
      </w:r>
      <w:r w:rsidR="007C4DF4">
        <w:rPr>
          <w:lang w:val="fr-FR"/>
        </w:rPr>
        <w:t> </w:t>
      </w:r>
      <w:r w:rsidRPr="00636405">
        <w:rPr>
          <w:lang w:val="fr-FR"/>
        </w:rPr>
        <w:t>;</w:t>
      </w:r>
    </w:p>
    <w:p w:rsidR="00FE4E96" w:rsidRPr="00636405" w:rsidRDefault="00FE4E96" w:rsidP="007C4DF4">
      <w:pPr>
        <w:pStyle w:val="SingleTxtG"/>
        <w:ind w:left="2835" w:hanging="567"/>
        <w:rPr>
          <w:szCs w:val="24"/>
          <w:lang w:val="fr-FR"/>
        </w:rPr>
      </w:pPr>
      <w:r w:rsidRPr="00636405">
        <w:rPr>
          <w:szCs w:val="24"/>
          <w:lang w:val="fr-FR"/>
        </w:rPr>
        <w:t>b)</w:t>
      </w:r>
      <w:r w:rsidRPr="00636405">
        <w:rPr>
          <w:szCs w:val="24"/>
          <w:lang w:val="fr-FR"/>
        </w:rPr>
        <w:tab/>
        <w:t>10</w:t>
      </w:r>
      <w:r w:rsidR="007C4DF4">
        <w:rPr>
          <w:szCs w:val="24"/>
          <w:lang w:val="fr-FR"/>
        </w:rPr>
        <w:t> </w:t>
      </w:r>
      <w:r w:rsidRPr="00636405">
        <w:rPr>
          <w:szCs w:val="24"/>
          <w:lang w:val="fr-FR"/>
        </w:rPr>
        <w:t>% lors de l</w:t>
      </w:r>
      <w:r>
        <w:rPr>
          <w:szCs w:val="24"/>
          <w:lang w:val="fr-FR"/>
        </w:rPr>
        <w:t>’</w:t>
      </w:r>
      <w:r w:rsidRPr="00636405">
        <w:rPr>
          <w:szCs w:val="24"/>
          <w:lang w:val="fr-FR"/>
        </w:rPr>
        <w:t>exécution du cycle d</w:t>
      </w:r>
      <w:r>
        <w:rPr>
          <w:szCs w:val="24"/>
          <w:lang w:val="fr-FR"/>
        </w:rPr>
        <w:t>’</w:t>
      </w:r>
      <w:r w:rsidRPr="00636405">
        <w:rPr>
          <w:szCs w:val="24"/>
          <w:lang w:val="fr-FR"/>
        </w:rPr>
        <w:t>essai mondial harmonisé en conditions stabilisées (WHSC)</w:t>
      </w:r>
      <w:r w:rsidRPr="00636405">
        <w:rPr>
          <w:b/>
          <w:szCs w:val="24"/>
          <w:lang w:val="fr-FR"/>
        </w:rPr>
        <w:t>, sauf pour les modes 1 et 13 (modes de ralenti),</w:t>
      </w:r>
      <w:r w:rsidRPr="00636405">
        <w:rPr>
          <w:szCs w:val="24"/>
          <w:lang w:val="fr-FR"/>
        </w:rPr>
        <w:t xml:space="preserve"> conformément au paragraphe 7.7 de l</w:t>
      </w:r>
      <w:r>
        <w:rPr>
          <w:szCs w:val="24"/>
          <w:lang w:val="fr-FR"/>
        </w:rPr>
        <w:t>’</w:t>
      </w:r>
      <w:r w:rsidRPr="00636405">
        <w:rPr>
          <w:szCs w:val="24"/>
          <w:lang w:val="fr-FR"/>
        </w:rPr>
        <w:t>annexe 4.</w:t>
      </w:r>
    </w:p>
    <w:p w:rsidR="00FE4E96" w:rsidRPr="00636405" w:rsidRDefault="00FE4E96" w:rsidP="007C4DF4">
      <w:pPr>
        <w:pStyle w:val="SingleTxtG"/>
        <w:ind w:left="2268"/>
        <w:rPr>
          <w:lang w:val="fr-FR"/>
        </w:rPr>
      </w:pPr>
      <w:r w:rsidRPr="00636405">
        <w:rPr>
          <w:lang w:val="fr-FR"/>
        </w:rPr>
        <w:t xml:space="preserve">Le Règlement </w:t>
      </w:r>
      <w:r w:rsidR="007C4DF4" w:rsidRPr="007C4DF4">
        <w:rPr>
          <w:rFonts w:eastAsia="MS Mincho"/>
          <w:szCs w:val="22"/>
          <w:lang w:val="fr-FR"/>
        </w:rPr>
        <w:t>n</w:t>
      </w:r>
      <w:r w:rsidR="007C4DF4" w:rsidRPr="007C4DF4">
        <w:rPr>
          <w:rFonts w:eastAsia="MS Mincho"/>
          <w:szCs w:val="22"/>
          <w:vertAlign w:val="superscript"/>
          <w:lang w:val="fr-FR"/>
        </w:rPr>
        <w:t>o</w:t>
      </w:r>
      <w:r w:rsidR="007C4DF4">
        <w:rPr>
          <w:lang w:val="fr-FR"/>
        </w:rPr>
        <w:t> </w:t>
      </w:r>
      <w:r w:rsidRPr="00636405">
        <w:rPr>
          <w:lang w:val="fr-FR"/>
        </w:rPr>
        <w:t>85 autorise un écart de 5</w:t>
      </w:r>
      <w:r w:rsidR="007C4DF4">
        <w:rPr>
          <w:lang w:val="fr-FR"/>
        </w:rPr>
        <w:t> </w:t>
      </w:r>
      <w:r w:rsidRPr="00636405">
        <w:rPr>
          <w:lang w:val="fr-FR"/>
        </w:rPr>
        <w:t xml:space="preserve">% entre la charge maximale effective du moteur et la charge maximale de référence afin de tenir compte </w:t>
      </w:r>
      <w:r w:rsidRPr="00636405">
        <w:rPr>
          <w:lang w:val="fr-FR"/>
        </w:rPr>
        <w:lastRenderedPageBreak/>
        <w:t>de la variabilité du processus de fabrication. Cette tolérance est prise en compte dans les valeurs ci-dessus.</w:t>
      </w:r>
    </w:p>
    <w:p w:rsidR="00FE4E96" w:rsidRPr="00636405" w:rsidRDefault="00FE4E96" w:rsidP="007C4DF4">
      <w:pPr>
        <w:pStyle w:val="SingleTxtG"/>
        <w:ind w:left="2268" w:hanging="1134"/>
        <w:rPr>
          <w:lang w:val="fr-FR"/>
        </w:rPr>
      </w:pPr>
      <w:r w:rsidRPr="00636405">
        <w:rPr>
          <w:lang w:val="fr-FR"/>
        </w:rPr>
        <w:t>9.4.2.6</w:t>
      </w:r>
      <w:r w:rsidRPr="00636405">
        <w:rPr>
          <w:lang w:val="fr-FR"/>
        </w:rPr>
        <w:tab/>
      </w:r>
      <w:r w:rsidRPr="00636405">
        <w:rPr>
          <w:lang w:val="fr-FR"/>
        </w:rPr>
        <w:tab/>
        <w:t>L</w:t>
      </w:r>
      <w:r>
        <w:rPr>
          <w:lang w:val="fr-FR"/>
        </w:rPr>
        <w:t>’</w:t>
      </w:r>
      <w:r w:rsidRPr="00636405">
        <w:rPr>
          <w:lang w:val="fr-FR"/>
        </w:rPr>
        <w:t>accès externe aux données requises au paragraphe 9.4.2.1 ne doit pas avoir d</w:t>
      </w:r>
      <w:r>
        <w:rPr>
          <w:lang w:val="fr-FR"/>
        </w:rPr>
        <w:t>’</w:t>
      </w:r>
      <w:r w:rsidRPr="00636405">
        <w:rPr>
          <w:lang w:val="fr-FR"/>
        </w:rPr>
        <w:t>incidence sur les émissions ou les caractéristiques fonctionnelles du véhicule.</w:t>
      </w:r>
    </w:p>
    <w:p w:rsidR="00FE4E96" w:rsidRPr="007C4DF4" w:rsidRDefault="00FE4E96" w:rsidP="007C4DF4">
      <w:pPr>
        <w:pStyle w:val="SingleTxtG"/>
        <w:ind w:left="2268" w:hanging="1134"/>
        <w:rPr>
          <w:b/>
          <w:lang w:val="fr-FR"/>
        </w:rPr>
      </w:pPr>
      <w:r w:rsidRPr="007C4DF4">
        <w:rPr>
          <w:b/>
          <w:lang w:val="fr-FR"/>
        </w:rPr>
        <w:t>9.4.2.7</w:t>
      </w:r>
      <w:r w:rsidRPr="007C4DF4">
        <w:rPr>
          <w:b/>
          <w:lang w:val="fr-FR"/>
        </w:rPr>
        <w:tab/>
        <w:t xml:space="preserve">Si le constructeur autorise à faire fonctionner une famille de moteurs avec des carburants du marché selon les dispositions du </w:t>
      </w:r>
      <w:r w:rsidR="007C4DF4" w:rsidRPr="007C4DF4">
        <w:rPr>
          <w:b/>
          <w:lang w:val="fr-FR"/>
        </w:rPr>
        <w:t>4.6</w:t>
      </w:r>
      <w:r w:rsidR="000C304C">
        <w:rPr>
          <w:b/>
          <w:lang w:val="fr-FR"/>
        </w:rPr>
        <w:t>.2</w:t>
      </w:r>
      <w:r w:rsidRPr="007C4DF4">
        <w:rPr>
          <w:b/>
          <w:lang w:val="fr-FR"/>
        </w:rPr>
        <w:t>, le couple calculé par le module de gestion électronique peut être conforme, pour les carburants visés également, aux prescriptions du 9.4.2.5. Dans le cas d’un moteur à allumage par compression, si la différence entre le couple mesuré avec un carburant du marché déclaré et le couple calculé à partir des données demandées au paragraphe 9.4.2.1 dépasse l’une des valeurs mentionnées au paragraphe 9.4.2.5, il convient d’appliquer le paragraphe 9.4.2.8 ci-après.</w:t>
      </w:r>
    </w:p>
    <w:p w:rsidR="00FE4E96" w:rsidRPr="007C4DF4" w:rsidRDefault="00FE4E96" w:rsidP="007C4DF4">
      <w:pPr>
        <w:pStyle w:val="SingleTxtG"/>
        <w:ind w:left="2268" w:hanging="1134"/>
        <w:rPr>
          <w:b/>
          <w:lang w:val="fr-FR"/>
        </w:rPr>
      </w:pPr>
      <w:r w:rsidRPr="007C4DF4">
        <w:rPr>
          <w:b/>
          <w:lang w:val="fr-FR"/>
        </w:rPr>
        <w:t>9.4.2.8</w:t>
      </w:r>
      <w:r w:rsidRPr="007C4DF4">
        <w:rPr>
          <w:b/>
          <w:lang w:val="fr-FR"/>
        </w:rPr>
        <w:tab/>
        <w:t>Un facteur de correction de la puissance pour chaque carburant commercial supplémentaire autorisé par le constructeur conformément aux dispositions du paragraphe 4.6.2 doit être déterminé pour la famille de moteurs. Ce facteur doit être calculé sur la base du rapport entre le couple maximal moyen mesuré avec chaque carburant commercial déclaré et le couple maximal moyen mesuré avec le carburant de référence selon l’annexe 5.</w:t>
      </w:r>
    </w:p>
    <w:p w:rsidR="00FE4E96" w:rsidRPr="007C4DF4" w:rsidRDefault="00FE4E96" w:rsidP="007C4DF4">
      <w:pPr>
        <w:pStyle w:val="para"/>
        <w:spacing w:line="720" w:lineRule="exact"/>
        <w:rPr>
          <w:sz w:val="24"/>
          <w:szCs w:val="24"/>
          <w:lang w:val="fr-FR"/>
        </w:rPr>
      </w:pPr>
      <w:r w:rsidRPr="00636405">
        <w:rPr>
          <w:sz w:val="24"/>
          <w:szCs w:val="24"/>
          <w:lang w:val="fr-FR"/>
        </w:rPr>
        <w:tab/>
      </w:r>
      <m:oMath>
        <m:r>
          <m:rPr>
            <m:sty m:val="p"/>
          </m:rPr>
          <w:rPr>
            <w:rFonts w:ascii="Cambria Math" w:hAnsi="Cambria Math"/>
            <w:sz w:val="24"/>
            <w:szCs w:val="24"/>
            <w:lang w:val="fr-FR"/>
          </w:rPr>
          <m:t>CP fue</m:t>
        </m:r>
        <m:sSub>
          <m:sSubPr>
            <m:ctrlPr>
              <w:rPr>
                <w:rFonts w:ascii="Cambria Math" w:hAnsi="Cambria Math"/>
                <w:sz w:val="24"/>
                <w:szCs w:val="24"/>
                <w:lang w:val="fr-FR"/>
              </w:rPr>
            </m:ctrlPr>
          </m:sSubPr>
          <m:e>
            <m:r>
              <m:rPr>
                <m:sty m:val="p"/>
              </m:rPr>
              <w:rPr>
                <w:rFonts w:ascii="Cambria Math" w:hAnsi="Cambria Math"/>
                <w:sz w:val="24"/>
                <w:szCs w:val="24"/>
                <w:lang w:val="fr-FR"/>
              </w:rPr>
              <m:t>l</m:t>
            </m:r>
          </m:e>
          <m:sub>
            <m:r>
              <m:rPr>
                <m:sty m:val="p"/>
              </m:rPr>
              <w:rPr>
                <w:rFonts w:ascii="Cambria Math" w:hAnsi="Cambria Math"/>
                <w:sz w:val="24"/>
                <w:szCs w:val="24"/>
                <w:lang w:val="fr-FR"/>
              </w:rPr>
              <m:t>declared</m:t>
            </m:r>
          </m:sub>
        </m:sSub>
        <m:r>
          <m:rPr>
            <m:sty m:val="p"/>
          </m:rPr>
          <w:rPr>
            <w:rFonts w:ascii="Cambria Math" w:hAnsi="Cambria Math"/>
            <w:sz w:val="24"/>
            <w:szCs w:val="24"/>
            <w:lang w:val="fr-FR"/>
          </w:rPr>
          <m:t>=</m:t>
        </m:r>
        <m:f>
          <m:fPr>
            <m:ctrlPr>
              <w:rPr>
                <w:rFonts w:ascii="Cambria Math" w:hAnsi="Cambria Math"/>
                <w:sz w:val="24"/>
                <w:szCs w:val="24"/>
                <w:lang w:val="fr-FR"/>
              </w:rPr>
            </m:ctrlPr>
          </m:fPr>
          <m:num>
            <m:r>
              <m:rPr>
                <m:sty m:val="p"/>
              </m:rPr>
              <w:rPr>
                <w:rFonts w:ascii="Cambria Math" w:hAnsi="Cambria Math"/>
                <w:sz w:val="24"/>
                <w:szCs w:val="24"/>
                <w:lang w:val="fr-FR"/>
              </w:rPr>
              <m:t>M fue</m:t>
            </m:r>
            <m:sSub>
              <m:sSubPr>
                <m:ctrlPr>
                  <w:rPr>
                    <w:rFonts w:ascii="Cambria Math" w:hAnsi="Cambria Math"/>
                    <w:sz w:val="24"/>
                    <w:szCs w:val="24"/>
                    <w:lang w:val="fr-FR"/>
                  </w:rPr>
                </m:ctrlPr>
              </m:sSubPr>
              <m:e>
                <m:r>
                  <m:rPr>
                    <m:sty m:val="p"/>
                  </m:rPr>
                  <w:rPr>
                    <w:rFonts w:ascii="Cambria Math" w:hAnsi="Cambria Math"/>
                    <w:sz w:val="24"/>
                    <w:szCs w:val="24"/>
                    <w:lang w:val="fr-FR"/>
                  </w:rPr>
                  <m:t>l</m:t>
                </m:r>
              </m:e>
              <m:sub>
                <m:r>
                  <m:rPr>
                    <m:sty m:val="p"/>
                  </m:rPr>
                  <w:rPr>
                    <w:rFonts w:ascii="Cambria Math" w:hAnsi="Cambria Math"/>
                    <w:sz w:val="24"/>
                    <w:szCs w:val="24"/>
                    <w:lang w:val="fr-FR"/>
                  </w:rPr>
                  <m:t>ref</m:t>
                </m:r>
              </m:sub>
            </m:sSub>
            <m:r>
              <m:rPr>
                <m:sty m:val="p"/>
              </m:rPr>
              <w:rPr>
                <w:rFonts w:ascii="Cambria Math" w:hAnsi="Cambria Math"/>
                <w:sz w:val="24"/>
                <w:szCs w:val="24"/>
                <w:lang w:val="fr-FR"/>
              </w:rPr>
              <m:t xml:space="preserve"> </m:t>
            </m:r>
          </m:num>
          <m:den>
            <m:r>
              <m:rPr>
                <m:sty m:val="p"/>
              </m:rPr>
              <w:rPr>
                <w:rFonts w:ascii="Cambria Math" w:hAnsi="Cambria Math"/>
                <w:sz w:val="24"/>
                <w:szCs w:val="24"/>
                <w:lang w:val="fr-FR"/>
              </w:rPr>
              <m:t>M fue</m:t>
            </m:r>
            <m:sSub>
              <m:sSubPr>
                <m:ctrlPr>
                  <w:rPr>
                    <w:rFonts w:ascii="Cambria Math" w:hAnsi="Cambria Math"/>
                    <w:sz w:val="24"/>
                    <w:szCs w:val="24"/>
                    <w:lang w:val="fr-FR"/>
                  </w:rPr>
                </m:ctrlPr>
              </m:sSubPr>
              <m:e>
                <m:r>
                  <m:rPr>
                    <m:sty m:val="p"/>
                  </m:rPr>
                  <w:rPr>
                    <w:rFonts w:ascii="Cambria Math" w:hAnsi="Cambria Math"/>
                    <w:sz w:val="24"/>
                    <w:szCs w:val="24"/>
                    <w:lang w:val="fr-FR"/>
                  </w:rPr>
                  <m:t>l</m:t>
                </m:r>
              </m:e>
              <m:sub>
                <m:r>
                  <m:rPr>
                    <m:sty m:val="p"/>
                  </m:rPr>
                  <w:rPr>
                    <w:rFonts w:ascii="Cambria Math" w:hAnsi="Cambria Math"/>
                    <w:sz w:val="24"/>
                    <w:szCs w:val="24"/>
                    <w:lang w:val="fr-FR"/>
                  </w:rPr>
                  <m:t>declared</m:t>
                </m:r>
              </m:sub>
            </m:sSub>
          </m:den>
        </m:f>
      </m:oMath>
    </w:p>
    <w:p w:rsidR="00FE4E96" w:rsidRPr="007C4DF4" w:rsidRDefault="00FE4E96" w:rsidP="007C4DF4">
      <w:pPr>
        <w:pStyle w:val="SingleTxtG"/>
        <w:ind w:left="2268"/>
        <w:rPr>
          <w:b/>
          <w:lang w:val="fr-FR"/>
        </w:rPr>
      </w:pPr>
      <w:r w:rsidRPr="007C4DF4">
        <w:rPr>
          <w:b/>
          <w:lang w:val="fr-FR"/>
        </w:rPr>
        <w:t>où</w:t>
      </w:r>
      <w:r w:rsidR="007F0576">
        <w:rPr>
          <w:b/>
          <w:lang w:val="fr-FR"/>
        </w:rPr>
        <w:t> </w:t>
      </w:r>
      <w:r w:rsidRPr="007C4DF4">
        <w:rPr>
          <w:b/>
          <w:lang w:val="fr-FR"/>
        </w:rPr>
        <w:t>:</w:t>
      </w:r>
    </w:p>
    <w:p w:rsidR="00FE4E96" w:rsidRPr="007C4DF4" w:rsidRDefault="00FE4E96" w:rsidP="007C4DF4">
      <w:pPr>
        <w:pStyle w:val="SingleTxtG"/>
        <w:ind w:left="3402" w:hanging="1134"/>
        <w:rPr>
          <w:b/>
          <w:lang w:val="fr-FR"/>
        </w:rPr>
      </w:pPr>
      <w:r w:rsidRPr="007C4DF4">
        <w:rPr>
          <w:b/>
          <w:lang w:val="fr-FR"/>
        </w:rPr>
        <w:t>M</w:t>
      </w:r>
      <w:r w:rsidRPr="007C4DF4">
        <w:rPr>
          <w:b/>
          <w:i/>
          <w:lang w:val="fr-FR"/>
        </w:rPr>
        <w:t xml:space="preserve"> </w:t>
      </w:r>
      <w:r w:rsidRPr="007C4DF4">
        <w:rPr>
          <w:b/>
          <w:lang w:val="fr-FR"/>
        </w:rPr>
        <w:t>fuel</w:t>
      </w:r>
      <w:r w:rsidRPr="007C4DF4">
        <w:rPr>
          <w:b/>
          <w:vertAlign w:val="subscript"/>
          <w:lang w:val="fr-FR"/>
        </w:rPr>
        <w:t>declared</w:t>
      </w:r>
      <w:r w:rsidRPr="007C4DF4">
        <w:rPr>
          <w:b/>
          <w:lang w:val="fr-FR"/>
        </w:rPr>
        <w:tab/>
        <w:t>est le couple maximal avec le carburant commercial déclaré, en Nm</w:t>
      </w:r>
      <w:r w:rsidR="007F0576">
        <w:rPr>
          <w:b/>
          <w:lang w:val="fr-FR"/>
        </w:rPr>
        <w:t> </w:t>
      </w:r>
      <w:r w:rsidRPr="007C4DF4">
        <w:rPr>
          <w:b/>
          <w:lang w:val="fr-FR"/>
        </w:rPr>
        <w:t>;</w:t>
      </w:r>
    </w:p>
    <w:p w:rsidR="00FE4E96" w:rsidRPr="007C4DF4" w:rsidRDefault="00FE4E96" w:rsidP="007C4DF4">
      <w:pPr>
        <w:pStyle w:val="SingleTxtG"/>
        <w:ind w:left="3402" w:hanging="1134"/>
        <w:rPr>
          <w:b/>
          <w:lang w:val="fr-FR"/>
        </w:rPr>
      </w:pPr>
      <w:r w:rsidRPr="000C304C">
        <w:rPr>
          <w:b/>
          <w:lang w:val="fr-FR"/>
        </w:rPr>
        <w:t>M f</w:t>
      </w:r>
      <w:r w:rsidRPr="007C4DF4">
        <w:rPr>
          <w:b/>
          <w:lang w:val="fr-FR"/>
        </w:rPr>
        <w:t>uel</w:t>
      </w:r>
      <w:r w:rsidRPr="007C4DF4">
        <w:rPr>
          <w:b/>
          <w:vertAlign w:val="subscript"/>
          <w:lang w:val="fr-FR"/>
        </w:rPr>
        <w:t>ref</w:t>
      </w:r>
      <w:r w:rsidRPr="007C4DF4">
        <w:rPr>
          <w:b/>
          <w:lang w:val="fr-FR"/>
        </w:rPr>
        <w:tab/>
        <w:t>est le couple maximal avec le carburant de référence pertinent, en Nm.</w:t>
      </w:r>
    </w:p>
    <w:p w:rsidR="00FE4E96" w:rsidRPr="00636405" w:rsidRDefault="00FE4E96" w:rsidP="007C4DF4">
      <w:pPr>
        <w:pStyle w:val="SingleTxtG"/>
        <w:ind w:left="2268" w:hanging="1134"/>
        <w:rPr>
          <w:lang w:val="fr-FR"/>
        </w:rPr>
      </w:pPr>
      <w:r w:rsidRPr="00636405">
        <w:rPr>
          <w:lang w:val="fr-FR"/>
        </w:rPr>
        <w:t>9.4.3</w:t>
      </w:r>
      <w:r w:rsidRPr="00636405">
        <w:rPr>
          <w:lang w:val="fr-FR"/>
        </w:rPr>
        <w:tab/>
        <w:t>Vérification de la disponibilité et de la conformité des données du module électronique de gestion requises pour les essais en service</w:t>
      </w:r>
    </w:p>
    <w:p w:rsidR="00FE4E96" w:rsidRPr="00636405" w:rsidRDefault="00FE4E96" w:rsidP="007C4DF4">
      <w:pPr>
        <w:pStyle w:val="SingleTxtG"/>
        <w:ind w:left="2268" w:hanging="1134"/>
        <w:rPr>
          <w:lang w:val="fr-FR"/>
        </w:rPr>
      </w:pPr>
      <w:r w:rsidRPr="00636405">
        <w:rPr>
          <w:lang w:val="fr-FR"/>
        </w:rPr>
        <w:t>9.4.3.1</w:t>
      </w:r>
      <w:r w:rsidRPr="00636405">
        <w:rPr>
          <w:lang w:val="fr-FR"/>
        </w:rPr>
        <w:tab/>
        <w:t>La disponibilité du flux de données requis au paragraphe 9.4.2.1 conformément aux prescriptions du paragraphe 9.4.2.2 doit être démontrée avec un outil de lecture OBD externe, comme indiqué à l</w:t>
      </w:r>
      <w:r>
        <w:rPr>
          <w:lang w:val="fr-FR"/>
        </w:rPr>
        <w:t>’</w:t>
      </w:r>
      <w:r w:rsidRPr="00636405">
        <w:rPr>
          <w:lang w:val="fr-FR"/>
        </w:rPr>
        <w:t xml:space="preserve">annexe X. </w:t>
      </w:r>
    </w:p>
    <w:p w:rsidR="00FE4E96" w:rsidRPr="00636405" w:rsidRDefault="00FE4E96" w:rsidP="007C4DF4">
      <w:pPr>
        <w:pStyle w:val="SingleTxtG"/>
        <w:ind w:left="2268" w:hanging="1134"/>
        <w:rPr>
          <w:lang w:val="fr-FR"/>
        </w:rPr>
      </w:pPr>
      <w:r w:rsidRPr="00636405">
        <w:rPr>
          <w:lang w:val="fr-FR"/>
        </w:rPr>
        <w:t>9.4.3.2</w:t>
      </w:r>
      <w:r w:rsidRPr="00636405">
        <w:rPr>
          <w:lang w:val="fr-FR"/>
        </w:rPr>
        <w:tab/>
        <w:t>S</w:t>
      </w:r>
      <w:r>
        <w:rPr>
          <w:lang w:val="fr-FR"/>
        </w:rPr>
        <w:t>’</w:t>
      </w:r>
      <w:r w:rsidRPr="00636405">
        <w:rPr>
          <w:lang w:val="fr-FR"/>
        </w:rPr>
        <w:t>il n</w:t>
      </w:r>
      <w:r>
        <w:rPr>
          <w:lang w:val="fr-FR"/>
        </w:rPr>
        <w:t>’</w:t>
      </w:r>
      <w:r w:rsidRPr="00636405">
        <w:rPr>
          <w:lang w:val="fr-FR"/>
        </w:rPr>
        <w:t>est pas possible d</w:t>
      </w:r>
      <w:r>
        <w:rPr>
          <w:lang w:val="fr-FR"/>
        </w:rPr>
        <w:t>’</w:t>
      </w:r>
      <w:r w:rsidRPr="00636405">
        <w:rPr>
          <w:lang w:val="fr-FR"/>
        </w:rPr>
        <w:t>obtenir ces données de manière correcte, avec un outil de lecture qui fonctionne normalement, le moteur est déclaré non conforme.</w:t>
      </w:r>
    </w:p>
    <w:p w:rsidR="00FE4E96" w:rsidRPr="00636405" w:rsidRDefault="00FE4E96" w:rsidP="0046753B">
      <w:pPr>
        <w:pStyle w:val="SingleTxtG"/>
        <w:ind w:left="2268" w:hanging="1134"/>
        <w:rPr>
          <w:szCs w:val="24"/>
          <w:lang w:val="fr-FR"/>
        </w:rPr>
      </w:pPr>
      <w:r w:rsidRPr="00636405">
        <w:rPr>
          <w:szCs w:val="24"/>
          <w:lang w:val="fr-FR"/>
        </w:rPr>
        <w:t xml:space="preserve">9.4.3.3 </w:t>
      </w:r>
      <w:r w:rsidRPr="00636405">
        <w:rPr>
          <w:szCs w:val="24"/>
          <w:lang w:val="fr-FR"/>
        </w:rPr>
        <w:tab/>
        <w:t xml:space="preserve">La conformité du signal de couple du module électronique de gestion aux prescriptions </w:t>
      </w:r>
      <w:r w:rsidRPr="00636405">
        <w:rPr>
          <w:strike/>
          <w:szCs w:val="24"/>
          <w:lang w:val="fr-FR"/>
        </w:rPr>
        <w:t>des paragraphes 9.4.2.2 et 9.4.2.3</w:t>
      </w:r>
      <w:r w:rsidRPr="00636405">
        <w:rPr>
          <w:szCs w:val="24"/>
          <w:lang w:val="fr-FR"/>
        </w:rPr>
        <w:t xml:space="preserve"> </w:t>
      </w:r>
      <w:r w:rsidRPr="00636405">
        <w:rPr>
          <w:b/>
          <w:szCs w:val="24"/>
          <w:lang w:val="fr-FR"/>
        </w:rPr>
        <w:t>du paragraphe 9.4.2</w:t>
      </w:r>
      <w:r w:rsidRPr="00636405">
        <w:rPr>
          <w:szCs w:val="24"/>
          <w:lang w:val="fr-FR"/>
        </w:rPr>
        <w:t xml:space="preserve"> doit être démontrée lorsqu</w:t>
      </w:r>
      <w:r>
        <w:rPr>
          <w:szCs w:val="24"/>
          <w:lang w:val="fr-FR"/>
        </w:rPr>
        <w:t>’</w:t>
      </w:r>
      <w:r w:rsidRPr="00636405">
        <w:rPr>
          <w:szCs w:val="24"/>
          <w:lang w:val="fr-FR"/>
        </w:rPr>
        <w:t>on détermine la puissance du moteur conformément à l</w:t>
      </w:r>
      <w:r>
        <w:rPr>
          <w:szCs w:val="24"/>
          <w:lang w:val="fr-FR"/>
        </w:rPr>
        <w:t>’</w:t>
      </w:r>
      <w:r w:rsidRPr="00636405">
        <w:rPr>
          <w:szCs w:val="24"/>
          <w:lang w:val="fr-FR"/>
        </w:rPr>
        <w:t>annexe XIV et lorsqu</w:t>
      </w:r>
      <w:r>
        <w:rPr>
          <w:szCs w:val="24"/>
          <w:lang w:val="fr-FR"/>
        </w:rPr>
        <w:t>’</w:t>
      </w:r>
      <w:r w:rsidRPr="00636405">
        <w:rPr>
          <w:szCs w:val="24"/>
          <w:lang w:val="fr-FR"/>
        </w:rPr>
        <w:t>on exécute l</w:t>
      </w:r>
      <w:r>
        <w:rPr>
          <w:szCs w:val="24"/>
          <w:lang w:val="fr-FR"/>
        </w:rPr>
        <w:t>’</w:t>
      </w:r>
      <w:r w:rsidRPr="00636405">
        <w:rPr>
          <w:szCs w:val="24"/>
          <w:lang w:val="fr-FR"/>
        </w:rPr>
        <w:t>essai WHSC conformément à l</w:t>
      </w:r>
      <w:r>
        <w:rPr>
          <w:szCs w:val="24"/>
          <w:lang w:val="fr-FR"/>
        </w:rPr>
        <w:t>’</w:t>
      </w:r>
      <w:r w:rsidRPr="00636405">
        <w:rPr>
          <w:szCs w:val="24"/>
          <w:lang w:val="fr-FR"/>
        </w:rPr>
        <w:t>annexe</w:t>
      </w:r>
      <w:r w:rsidR="0046753B">
        <w:rPr>
          <w:szCs w:val="24"/>
          <w:lang w:val="fr-FR"/>
        </w:rPr>
        <w:t> </w:t>
      </w:r>
      <w:r w:rsidRPr="00636405">
        <w:rPr>
          <w:szCs w:val="24"/>
          <w:lang w:val="fr-FR"/>
        </w:rPr>
        <w:t xml:space="preserve">III. </w:t>
      </w:r>
    </w:p>
    <w:p w:rsidR="00FE4E96" w:rsidRPr="0046753B" w:rsidRDefault="00FE4E96" w:rsidP="0046753B">
      <w:pPr>
        <w:pStyle w:val="SingleTxtG"/>
        <w:ind w:left="2268" w:hanging="1134"/>
        <w:rPr>
          <w:b/>
          <w:lang w:val="fr-FR"/>
        </w:rPr>
      </w:pPr>
      <w:r w:rsidRPr="0046753B">
        <w:rPr>
          <w:lang w:val="fr-FR"/>
        </w:rPr>
        <w:t>9.4.3.3.1</w:t>
      </w:r>
      <w:r w:rsidRPr="0046753B">
        <w:rPr>
          <w:lang w:val="fr-FR"/>
        </w:rPr>
        <w:tab/>
        <w:t xml:space="preserve">La conformité du signal de couple du module électronique de gestion aux prescriptions </w:t>
      </w:r>
      <w:r w:rsidRPr="0046753B">
        <w:rPr>
          <w:strike/>
          <w:lang w:val="fr-FR"/>
        </w:rPr>
        <w:t>des</w:t>
      </w:r>
      <w:r w:rsidRPr="0046753B">
        <w:rPr>
          <w:lang w:val="fr-FR"/>
        </w:rPr>
        <w:t xml:space="preserve"> </w:t>
      </w:r>
      <w:r w:rsidRPr="0046753B">
        <w:rPr>
          <w:b/>
          <w:lang w:val="fr-FR"/>
        </w:rPr>
        <w:t>du</w:t>
      </w:r>
      <w:r w:rsidRPr="0046753B">
        <w:rPr>
          <w:lang w:val="fr-FR"/>
        </w:rPr>
        <w:t xml:space="preserve"> paragraphe</w:t>
      </w:r>
      <w:r w:rsidRPr="0046753B">
        <w:rPr>
          <w:strike/>
          <w:lang w:val="fr-FR"/>
        </w:rPr>
        <w:t>s</w:t>
      </w:r>
      <w:r w:rsidRPr="0046753B">
        <w:rPr>
          <w:lang w:val="fr-FR"/>
        </w:rPr>
        <w:t xml:space="preserve"> 9.4.2</w:t>
      </w:r>
      <w:r w:rsidRPr="0046753B">
        <w:rPr>
          <w:strike/>
          <w:lang w:val="fr-FR"/>
        </w:rPr>
        <w:t>.2 et 9.4.2.3</w:t>
      </w:r>
      <w:r w:rsidRPr="0046753B">
        <w:rPr>
          <w:lang w:val="fr-FR"/>
        </w:rPr>
        <w:t xml:space="preserve"> doit être démontrée pour chaque membre d’une famille de moteurs lorsqu’on détermine la puissance du moteur conformément au Règlement </w:t>
      </w:r>
      <w:r w:rsidR="0046753B" w:rsidRPr="0046753B">
        <w:rPr>
          <w:rFonts w:eastAsia="MS Mincho"/>
          <w:szCs w:val="22"/>
          <w:lang w:val="fr-FR"/>
        </w:rPr>
        <w:t>n</w:t>
      </w:r>
      <w:r w:rsidR="0046753B" w:rsidRPr="0046753B">
        <w:rPr>
          <w:rFonts w:eastAsia="MS Mincho"/>
          <w:szCs w:val="22"/>
          <w:vertAlign w:val="superscript"/>
          <w:lang w:val="fr-FR"/>
        </w:rPr>
        <w:t>o</w:t>
      </w:r>
      <w:r w:rsidR="0046753B">
        <w:rPr>
          <w:lang w:val="fr-FR"/>
        </w:rPr>
        <w:t> </w:t>
      </w:r>
      <w:r w:rsidRPr="0046753B">
        <w:rPr>
          <w:lang w:val="fr-FR"/>
        </w:rPr>
        <w:t xml:space="preserve">85. À cette fin, des mesures supplémentaires doivent être relevées dans plusieurs configurations de charge partielle et de régime moteur (aux modes de l’essai WHSC et à quelques autres points choisis au hasard, par exemple). </w:t>
      </w:r>
      <w:r w:rsidRPr="0046753B">
        <w:rPr>
          <w:b/>
          <w:lang w:val="fr-FR"/>
        </w:rPr>
        <w:t>S’il y a lieu, le facteur de correction de</w:t>
      </w:r>
      <w:r w:rsidRPr="00636405">
        <w:rPr>
          <w:b/>
          <w:sz w:val="24"/>
          <w:szCs w:val="24"/>
          <w:lang w:val="fr-FR"/>
        </w:rPr>
        <w:t xml:space="preserve"> </w:t>
      </w:r>
      <w:r w:rsidRPr="0046753B">
        <w:rPr>
          <w:b/>
          <w:lang w:val="fr-FR"/>
        </w:rPr>
        <w:t>la puissance pour la famille de moteurs (voir le 9.4.2.8) doit être déterminé avec le moteur de base de la famille.</w:t>
      </w:r>
      <w:r w:rsidR="0046753B">
        <w:rPr>
          <w:b/>
          <w:lang w:val="fr-FR"/>
        </w:rPr>
        <w:t> </w:t>
      </w:r>
      <w:r w:rsidRPr="0046753B">
        <w:rPr>
          <w:lang w:val="fr-FR"/>
        </w:rPr>
        <w:t>».</w:t>
      </w:r>
    </w:p>
    <w:p w:rsidR="00FE4E96" w:rsidRPr="0046753B" w:rsidRDefault="00FE4E96" w:rsidP="0046753B">
      <w:pPr>
        <w:pStyle w:val="SingleTxtG"/>
        <w:keepNext/>
        <w:rPr>
          <w:i/>
          <w:lang w:val="fr-FR"/>
        </w:rPr>
      </w:pPr>
      <w:r w:rsidRPr="0046753B">
        <w:rPr>
          <w:i/>
          <w:lang w:val="fr-FR"/>
        </w:rPr>
        <w:lastRenderedPageBreak/>
        <w:t>Annexe 1,</w:t>
      </w:r>
    </w:p>
    <w:p w:rsidR="00FE4E96" w:rsidRPr="00636405" w:rsidRDefault="00FE4E96" w:rsidP="0046753B">
      <w:pPr>
        <w:pStyle w:val="SingleTxtG"/>
        <w:rPr>
          <w:lang w:val="fr-FR"/>
        </w:rPr>
      </w:pPr>
      <w:r w:rsidRPr="00636405">
        <w:rPr>
          <w:i/>
          <w:lang w:val="fr-FR"/>
        </w:rPr>
        <w:t>Première partie</w:t>
      </w:r>
      <w:r w:rsidRPr="00636405">
        <w:rPr>
          <w:lang w:val="fr-FR"/>
        </w:rPr>
        <w:t>, modifier comme suit</w:t>
      </w:r>
      <w:r w:rsidR="0046753B">
        <w:rPr>
          <w:lang w:val="fr-FR"/>
        </w:rPr>
        <w:t> </w:t>
      </w:r>
      <w:r>
        <w:rPr>
          <w:lang w:val="fr-FR"/>
        </w:rPr>
        <w:t>:</w:t>
      </w:r>
    </w:p>
    <w:p w:rsidR="00FE4E96" w:rsidRPr="00636405" w:rsidRDefault="00FE4E96" w:rsidP="0046753B">
      <w:pPr>
        <w:pStyle w:val="SingleTxtG"/>
        <w:rPr>
          <w:lang w:val="fr-FR"/>
        </w:rPr>
      </w:pPr>
      <w:r w:rsidRPr="00636405">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2830"/>
        <w:gridCol w:w="1417"/>
        <w:gridCol w:w="425"/>
        <w:gridCol w:w="426"/>
        <w:gridCol w:w="425"/>
        <w:gridCol w:w="425"/>
        <w:gridCol w:w="426"/>
      </w:tblGrid>
      <w:tr w:rsidR="00FE4E96" w:rsidRPr="00636405" w:rsidTr="009D6FC1">
        <w:trPr>
          <w:trHeight w:val="144"/>
        </w:trPr>
        <w:tc>
          <w:tcPr>
            <w:tcW w:w="997"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3.2.2</w:t>
            </w:r>
          </w:p>
        </w:tc>
        <w:tc>
          <w:tcPr>
            <w:tcW w:w="2831"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Carburant</w:t>
            </w:r>
          </w:p>
        </w:tc>
        <w:tc>
          <w:tcPr>
            <w:tcW w:w="1417"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r>
      <w:tr w:rsidR="00FE4E96" w:rsidRPr="00636405" w:rsidTr="009D6FC1">
        <w:trPr>
          <w:trHeight w:val="144"/>
        </w:trPr>
        <w:tc>
          <w:tcPr>
            <w:tcW w:w="997"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3.2.2.2</w:t>
            </w:r>
          </w:p>
        </w:tc>
        <w:tc>
          <w:tcPr>
            <w:tcW w:w="2831"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Véhicules utilitaires lourds</w:t>
            </w:r>
            <w:r w:rsidR="009D6FC1">
              <w:rPr>
                <w:szCs w:val="24"/>
                <w:lang w:val="fr-FR"/>
              </w:rPr>
              <w:t> </w:t>
            </w:r>
            <w:r w:rsidRPr="00636405">
              <w:rPr>
                <w:szCs w:val="24"/>
                <w:lang w:val="fr-FR"/>
              </w:rPr>
              <w:t>: gazole/essence/GPL/GN-H/GN-L/GN-HL/éthanol (ED95)/</w:t>
            </w:r>
            <w:r w:rsidR="009D6FC1">
              <w:rPr>
                <w:szCs w:val="24"/>
                <w:lang w:val="fr-FR"/>
              </w:rPr>
              <w:t xml:space="preserve"> </w:t>
            </w:r>
            <w:r w:rsidRPr="00636405">
              <w:rPr>
                <w:szCs w:val="24"/>
                <w:lang w:val="fr-FR"/>
              </w:rPr>
              <w:t>éthanol (E85)</w:t>
            </w:r>
            <w:r w:rsidRPr="000C304C">
              <w:rPr>
                <w:szCs w:val="24"/>
                <w:vertAlign w:val="superscript"/>
                <w:lang w:val="fr-FR"/>
              </w:rPr>
              <w:t>1</w:t>
            </w:r>
            <w:r w:rsidRPr="00636405">
              <w:rPr>
                <w:szCs w:val="24"/>
                <w:lang w:val="fr-FR"/>
              </w:rPr>
              <w:t xml:space="preserve"> </w:t>
            </w:r>
          </w:p>
        </w:tc>
        <w:tc>
          <w:tcPr>
            <w:tcW w:w="1417"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r>
      <w:tr w:rsidR="00FE4E96" w:rsidRPr="00636405" w:rsidTr="009D6FC1">
        <w:trPr>
          <w:trHeight w:val="144"/>
        </w:trPr>
        <w:tc>
          <w:tcPr>
            <w:tcW w:w="997"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3.2.2.2.1</w:t>
            </w:r>
          </w:p>
        </w:tc>
        <w:tc>
          <w:tcPr>
            <w:tcW w:w="2831" w:type="dxa"/>
            <w:tcMar>
              <w:left w:w="0" w:type="dxa"/>
              <w:right w:w="0" w:type="dxa"/>
            </w:tcMar>
          </w:tcPr>
          <w:p w:rsidR="00FE4E96" w:rsidRPr="00636405" w:rsidRDefault="00FE4E96" w:rsidP="009D6FC1">
            <w:pPr>
              <w:spacing w:before="40" w:after="120" w:line="240" w:lineRule="auto"/>
              <w:ind w:left="57" w:right="57"/>
              <w:rPr>
                <w:szCs w:val="24"/>
                <w:lang w:val="fr-FR"/>
              </w:rPr>
            </w:pPr>
            <w:r w:rsidRPr="00636405">
              <w:rPr>
                <w:szCs w:val="24"/>
                <w:lang w:val="fr-FR"/>
              </w:rPr>
              <w:t>Carburants compatibles avec le</w:t>
            </w:r>
            <w:r w:rsidR="009D6FC1">
              <w:rPr>
                <w:szCs w:val="24"/>
                <w:lang w:val="fr-FR"/>
              </w:rPr>
              <w:t> </w:t>
            </w:r>
            <w:r w:rsidRPr="00636405">
              <w:rPr>
                <w:szCs w:val="24"/>
                <w:lang w:val="fr-FR"/>
              </w:rPr>
              <w:t>moteur, déclarés par le constructeur conformément au paragraphe 4.6.2 du présent Règlement (selon le cas)</w:t>
            </w:r>
          </w:p>
        </w:tc>
        <w:tc>
          <w:tcPr>
            <w:tcW w:w="1417"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5" w:type="dxa"/>
            <w:tcMar>
              <w:left w:w="0" w:type="dxa"/>
              <w:right w:w="0" w:type="dxa"/>
            </w:tcMar>
          </w:tcPr>
          <w:p w:rsidR="00FE4E96" w:rsidRPr="00636405" w:rsidRDefault="00FE4E96" w:rsidP="009D6FC1">
            <w:pPr>
              <w:spacing w:before="40" w:after="120" w:line="240" w:lineRule="auto"/>
              <w:ind w:left="57" w:right="57"/>
              <w:rPr>
                <w:szCs w:val="24"/>
                <w:lang w:val="fr-FR"/>
              </w:rPr>
            </w:pPr>
          </w:p>
        </w:tc>
        <w:tc>
          <w:tcPr>
            <w:tcW w:w="426" w:type="dxa"/>
            <w:tcMar>
              <w:left w:w="0" w:type="dxa"/>
              <w:right w:w="0" w:type="dxa"/>
            </w:tcMar>
          </w:tcPr>
          <w:p w:rsidR="00FE4E96" w:rsidRPr="00636405" w:rsidRDefault="00FE4E96" w:rsidP="009D6FC1">
            <w:pPr>
              <w:spacing w:before="40" w:after="120" w:line="240" w:lineRule="auto"/>
              <w:ind w:left="57" w:right="57"/>
              <w:rPr>
                <w:szCs w:val="24"/>
                <w:lang w:val="fr-FR"/>
              </w:rPr>
            </w:pPr>
          </w:p>
        </w:tc>
      </w:tr>
      <w:tr w:rsidR="00FE4E96" w:rsidRPr="00636405" w:rsidTr="009D6FC1">
        <w:trPr>
          <w:trHeight w:val="625"/>
        </w:trPr>
        <w:tc>
          <w:tcPr>
            <w:tcW w:w="997" w:type="dxa"/>
            <w:tcBorders>
              <w:bottom w:val="single" w:sz="4" w:space="0" w:color="auto"/>
            </w:tcBorders>
            <w:tcMar>
              <w:left w:w="0" w:type="dxa"/>
              <w:right w:w="0" w:type="dxa"/>
            </w:tcMar>
          </w:tcPr>
          <w:p w:rsidR="00FE4E96" w:rsidRPr="00636405" w:rsidRDefault="00FE4E96" w:rsidP="009D6FC1">
            <w:pPr>
              <w:spacing w:before="40" w:after="120" w:line="240" w:lineRule="auto"/>
              <w:ind w:left="57" w:right="57"/>
              <w:rPr>
                <w:b/>
                <w:szCs w:val="24"/>
                <w:lang w:val="fr-FR"/>
              </w:rPr>
            </w:pPr>
            <w:r w:rsidRPr="00636405">
              <w:rPr>
                <w:b/>
                <w:szCs w:val="24"/>
                <w:lang w:val="fr-FR"/>
              </w:rPr>
              <w:t>3.2.2.2.2</w:t>
            </w:r>
          </w:p>
        </w:tc>
        <w:tc>
          <w:tcPr>
            <w:tcW w:w="2831" w:type="dxa"/>
            <w:tcBorders>
              <w:bottom w:val="single" w:sz="4" w:space="0" w:color="auto"/>
            </w:tcBorders>
            <w:tcMar>
              <w:left w:w="0" w:type="dxa"/>
              <w:right w:w="0" w:type="dxa"/>
            </w:tcMar>
          </w:tcPr>
          <w:p w:rsidR="00FE4E96" w:rsidRPr="00636405" w:rsidRDefault="00FE4E96" w:rsidP="009D6FC1">
            <w:pPr>
              <w:spacing w:before="40" w:after="120" w:line="240" w:lineRule="auto"/>
              <w:ind w:left="57" w:right="57"/>
              <w:rPr>
                <w:b/>
                <w:szCs w:val="24"/>
                <w:lang w:val="fr-FR"/>
              </w:rPr>
            </w:pPr>
            <w:r w:rsidRPr="00636405">
              <w:rPr>
                <w:b/>
                <w:szCs w:val="24"/>
                <w:lang w:val="fr-FR"/>
              </w:rPr>
              <w:t xml:space="preserve">Facteur de correction de la puissance, conformément </w:t>
            </w:r>
            <w:r w:rsidR="0046753B">
              <w:rPr>
                <w:b/>
                <w:szCs w:val="24"/>
                <w:lang w:val="fr-FR"/>
              </w:rPr>
              <w:br/>
            </w:r>
            <w:r w:rsidRPr="00636405">
              <w:rPr>
                <w:b/>
                <w:szCs w:val="24"/>
                <w:lang w:val="fr-FR"/>
              </w:rPr>
              <w:t>au paragraphe 9.4.2.8 pour chaque carburant déclaré (selon le cas)</w:t>
            </w:r>
          </w:p>
        </w:tc>
        <w:tc>
          <w:tcPr>
            <w:tcW w:w="3544" w:type="dxa"/>
            <w:gridSpan w:val="6"/>
            <w:tcBorders>
              <w:bottom w:val="single" w:sz="4" w:space="0" w:color="auto"/>
            </w:tcBorders>
            <w:tcMar>
              <w:left w:w="0" w:type="dxa"/>
              <w:right w:w="0" w:type="dxa"/>
            </w:tcMar>
          </w:tcPr>
          <w:p w:rsidR="00FE4E96" w:rsidRPr="00636405" w:rsidRDefault="00FE4E96" w:rsidP="009D6FC1">
            <w:pPr>
              <w:spacing w:before="40" w:after="120" w:line="240" w:lineRule="auto"/>
              <w:ind w:left="57" w:right="57"/>
              <w:rPr>
                <w:szCs w:val="24"/>
                <w:lang w:val="fr-FR"/>
              </w:rPr>
            </w:pPr>
          </w:p>
        </w:tc>
      </w:tr>
    </w:tbl>
    <w:p w:rsidR="00FE4E96" w:rsidRPr="00636405" w:rsidRDefault="00FE4E96" w:rsidP="0046753B">
      <w:pPr>
        <w:pStyle w:val="SingleTxtG"/>
        <w:spacing w:before="120"/>
        <w:jc w:val="right"/>
        <w:rPr>
          <w:lang w:val="fr-FR"/>
        </w:rPr>
      </w:pPr>
      <w:r w:rsidRPr="00636405">
        <w:rPr>
          <w:lang w:val="fr-FR"/>
        </w:rPr>
        <w:t>».</w:t>
      </w:r>
    </w:p>
    <w:p w:rsidR="00FE4E96" w:rsidRPr="00636405" w:rsidRDefault="00FE4E96" w:rsidP="0046753B">
      <w:pPr>
        <w:pStyle w:val="SingleTxtG"/>
        <w:keepNext/>
        <w:rPr>
          <w:i/>
          <w:szCs w:val="24"/>
          <w:lang w:val="fr-FR"/>
        </w:rPr>
      </w:pPr>
      <w:r w:rsidRPr="00636405">
        <w:rPr>
          <w:i/>
          <w:szCs w:val="24"/>
          <w:lang w:val="fr-FR"/>
        </w:rPr>
        <w:t>Annexe 8</w:t>
      </w:r>
      <w:r w:rsidRPr="00636405">
        <w:rPr>
          <w:szCs w:val="24"/>
          <w:lang w:val="fr-FR"/>
        </w:rPr>
        <w:t>,</w:t>
      </w:r>
    </w:p>
    <w:p w:rsidR="00FE4E96" w:rsidRPr="0046753B" w:rsidRDefault="00FE4E96" w:rsidP="0046753B">
      <w:pPr>
        <w:pStyle w:val="SingleTxtG"/>
        <w:keepNext/>
        <w:rPr>
          <w:lang w:val="fr-FR"/>
        </w:rPr>
      </w:pPr>
      <w:r w:rsidRPr="0046753B">
        <w:rPr>
          <w:i/>
          <w:lang w:val="fr-FR"/>
        </w:rPr>
        <w:t>Paragraphes 4.4.2 et 4.4.2.1</w:t>
      </w:r>
      <w:r w:rsidRPr="0046753B">
        <w:rPr>
          <w:lang w:val="fr-FR"/>
        </w:rPr>
        <w:t>, modifier comme suit</w:t>
      </w:r>
      <w:r w:rsidR="007F0576">
        <w:rPr>
          <w:lang w:val="fr-FR"/>
        </w:rPr>
        <w:t> </w:t>
      </w:r>
      <w:r w:rsidRPr="0046753B">
        <w:rPr>
          <w:lang w:val="fr-FR"/>
        </w:rPr>
        <w:t>:</w:t>
      </w:r>
    </w:p>
    <w:p w:rsidR="00FE4E96" w:rsidRPr="00636405" w:rsidRDefault="00FE4E96" w:rsidP="0046753B">
      <w:pPr>
        <w:pStyle w:val="SingleTxtG"/>
        <w:ind w:left="2268" w:hanging="1134"/>
        <w:rPr>
          <w:noProof/>
          <w:lang w:val="fr-FR"/>
        </w:rPr>
      </w:pPr>
      <w:r w:rsidRPr="00636405">
        <w:rPr>
          <w:lang w:val="fr-FR"/>
        </w:rPr>
        <w:t>«</w:t>
      </w:r>
      <w:r w:rsidR="0046753B">
        <w:rPr>
          <w:lang w:val="fr-FR"/>
        </w:rPr>
        <w:t> </w:t>
      </w:r>
      <w:r w:rsidRPr="00636405">
        <w:rPr>
          <w:lang w:val="fr-FR"/>
        </w:rPr>
        <w:t>4.4.2</w:t>
      </w:r>
      <w:r w:rsidRPr="00636405">
        <w:rPr>
          <w:lang w:val="fr-FR"/>
        </w:rPr>
        <w:tab/>
        <w:t>Carburant</w:t>
      </w:r>
    </w:p>
    <w:p w:rsidR="00FE4E96" w:rsidRPr="00636405" w:rsidRDefault="00FE4E96" w:rsidP="0046753B">
      <w:pPr>
        <w:pStyle w:val="SingleTxtG"/>
        <w:ind w:left="2268"/>
        <w:rPr>
          <w:b/>
          <w:strike/>
          <w:noProof/>
          <w:lang w:val="fr-FR"/>
        </w:rPr>
      </w:pPr>
      <w:r w:rsidRPr="00636405">
        <w:rPr>
          <w:lang w:val="fr-FR"/>
        </w:rPr>
        <w:t>Le carburant d</w:t>
      </w:r>
      <w:r>
        <w:rPr>
          <w:lang w:val="fr-FR"/>
        </w:rPr>
        <w:t>’</w:t>
      </w:r>
      <w:r w:rsidRPr="00636405">
        <w:rPr>
          <w:lang w:val="fr-FR"/>
        </w:rPr>
        <w:t xml:space="preserve">essai doit être un carburant commercial couvert par les </w:t>
      </w:r>
      <w:r w:rsidRPr="000C304C">
        <w:rPr>
          <w:spacing w:val="-2"/>
          <w:lang w:val="fr-FR"/>
        </w:rPr>
        <w:t xml:space="preserve">normes </w:t>
      </w:r>
      <w:r w:rsidRPr="000C304C">
        <w:rPr>
          <w:lang w:val="fr-FR"/>
        </w:rPr>
        <w:t>pertinentes</w:t>
      </w:r>
      <w:r w:rsidRPr="000C304C">
        <w:rPr>
          <w:spacing w:val="-2"/>
          <w:lang w:val="fr-FR"/>
        </w:rPr>
        <w:t xml:space="preserve">, ou un </w:t>
      </w:r>
      <w:r w:rsidRPr="000C304C">
        <w:rPr>
          <w:lang w:val="fr-FR"/>
        </w:rPr>
        <w:t>carburant</w:t>
      </w:r>
      <w:r w:rsidRPr="000C304C">
        <w:rPr>
          <w:spacing w:val="-2"/>
          <w:lang w:val="fr-FR"/>
        </w:rPr>
        <w:t xml:space="preserve"> de</w:t>
      </w:r>
      <w:r w:rsidRPr="00636405">
        <w:rPr>
          <w:lang w:val="fr-FR"/>
        </w:rPr>
        <w:t xml:space="preserve"> référence comme spécifié à l</w:t>
      </w:r>
      <w:r>
        <w:rPr>
          <w:lang w:val="fr-FR"/>
        </w:rPr>
        <w:t>’</w:t>
      </w:r>
      <w:r w:rsidRPr="00636405">
        <w:rPr>
          <w:lang w:val="fr-FR"/>
        </w:rPr>
        <w:t xml:space="preserve">annexe 5 du présent Règlement. </w:t>
      </w:r>
      <w:r w:rsidRPr="00636405">
        <w:rPr>
          <w:strike/>
          <w:lang w:val="fr-FR"/>
        </w:rPr>
        <w:t>Des échantillons de carburant sont prélevés.</w:t>
      </w:r>
    </w:p>
    <w:p w:rsidR="00FE4E96" w:rsidRPr="00636405" w:rsidRDefault="00FE4E96" w:rsidP="0046753B">
      <w:pPr>
        <w:pStyle w:val="SingleTxtG"/>
        <w:ind w:left="2268" w:hanging="1134"/>
        <w:rPr>
          <w:b/>
          <w:strike/>
          <w:noProof/>
          <w:szCs w:val="24"/>
          <w:lang w:val="fr-FR"/>
        </w:rPr>
      </w:pPr>
      <w:r w:rsidRPr="00636405">
        <w:rPr>
          <w:szCs w:val="24"/>
          <w:lang w:val="fr-FR"/>
        </w:rPr>
        <w:t>4.4.2.1</w:t>
      </w:r>
      <w:r w:rsidRPr="00636405">
        <w:rPr>
          <w:szCs w:val="24"/>
          <w:lang w:val="fr-FR"/>
        </w:rPr>
        <w:tab/>
        <w:t>Si le constructeur, conformément au paragraphe 4 du présent Règlement, a déclaré la capacité de satisfaire aux prescriptions du présent Règlement en utilisant les carburants commerciaux déclarés au paragraphe 3.2.2.2.1 de la première partie de l</w:t>
      </w:r>
      <w:r>
        <w:rPr>
          <w:szCs w:val="24"/>
          <w:lang w:val="fr-FR"/>
        </w:rPr>
        <w:t>’</w:t>
      </w:r>
      <w:r w:rsidRPr="00636405">
        <w:rPr>
          <w:szCs w:val="24"/>
          <w:lang w:val="fr-FR"/>
        </w:rPr>
        <w:t>annexe 1 du présent Règlement, les essais sont effectués en utilisant au moins l</w:t>
      </w:r>
      <w:r>
        <w:rPr>
          <w:szCs w:val="24"/>
          <w:lang w:val="fr-FR"/>
        </w:rPr>
        <w:t>’</w:t>
      </w:r>
      <w:r w:rsidRPr="00636405">
        <w:rPr>
          <w:szCs w:val="24"/>
          <w:lang w:val="fr-FR"/>
        </w:rPr>
        <w:t>un des carburants commerciaux déclarés</w:t>
      </w:r>
      <w:r w:rsidRPr="000C304C">
        <w:rPr>
          <w:strike/>
          <w:szCs w:val="24"/>
          <w:lang w:val="fr-FR"/>
        </w:rPr>
        <w:t xml:space="preserve"> </w:t>
      </w:r>
      <w:r w:rsidRPr="00636405">
        <w:rPr>
          <w:strike/>
          <w:szCs w:val="24"/>
          <w:lang w:val="fr-FR"/>
        </w:rPr>
        <w:t>ou un mélange entre les carburants commerciaux déclarés et les carburants commerciaux inclus dans les normes pertinentes</w:t>
      </w:r>
      <w:r w:rsidRPr="00636405">
        <w:rPr>
          <w:szCs w:val="24"/>
          <w:lang w:val="fr-FR"/>
        </w:rPr>
        <w:t>.</w:t>
      </w:r>
      <w:r w:rsidR="0046753B">
        <w:rPr>
          <w:szCs w:val="24"/>
          <w:lang w:val="fr-FR"/>
        </w:rPr>
        <w:t> </w:t>
      </w:r>
      <w:r w:rsidRPr="00636405">
        <w:rPr>
          <w:szCs w:val="24"/>
          <w:lang w:val="fr-FR"/>
        </w:rPr>
        <w:t>».</w:t>
      </w:r>
    </w:p>
    <w:p w:rsidR="00FE4E96" w:rsidRPr="0046753B" w:rsidRDefault="00FE4E96" w:rsidP="0046753B">
      <w:pPr>
        <w:pStyle w:val="SingleTxtG"/>
        <w:keepNext/>
        <w:rPr>
          <w:lang w:val="fr-FR"/>
        </w:rPr>
      </w:pPr>
      <w:r w:rsidRPr="0046753B">
        <w:rPr>
          <w:i/>
          <w:lang w:val="fr-FR"/>
        </w:rPr>
        <w:t>Ajouter un nouveau paragraphe, 4.4.2.2</w:t>
      </w:r>
      <w:r w:rsidRPr="0046753B">
        <w:rPr>
          <w:lang w:val="fr-FR"/>
        </w:rPr>
        <w:t>, comme suit</w:t>
      </w:r>
      <w:r w:rsidR="0046753B">
        <w:rPr>
          <w:lang w:val="fr-FR"/>
        </w:rPr>
        <w:t> </w:t>
      </w:r>
      <w:r w:rsidRPr="0046753B">
        <w:rPr>
          <w:lang w:val="fr-FR"/>
        </w:rPr>
        <w:t>:</w:t>
      </w:r>
    </w:p>
    <w:p w:rsidR="00FE4E96" w:rsidRPr="00636405" w:rsidRDefault="00FE4E96" w:rsidP="0046753B">
      <w:pPr>
        <w:pStyle w:val="SingleTxtG"/>
        <w:rPr>
          <w:lang w:val="fr-FR"/>
        </w:rPr>
      </w:pPr>
      <w:r w:rsidRPr="00636405">
        <w:rPr>
          <w:lang w:val="fr-FR"/>
        </w:rPr>
        <w:t>«</w:t>
      </w:r>
      <w:r w:rsidR="0046753B">
        <w:rPr>
          <w:lang w:val="fr-FR"/>
        </w:rPr>
        <w:t> </w:t>
      </w:r>
      <w:r w:rsidRPr="0046753B">
        <w:rPr>
          <w:b/>
          <w:lang w:val="fr-FR"/>
        </w:rPr>
        <w:t>4.4.2.2</w:t>
      </w:r>
      <w:r w:rsidRPr="0046753B">
        <w:rPr>
          <w:b/>
          <w:lang w:val="fr-FR"/>
        </w:rPr>
        <w:tab/>
        <w:t>Des échantillons de carburant doivent être prélevés</w:t>
      </w:r>
      <w:r w:rsidRPr="00636405">
        <w:rPr>
          <w:lang w:val="fr-FR"/>
        </w:rPr>
        <w:t>.</w:t>
      </w:r>
      <w:r w:rsidR="0046753B">
        <w:rPr>
          <w:lang w:val="fr-FR"/>
        </w:rPr>
        <w:t> </w:t>
      </w:r>
      <w:r w:rsidRPr="00636405">
        <w:rPr>
          <w:lang w:val="fr-FR"/>
        </w:rPr>
        <w:t>».</w:t>
      </w:r>
    </w:p>
    <w:p w:rsidR="00FE4E96" w:rsidRPr="00636405" w:rsidRDefault="00FE4E96" w:rsidP="0046753B">
      <w:pPr>
        <w:pStyle w:val="SingleTxtG"/>
        <w:keepNext/>
        <w:rPr>
          <w:i/>
          <w:szCs w:val="24"/>
          <w:lang w:val="fr-FR"/>
        </w:rPr>
      </w:pPr>
      <w:r w:rsidRPr="00636405">
        <w:rPr>
          <w:i/>
          <w:szCs w:val="24"/>
          <w:lang w:val="fr-FR"/>
        </w:rPr>
        <w:t>Annexe 8, appendice 1</w:t>
      </w:r>
      <w:r w:rsidRPr="00636405">
        <w:rPr>
          <w:szCs w:val="24"/>
          <w:lang w:val="fr-FR"/>
        </w:rPr>
        <w:t>,</w:t>
      </w:r>
    </w:p>
    <w:p w:rsidR="00FE4E96" w:rsidRPr="0046753B" w:rsidRDefault="00FE4E96" w:rsidP="0046753B">
      <w:pPr>
        <w:pStyle w:val="SingleTxtG"/>
        <w:keepNext/>
        <w:rPr>
          <w:lang w:val="fr-FR"/>
        </w:rPr>
      </w:pPr>
      <w:r w:rsidRPr="0046753B">
        <w:rPr>
          <w:i/>
          <w:lang w:val="fr-FR"/>
        </w:rPr>
        <w:t>Ajouter un nouveau paragraphe, A.1.4.2.1.1</w:t>
      </w:r>
      <w:r w:rsidRPr="0046753B">
        <w:rPr>
          <w:lang w:val="fr-FR"/>
        </w:rPr>
        <w:t>, libellé comme suit</w:t>
      </w:r>
      <w:r w:rsidR="0046753B">
        <w:rPr>
          <w:lang w:val="fr-FR"/>
        </w:rPr>
        <w:t> </w:t>
      </w:r>
      <w:r w:rsidRPr="0046753B">
        <w:rPr>
          <w:lang w:val="fr-FR"/>
        </w:rPr>
        <w:t>:</w:t>
      </w:r>
    </w:p>
    <w:p w:rsidR="00FE4E96" w:rsidRPr="0046753B" w:rsidRDefault="00FE4E96" w:rsidP="0046753B">
      <w:pPr>
        <w:pStyle w:val="SingleTxtG"/>
        <w:rPr>
          <w:noProof/>
          <w:kern w:val="32"/>
          <w:lang w:val="fr-FR"/>
        </w:rPr>
      </w:pPr>
      <w:r w:rsidRPr="0046753B">
        <w:rPr>
          <w:lang w:val="fr-FR"/>
        </w:rPr>
        <w:t>«</w:t>
      </w:r>
      <w:r w:rsidR="0046753B">
        <w:rPr>
          <w:lang w:val="fr-FR"/>
        </w:rPr>
        <w:t> </w:t>
      </w:r>
      <w:r w:rsidRPr="0046753B">
        <w:rPr>
          <w:b/>
          <w:lang w:val="fr-FR"/>
        </w:rPr>
        <w:t>A.1.4.2.1.1</w:t>
      </w:r>
      <w:r w:rsidRPr="0046753B">
        <w:rPr>
          <w:b/>
          <w:lang w:val="fr-FR"/>
        </w:rPr>
        <w:tab/>
        <w:t xml:space="preserve">Calcul des émissions spécifiques pour un carburant </w:t>
      </w:r>
      <w:r w:rsidR="0046753B">
        <w:rPr>
          <w:b/>
          <w:lang w:val="fr-FR"/>
        </w:rPr>
        <w:t xml:space="preserve">commercial </w:t>
      </w:r>
      <w:r w:rsidRPr="0046753B">
        <w:rPr>
          <w:b/>
          <w:lang w:val="fr-FR"/>
        </w:rPr>
        <w:t>déclaré</w:t>
      </w:r>
    </w:p>
    <w:p w:rsidR="00FE4E96" w:rsidRPr="0046753B" w:rsidRDefault="00FE4E96" w:rsidP="0046753B">
      <w:pPr>
        <w:pStyle w:val="SingleTxtG"/>
        <w:ind w:left="2268"/>
        <w:rPr>
          <w:b/>
          <w:lang w:val="fr-FR"/>
        </w:rPr>
      </w:pPr>
      <w:r w:rsidRPr="0046753B">
        <w:rPr>
          <w:rFonts w:ascii="Arial" w:hAnsi="Arial" w:cs="Arial"/>
          <w:b/>
          <w:lang w:val="fr-FR"/>
        </w:rPr>
        <w:tab/>
      </w:r>
      <w:r w:rsidRPr="0046753B">
        <w:rPr>
          <w:b/>
          <w:lang w:val="fr-FR"/>
        </w:rPr>
        <w:t xml:space="preserve">Si, dans le contexte de la présente annexe, un essai a été réalisé avec un carburant commercial déclaré conformément au point 3.2.2.2.1 de la première partie de l’annexe 1 du présent Règlement et si un facteur de </w:t>
      </w:r>
      <w:r w:rsidRPr="009D6FC1">
        <w:rPr>
          <w:b/>
          <w:spacing w:val="-2"/>
          <w:lang w:val="fr-FR"/>
        </w:rPr>
        <w:t>correction de la puissance, conformément au point 3.2.2.2.2 de la première</w:t>
      </w:r>
      <w:r w:rsidRPr="0046753B">
        <w:rPr>
          <w:b/>
          <w:lang w:val="fr-FR"/>
        </w:rPr>
        <w:t xml:space="preserve"> partie de l’annexe 1 du même Règlement, a été spécifié pour le carburant utilisé aux fins de l’essai, les émissions spécifiques </w:t>
      </w:r>
      <w:r w:rsidRPr="000C304C">
        <w:rPr>
          <w:b/>
          <w:noProof/>
          <w:lang w:val="fr-FR"/>
        </w:rPr>
        <w:t>e</w:t>
      </w:r>
      <w:r w:rsidRPr="0046753B">
        <w:rPr>
          <w:b/>
          <w:noProof/>
          <w:vertAlign w:val="subscript"/>
          <w:lang w:val="fr-FR"/>
        </w:rPr>
        <w:t>gas</w:t>
      </w:r>
      <w:r w:rsidRPr="0046753B">
        <w:rPr>
          <w:b/>
          <w:noProof/>
          <w:lang w:val="fr-FR"/>
        </w:rPr>
        <w:t xml:space="preserve"> (mg/kWh) doivent être calculées pour chaque fenêtre et chaque polluant comme suit</w:t>
      </w:r>
      <w:r w:rsidR="0046753B">
        <w:rPr>
          <w:b/>
          <w:noProof/>
          <w:lang w:val="fr-FR"/>
        </w:rPr>
        <w:t> </w:t>
      </w:r>
      <w:r w:rsidRPr="0046753B">
        <w:rPr>
          <w:b/>
          <w:noProof/>
          <w:lang w:val="fr-FR"/>
        </w:rPr>
        <w:t>:</w:t>
      </w:r>
    </w:p>
    <w:p w:rsidR="00FE4E96" w:rsidRPr="000C304C" w:rsidRDefault="00FE4E96" w:rsidP="0046753B">
      <w:pPr>
        <w:pStyle w:val="SingleTxtG"/>
        <w:ind w:left="2268"/>
        <w:rPr>
          <w:lang w:val="fr-FR"/>
        </w:rPr>
      </w:pPr>
      <w:r w:rsidRPr="000C304C">
        <w:rPr>
          <w:lang w:val="fr-FR"/>
        </w:rPr>
        <w:tab/>
      </w:r>
      <m:oMath>
        <m:sSub>
          <m:sSubPr>
            <m:ctrlPr>
              <w:rPr>
                <w:rFonts w:ascii="Cambria Math" w:hAnsi="Cambria Math"/>
                <w:lang w:val="fr-FR"/>
              </w:rPr>
            </m:ctrlPr>
          </m:sSubPr>
          <m:e>
            <m:r>
              <m:rPr>
                <m:sty m:val="b"/>
              </m:rPr>
              <w:rPr>
                <w:rFonts w:ascii="Cambria Math" w:hAnsi="Cambria Math"/>
                <w:lang w:val="fr-FR"/>
              </w:rPr>
              <m:t>e</m:t>
            </m:r>
          </m:e>
          <m:sub>
            <m:r>
              <m:rPr>
                <m:sty m:val="b"/>
              </m:rPr>
              <w:rPr>
                <w:rFonts w:ascii="Cambria Math" w:hAnsi="Cambria Math"/>
                <w:lang w:val="fr-FR"/>
              </w:rPr>
              <m:t>gas</m:t>
            </m:r>
            <m:r>
              <m:rPr>
                <m:sty m:val="p"/>
              </m:rPr>
              <w:rPr>
                <w:rFonts w:ascii="Cambria Math" w:hAnsi="Cambria Math"/>
                <w:lang w:val="fr-FR"/>
              </w:rPr>
              <m:t xml:space="preserve">, </m:t>
            </m:r>
            <m:r>
              <m:rPr>
                <m:sty m:val="b"/>
              </m:rPr>
              <w:rPr>
                <w:rFonts w:ascii="Cambria Math" w:hAnsi="Cambria Math"/>
                <w:lang w:val="fr-FR"/>
              </w:rPr>
              <m:t>korr</m:t>
            </m:r>
            <m:r>
              <m:rPr>
                <m:sty m:val="p"/>
              </m:rPr>
              <w:rPr>
                <w:rFonts w:ascii="Cambria Math" w:hAnsi="Cambria Math"/>
                <w:lang w:val="fr-FR"/>
              </w:rPr>
              <m:t>=</m:t>
            </m:r>
          </m:sub>
        </m:sSub>
        <m:sSub>
          <m:sSubPr>
            <m:ctrlPr>
              <w:rPr>
                <w:rFonts w:ascii="Cambria Math" w:hAnsi="Cambria Math"/>
                <w:lang w:val="fr-FR"/>
              </w:rPr>
            </m:ctrlPr>
          </m:sSubPr>
          <m:e>
            <m:r>
              <m:rPr>
                <m:sty m:val="b"/>
              </m:rPr>
              <w:rPr>
                <w:rFonts w:ascii="Cambria Math" w:hAnsi="Cambria Math"/>
                <w:lang w:val="fr-FR"/>
              </w:rPr>
              <m:t>e</m:t>
            </m:r>
          </m:e>
          <m:sub>
            <m:r>
              <m:rPr>
                <m:sty m:val="b"/>
              </m:rPr>
              <w:rPr>
                <w:rFonts w:ascii="Cambria Math" w:hAnsi="Cambria Math"/>
                <w:lang w:val="fr-FR"/>
              </w:rPr>
              <m:t>gas</m:t>
            </m:r>
          </m:sub>
        </m:sSub>
        <m:r>
          <m:rPr>
            <m:sty m:val="p"/>
          </m:rPr>
          <w:rPr>
            <w:rFonts w:ascii="Cambria Math" w:hAnsi="Cambria Math"/>
            <w:lang w:val="fr-FR"/>
          </w:rPr>
          <m:t>×</m:t>
        </m:r>
        <m:r>
          <m:rPr>
            <m:sty m:val="b"/>
          </m:rPr>
          <w:rPr>
            <w:rFonts w:ascii="Cambria Math" w:hAnsi="Cambria Math"/>
            <w:lang w:val="fr-FR"/>
          </w:rPr>
          <m:t>CP</m:t>
        </m:r>
        <m:r>
          <m:rPr>
            <m:sty m:val="p"/>
          </m:rPr>
          <w:rPr>
            <w:rFonts w:ascii="Cambria Math" w:hAnsi="Cambria Math"/>
            <w:lang w:val="fr-FR"/>
          </w:rPr>
          <m:t xml:space="preserve"> </m:t>
        </m:r>
        <m:r>
          <m:rPr>
            <m:sty m:val="b"/>
          </m:rPr>
          <w:rPr>
            <w:rFonts w:ascii="Cambria Math" w:hAnsi="Cambria Math"/>
            <w:lang w:val="fr-FR"/>
          </w:rPr>
          <m:t>fue</m:t>
        </m:r>
        <m:sSub>
          <m:sSubPr>
            <m:ctrlPr>
              <w:rPr>
                <w:rFonts w:ascii="Cambria Math" w:hAnsi="Cambria Math"/>
                <w:lang w:val="fr-FR"/>
              </w:rPr>
            </m:ctrlPr>
          </m:sSubPr>
          <m:e>
            <m:r>
              <m:rPr>
                <m:sty m:val="b"/>
              </m:rPr>
              <w:rPr>
                <w:rFonts w:ascii="Cambria Math" w:hAnsi="Cambria Math"/>
                <w:lang w:val="fr-FR"/>
              </w:rPr>
              <m:t>l</m:t>
            </m:r>
          </m:e>
          <m:sub>
            <m:r>
              <m:rPr>
                <m:sty m:val="b"/>
              </m:rPr>
              <w:rPr>
                <w:rFonts w:ascii="Cambria Math" w:hAnsi="Cambria Math"/>
                <w:lang w:val="fr-FR"/>
              </w:rPr>
              <m:t>declared</m:t>
            </m:r>
          </m:sub>
        </m:sSub>
      </m:oMath>
    </w:p>
    <w:p w:rsidR="00FE4E96" w:rsidRPr="000C304C" w:rsidRDefault="00FE4E96" w:rsidP="0046753B">
      <w:pPr>
        <w:pStyle w:val="SingleTxtG"/>
        <w:ind w:left="2268"/>
        <w:rPr>
          <w:b/>
          <w:noProof/>
          <w:lang w:val="fr-FR"/>
        </w:rPr>
      </w:pPr>
      <w:r w:rsidRPr="000C304C">
        <w:rPr>
          <w:b/>
          <w:lang w:val="fr-FR"/>
        </w:rPr>
        <w:t>où</w:t>
      </w:r>
      <w:r w:rsidR="0046753B" w:rsidRPr="000C304C">
        <w:rPr>
          <w:b/>
          <w:lang w:val="fr-FR"/>
        </w:rPr>
        <w:t> </w:t>
      </w:r>
      <w:r w:rsidRPr="000C304C">
        <w:rPr>
          <w:b/>
          <w:lang w:val="fr-FR"/>
        </w:rPr>
        <w:t>:</w:t>
      </w:r>
    </w:p>
    <w:p w:rsidR="00FE4E96" w:rsidRPr="000C304C" w:rsidRDefault="00FE4E96" w:rsidP="009D6FC1">
      <w:pPr>
        <w:pStyle w:val="SingleTxtG"/>
        <w:ind w:left="3686" w:hanging="1418"/>
        <w:rPr>
          <w:b/>
          <w:noProof/>
          <w:szCs w:val="24"/>
          <w:lang w:val="fr-FR"/>
        </w:rPr>
      </w:pPr>
      <w:r w:rsidRPr="000C304C">
        <w:rPr>
          <w:b/>
          <w:noProof/>
          <w:lang w:val="fr-FR"/>
        </w:rPr>
        <w:t>e</w:t>
      </w:r>
      <w:r w:rsidRPr="000C304C">
        <w:rPr>
          <w:b/>
          <w:noProof/>
          <w:vertAlign w:val="subscript"/>
          <w:lang w:val="fr-FR"/>
        </w:rPr>
        <w:t>gas</w:t>
      </w:r>
      <w:r w:rsidRPr="000C304C">
        <w:rPr>
          <w:b/>
          <w:szCs w:val="24"/>
          <w:lang w:val="fr-FR"/>
        </w:rPr>
        <w:tab/>
        <w:t>représente les émissions spécifiques (en mg/kWh) selon le paragraphe A.1.4.2.1</w:t>
      </w:r>
      <w:r w:rsidR="009D6FC1" w:rsidRPr="000C304C">
        <w:rPr>
          <w:b/>
          <w:szCs w:val="24"/>
          <w:lang w:val="fr-FR"/>
        </w:rPr>
        <w:t> </w:t>
      </w:r>
      <w:r w:rsidRPr="000C304C">
        <w:rPr>
          <w:b/>
          <w:szCs w:val="24"/>
          <w:lang w:val="fr-FR"/>
        </w:rPr>
        <w:t>;</w:t>
      </w:r>
    </w:p>
    <w:p w:rsidR="00FE4E96" w:rsidRPr="00636405" w:rsidRDefault="00FE4E96" w:rsidP="009D6FC1">
      <w:pPr>
        <w:pStyle w:val="SingleTxtG"/>
        <w:ind w:left="3686" w:hanging="1418"/>
        <w:rPr>
          <w:noProof/>
          <w:szCs w:val="24"/>
          <w:lang w:val="fr-FR"/>
        </w:rPr>
      </w:pPr>
      <w:r w:rsidRPr="000C304C">
        <w:rPr>
          <w:b/>
          <w:noProof/>
          <w:szCs w:val="24"/>
          <w:lang w:val="fr-FR"/>
        </w:rPr>
        <w:t>CP fuel</w:t>
      </w:r>
      <w:r w:rsidRPr="000C304C">
        <w:rPr>
          <w:b/>
          <w:noProof/>
          <w:szCs w:val="24"/>
          <w:vertAlign w:val="subscript"/>
          <w:lang w:val="fr-FR"/>
        </w:rPr>
        <w:t xml:space="preserve">declared  </w:t>
      </w:r>
      <w:r w:rsidRPr="000C304C">
        <w:rPr>
          <w:b/>
          <w:noProof/>
          <w:szCs w:val="24"/>
          <w:vertAlign w:val="subscript"/>
          <w:lang w:val="fr-FR"/>
        </w:rPr>
        <w:tab/>
      </w:r>
      <w:r w:rsidRPr="000C304C">
        <w:rPr>
          <w:b/>
          <w:noProof/>
          <w:szCs w:val="24"/>
          <w:lang w:val="fr-FR"/>
        </w:rPr>
        <w:t>est le facteur de correcti</w:t>
      </w:r>
      <w:r w:rsidRPr="00636405">
        <w:rPr>
          <w:b/>
          <w:noProof/>
          <w:szCs w:val="24"/>
          <w:lang w:val="fr-FR"/>
        </w:rPr>
        <w:t>on de la puissance applicable pour le carburant commercial déclaré</w:t>
      </w:r>
      <w:r w:rsidRPr="00636405">
        <w:rPr>
          <w:b/>
          <w:szCs w:val="24"/>
          <w:lang w:val="fr-FR"/>
        </w:rPr>
        <w:t xml:space="preserve"> conformément au point 3.2.2.2.2 de la première partie de l</w:t>
      </w:r>
      <w:r>
        <w:rPr>
          <w:b/>
          <w:szCs w:val="24"/>
          <w:lang w:val="fr-FR"/>
        </w:rPr>
        <w:t>’</w:t>
      </w:r>
      <w:r w:rsidRPr="00636405">
        <w:rPr>
          <w:b/>
          <w:szCs w:val="24"/>
          <w:lang w:val="fr-FR"/>
        </w:rPr>
        <w:t>annexe 1 du présent Règlement</w:t>
      </w:r>
      <w:r w:rsidRPr="00636405">
        <w:rPr>
          <w:b/>
          <w:noProof/>
          <w:szCs w:val="24"/>
          <w:lang w:val="fr-FR"/>
        </w:rPr>
        <w:t>.</w:t>
      </w:r>
      <w:r w:rsidR="009D6FC1">
        <w:rPr>
          <w:b/>
          <w:noProof/>
          <w:szCs w:val="24"/>
          <w:lang w:val="fr-FR"/>
        </w:rPr>
        <w:t> </w:t>
      </w:r>
      <w:r w:rsidRPr="00636405">
        <w:rPr>
          <w:szCs w:val="24"/>
          <w:lang w:val="fr-FR"/>
        </w:rPr>
        <w:t>».</w:t>
      </w:r>
    </w:p>
    <w:p w:rsidR="00FE4E96" w:rsidRPr="00636405" w:rsidRDefault="00FE4E96" w:rsidP="009D6FC1">
      <w:pPr>
        <w:pStyle w:val="SingleTxtG"/>
        <w:rPr>
          <w:lang w:val="fr-FR"/>
        </w:rPr>
      </w:pPr>
      <w:r w:rsidRPr="009D6FC1">
        <w:rPr>
          <w:i/>
          <w:lang w:val="fr-FR"/>
        </w:rPr>
        <w:t>Annexe 8, appendice 4</w:t>
      </w:r>
      <w:r w:rsidRPr="00636405">
        <w:rPr>
          <w:lang w:val="fr-FR"/>
        </w:rPr>
        <w:t>,</w:t>
      </w:r>
    </w:p>
    <w:p w:rsidR="00FE4E96" w:rsidRPr="00636405" w:rsidRDefault="00FE4E96" w:rsidP="009D6FC1">
      <w:pPr>
        <w:pStyle w:val="SingleTxtG"/>
        <w:rPr>
          <w:lang w:val="fr-FR"/>
        </w:rPr>
      </w:pPr>
      <w:r w:rsidRPr="009D6FC1">
        <w:rPr>
          <w:i/>
          <w:lang w:val="fr-FR"/>
        </w:rPr>
        <w:t>Ajouter un nouveau paragraphe, A.4.2.1.1</w:t>
      </w:r>
      <w:r w:rsidRPr="00636405">
        <w:rPr>
          <w:lang w:val="fr-FR"/>
        </w:rPr>
        <w:t>, libellé comme suit</w:t>
      </w:r>
      <w:r w:rsidR="009D6FC1">
        <w:rPr>
          <w:lang w:val="fr-FR"/>
        </w:rPr>
        <w:t> </w:t>
      </w:r>
      <w:r>
        <w:rPr>
          <w:lang w:val="fr-FR"/>
        </w:rPr>
        <w:t>:</w:t>
      </w:r>
    </w:p>
    <w:p w:rsidR="00FE4E96" w:rsidRPr="00636405" w:rsidRDefault="00FE4E96" w:rsidP="009D6FC1">
      <w:pPr>
        <w:pStyle w:val="SingleTxtG"/>
        <w:ind w:left="2268" w:hanging="1134"/>
        <w:rPr>
          <w:lang w:val="fr-FR"/>
        </w:rPr>
      </w:pPr>
      <w:r w:rsidRPr="00636405">
        <w:rPr>
          <w:lang w:val="fr-FR"/>
        </w:rPr>
        <w:t>«</w:t>
      </w:r>
      <w:r w:rsidR="009D6FC1">
        <w:rPr>
          <w:lang w:val="fr-FR"/>
        </w:rPr>
        <w:t> </w:t>
      </w:r>
      <w:r w:rsidRPr="000C304C">
        <w:rPr>
          <w:b/>
          <w:lang w:val="fr-FR"/>
        </w:rPr>
        <w:t>A.4.2.1.1</w:t>
      </w:r>
      <w:r w:rsidRPr="000C304C">
        <w:rPr>
          <w:b/>
          <w:lang w:val="fr-FR"/>
        </w:rPr>
        <w:tab/>
        <w:t>Si un carburant commercial, déclaré conformément au point 3.2.2.2.1 de la première partie de l’annexe 1 du présent Règlement, est utilisé et si un facteur de correction de la puissance, conformément au point 3.2.2.2.2 de la première partie de l’annexe 1 du même Règlement, a été spécifié pour ledit carburant utilisé aux fins de l’essai, le signal de couple du module de gestion électronique doit être corrigé selon le facteur indiqué avant d’être comparé à la courbe de couple maximal de référence obtenue avec le carburant visé.</w:t>
      </w:r>
      <w:r w:rsidR="009D6FC1" w:rsidRPr="000C304C">
        <w:rPr>
          <w:b/>
          <w:lang w:val="fr-FR"/>
        </w:rPr>
        <w:t> </w:t>
      </w:r>
      <w:r w:rsidRPr="00636405">
        <w:rPr>
          <w:lang w:val="fr-FR"/>
        </w:rPr>
        <w:t>».</w:t>
      </w:r>
    </w:p>
    <w:p w:rsidR="00FE4E96" w:rsidRPr="00636405" w:rsidRDefault="009D6FC1" w:rsidP="009D6FC1">
      <w:pPr>
        <w:pStyle w:val="HChG"/>
        <w:rPr>
          <w:lang w:val="fr-FR"/>
        </w:rPr>
      </w:pPr>
      <w:r>
        <w:rPr>
          <w:lang w:val="fr-FR"/>
        </w:rPr>
        <w:tab/>
      </w:r>
      <w:r w:rsidR="00FE4E96" w:rsidRPr="00636405">
        <w:rPr>
          <w:lang w:val="fr-FR"/>
        </w:rPr>
        <w:t>II.</w:t>
      </w:r>
      <w:r w:rsidR="00FE4E96" w:rsidRPr="00636405">
        <w:rPr>
          <w:lang w:val="fr-FR"/>
        </w:rPr>
        <w:tab/>
        <w:t>Justification</w:t>
      </w:r>
    </w:p>
    <w:p w:rsidR="00FE4E96" w:rsidRPr="00636405" w:rsidRDefault="009D6FC1" w:rsidP="009D6FC1">
      <w:pPr>
        <w:pStyle w:val="SingleTxtG"/>
        <w:rPr>
          <w:lang w:val="fr-FR"/>
        </w:rPr>
      </w:pPr>
      <w:r>
        <w:rPr>
          <w:lang w:val="fr-FR"/>
        </w:rPr>
        <w:t>1.</w:t>
      </w:r>
      <w:r>
        <w:rPr>
          <w:lang w:val="fr-FR"/>
        </w:rPr>
        <w:tab/>
      </w:r>
      <w:r w:rsidR="00FE4E96" w:rsidRPr="00636405">
        <w:rPr>
          <w:lang w:val="fr-FR"/>
        </w:rPr>
        <w:t>Le constructeur peut autoriser l</w:t>
      </w:r>
      <w:r w:rsidR="00FE4E96">
        <w:rPr>
          <w:lang w:val="fr-FR"/>
        </w:rPr>
        <w:t>’</w:t>
      </w:r>
      <w:r w:rsidR="00FE4E96" w:rsidRPr="00636405">
        <w:rPr>
          <w:lang w:val="fr-FR"/>
        </w:rPr>
        <w:t>utilisation d</w:t>
      </w:r>
      <w:r w:rsidR="00FE4E96">
        <w:rPr>
          <w:lang w:val="fr-FR"/>
        </w:rPr>
        <w:t>’</w:t>
      </w:r>
      <w:r w:rsidR="00FE4E96" w:rsidRPr="00636405">
        <w:rPr>
          <w:lang w:val="fr-FR"/>
        </w:rPr>
        <w:t>un carburant de substitution en plus du carburant standard pour lequel le moteur est prévu et certifié selon un carburant de référence spécifié dans le présent Règlement. S</w:t>
      </w:r>
      <w:r w:rsidR="00FE4E96">
        <w:rPr>
          <w:lang w:val="fr-FR"/>
        </w:rPr>
        <w:t>’</w:t>
      </w:r>
      <w:r w:rsidR="00FE4E96" w:rsidRPr="00636405">
        <w:rPr>
          <w:lang w:val="fr-FR"/>
        </w:rPr>
        <w:t>il le fait conformément au Règlement, le moteur doit être compatible également avec ledit carburant de substitution déclaré dans la fiche de renseignements (biogazole ou carburant paraffinique, par exemple), sur la base des prescriptions du Règlement. La démonstration doit en être faite lors de l</w:t>
      </w:r>
      <w:r w:rsidR="00FE4E96">
        <w:rPr>
          <w:lang w:val="fr-FR"/>
        </w:rPr>
        <w:t>’</w:t>
      </w:r>
      <w:r w:rsidR="00FE4E96" w:rsidRPr="00636405">
        <w:rPr>
          <w:lang w:val="fr-FR"/>
        </w:rPr>
        <w:t>homologation de type ainsi que pour attester de la conformité en service. Si l</w:t>
      </w:r>
      <w:r w:rsidR="00FE4E96">
        <w:rPr>
          <w:lang w:val="fr-FR"/>
        </w:rPr>
        <w:t>’</w:t>
      </w:r>
      <w:r w:rsidR="00FE4E96" w:rsidRPr="00636405">
        <w:rPr>
          <w:lang w:val="fr-FR"/>
        </w:rPr>
        <w:t>on admet par exemple que le moteur est un moteur à allumage par compression et que le carburant utilisé est du gazole à la norme EN</w:t>
      </w:r>
      <w:r>
        <w:rPr>
          <w:lang w:val="fr-FR"/>
        </w:rPr>
        <w:t> </w:t>
      </w:r>
      <w:r w:rsidR="00FE4E96" w:rsidRPr="00636405">
        <w:rPr>
          <w:lang w:val="fr-FR"/>
        </w:rPr>
        <w:t>590, il faut apporter la preuve de la conformité au Règlement avec le carburant de référence, mais aussi avec le carburant commercial de substitution spécifié.</w:t>
      </w:r>
    </w:p>
    <w:p w:rsidR="00FE4E96" w:rsidRPr="00636405" w:rsidRDefault="009D6FC1" w:rsidP="009D6FC1">
      <w:pPr>
        <w:pStyle w:val="SingleTxtG"/>
        <w:rPr>
          <w:lang w:val="fr-FR"/>
        </w:rPr>
      </w:pPr>
      <w:r>
        <w:rPr>
          <w:lang w:val="fr-FR"/>
        </w:rPr>
        <w:t>2.</w:t>
      </w:r>
      <w:r>
        <w:rPr>
          <w:lang w:val="fr-FR"/>
        </w:rPr>
        <w:tab/>
      </w:r>
      <w:r w:rsidR="00FE4E96" w:rsidRPr="00636405">
        <w:rPr>
          <w:lang w:val="fr-FR"/>
        </w:rPr>
        <w:t>Le problème qui se pose dans la version actuelle du Règlement tient à la justification de la précision des données de couple du module de gestion électronique dans le contexte de l</w:t>
      </w:r>
      <w:r w:rsidR="00FE4E96">
        <w:rPr>
          <w:lang w:val="fr-FR"/>
        </w:rPr>
        <w:t>’</w:t>
      </w:r>
      <w:r w:rsidR="00FE4E96" w:rsidRPr="00636405">
        <w:rPr>
          <w:lang w:val="fr-FR"/>
        </w:rPr>
        <w:t>homologation d</w:t>
      </w:r>
      <w:r w:rsidR="00FE4E96">
        <w:rPr>
          <w:lang w:val="fr-FR"/>
        </w:rPr>
        <w:t>’</w:t>
      </w:r>
      <w:r w:rsidR="00FE4E96" w:rsidRPr="00636405">
        <w:rPr>
          <w:lang w:val="fr-FR"/>
        </w:rPr>
        <w:t>un véhicule polycarburant. Ces données sont communiquées par le système d</w:t>
      </w:r>
      <w:r w:rsidR="00FE4E96">
        <w:rPr>
          <w:lang w:val="fr-FR"/>
        </w:rPr>
        <w:t>’</w:t>
      </w:r>
      <w:r w:rsidR="00FE4E96" w:rsidRPr="00636405">
        <w:rPr>
          <w:lang w:val="fr-FR"/>
        </w:rPr>
        <w:t>autodiagnostic (OBD) dans le cas des essais de conformité en service réalisés avec un système portable de mesure des émissions. Généralement, le carburant standard et le carburant de substitution n</w:t>
      </w:r>
      <w:r w:rsidR="00FE4E96">
        <w:rPr>
          <w:lang w:val="fr-FR"/>
        </w:rPr>
        <w:t>’</w:t>
      </w:r>
      <w:r w:rsidR="00FE4E96" w:rsidRPr="00636405">
        <w:rPr>
          <w:lang w:val="fr-FR"/>
        </w:rPr>
        <w:t>ont pas le même pouvoir calorifique, mais on ne peut pas automatiquement détecter lequel des deux est utilisé et communiquer cette donnée au module de gestion électronique. Or le couple indiqué par le module ne peut être étalonné que par rapport à un seul carburant standard (selon le pouvoir calorifique), qui est habituellement le carburant de base (c</w:t>
      </w:r>
      <w:r w:rsidR="00FE4E96">
        <w:rPr>
          <w:lang w:val="fr-FR"/>
        </w:rPr>
        <w:t>’</w:t>
      </w:r>
      <w:r w:rsidR="00FE4E96" w:rsidRPr="00636405">
        <w:rPr>
          <w:lang w:val="fr-FR"/>
        </w:rPr>
        <w:t>est-à-dire le carburant de référence). Aux fins du Règlement cependant, il faut respecter une certaine précision pour les deux carburants. Bien souvent, cela est possible si l</w:t>
      </w:r>
      <w:r w:rsidR="00FE4E96">
        <w:rPr>
          <w:lang w:val="fr-FR"/>
        </w:rPr>
        <w:t>’</w:t>
      </w:r>
      <w:r w:rsidR="00FE4E96" w:rsidRPr="00636405">
        <w:rPr>
          <w:lang w:val="fr-FR"/>
        </w:rPr>
        <w:t>on utilise toute la marge de tolérance, ce qui se traduit par un signal moins précis pour les deux carburants. Dans certains cas, il est très difficile de satisfaire à la prescription sur la base d</w:t>
      </w:r>
      <w:r w:rsidR="00FE4E96">
        <w:rPr>
          <w:lang w:val="fr-FR"/>
        </w:rPr>
        <w:t>’</w:t>
      </w:r>
      <w:r w:rsidR="00FE4E96" w:rsidRPr="00636405">
        <w:rPr>
          <w:lang w:val="fr-FR"/>
        </w:rPr>
        <w:t>un étalonnage de ce type, qui est insatisfaisant. Pourtant, la différence de puissance subsiste.</w:t>
      </w:r>
    </w:p>
    <w:p w:rsidR="00FE4E96" w:rsidRPr="00636405" w:rsidRDefault="009D6FC1" w:rsidP="009D6FC1">
      <w:pPr>
        <w:pStyle w:val="SingleTxtG"/>
        <w:rPr>
          <w:lang w:val="fr-FR"/>
        </w:rPr>
      </w:pPr>
      <w:r>
        <w:rPr>
          <w:lang w:val="fr-FR"/>
        </w:rPr>
        <w:t>3.</w:t>
      </w:r>
      <w:r>
        <w:rPr>
          <w:lang w:val="fr-FR"/>
        </w:rPr>
        <w:tab/>
      </w:r>
      <w:r w:rsidR="00FE4E96" w:rsidRPr="00636405">
        <w:rPr>
          <w:lang w:val="fr-FR"/>
        </w:rPr>
        <w:t>Afin d</w:t>
      </w:r>
      <w:r w:rsidR="00FE4E96">
        <w:rPr>
          <w:lang w:val="fr-FR"/>
        </w:rPr>
        <w:t>’</w:t>
      </w:r>
      <w:r w:rsidR="00FE4E96" w:rsidRPr="00636405">
        <w:rPr>
          <w:lang w:val="fr-FR"/>
        </w:rPr>
        <w:t>améliorer la précision des données de couple utilisées pour calculer les résultats d</w:t>
      </w:r>
      <w:r w:rsidR="00FE4E96">
        <w:rPr>
          <w:lang w:val="fr-FR"/>
        </w:rPr>
        <w:t>’</w:t>
      </w:r>
      <w:r w:rsidR="00FE4E96" w:rsidRPr="00636405">
        <w:rPr>
          <w:lang w:val="fr-FR"/>
        </w:rPr>
        <w:t>émission lors d</w:t>
      </w:r>
      <w:r w:rsidR="00FE4E96">
        <w:rPr>
          <w:lang w:val="fr-FR"/>
        </w:rPr>
        <w:t>’</w:t>
      </w:r>
      <w:r w:rsidR="00FE4E96" w:rsidRPr="00636405">
        <w:rPr>
          <w:lang w:val="fr-FR"/>
        </w:rPr>
        <w:t>un essai de conformité en service, l</w:t>
      </w:r>
      <w:r w:rsidR="00FE4E96">
        <w:rPr>
          <w:lang w:val="fr-FR"/>
        </w:rPr>
        <w:t>’</w:t>
      </w:r>
      <w:r w:rsidR="00FE4E96" w:rsidRPr="00636405">
        <w:rPr>
          <w:lang w:val="fr-FR"/>
        </w:rPr>
        <w:t>OICA propose de modifier les dispositions de façon à</w:t>
      </w:r>
      <w:r w:rsidR="00183E69">
        <w:rPr>
          <w:lang w:val="fr-FR"/>
        </w:rPr>
        <w:t> </w:t>
      </w:r>
      <w:r w:rsidR="00FE4E96">
        <w:rPr>
          <w:lang w:val="fr-FR"/>
        </w:rPr>
        <w:t>:</w:t>
      </w:r>
    </w:p>
    <w:p w:rsidR="00FE4E96" w:rsidRPr="00636405" w:rsidRDefault="00FE4E96" w:rsidP="00183E69">
      <w:pPr>
        <w:pStyle w:val="SingleTxtG"/>
        <w:ind w:firstLine="567"/>
        <w:rPr>
          <w:lang w:val="fr-FR"/>
        </w:rPr>
      </w:pPr>
      <w:r w:rsidRPr="00636405">
        <w:rPr>
          <w:lang w:val="fr-FR"/>
        </w:rPr>
        <w:t>a)</w:t>
      </w:r>
      <w:r w:rsidRPr="00636405">
        <w:rPr>
          <w:lang w:val="fr-FR"/>
        </w:rPr>
        <w:tab/>
        <w:t>Soit démontrer que les deux carburants sont conformes parce que le système peut détecter le carburant utilisé</w:t>
      </w:r>
      <w:r w:rsidR="00183E69">
        <w:rPr>
          <w:lang w:val="fr-FR"/>
        </w:rPr>
        <w:t> </w:t>
      </w:r>
      <w:r>
        <w:rPr>
          <w:lang w:val="fr-FR"/>
        </w:rPr>
        <w:t>;</w:t>
      </w:r>
    </w:p>
    <w:p w:rsidR="00FE4E96" w:rsidRDefault="00FE4E96" w:rsidP="00183E69">
      <w:pPr>
        <w:pStyle w:val="SingleTxtG"/>
        <w:ind w:firstLine="567"/>
        <w:rPr>
          <w:lang w:val="fr-FR"/>
        </w:rPr>
      </w:pPr>
      <w:r w:rsidRPr="00636405">
        <w:rPr>
          <w:lang w:val="fr-FR"/>
        </w:rPr>
        <w:t>b)</w:t>
      </w:r>
      <w:r w:rsidRPr="00636405">
        <w:rPr>
          <w:lang w:val="fr-FR"/>
        </w:rPr>
        <w:tab/>
        <w:t>Soit déterminer l</w:t>
      </w:r>
      <w:r>
        <w:rPr>
          <w:lang w:val="fr-FR"/>
        </w:rPr>
        <w:t>’</w:t>
      </w:r>
      <w:r w:rsidRPr="00636405">
        <w:rPr>
          <w:lang w:val="fr-FR"/>
        </w:rPr>
        <w:t>écart de couple dû à la différence de pouvoir calorifique entre le carburant de substitution et le carburant standard. Cet écart est alors spécifié dans la fiche de renseignements en tant que facteur de correction de la puissance. Sur la base de ce facteur, la puissance indiquée par le module de gestion électronique lors d</w:t>
      </w:r>
      <w:r>
        <w:rPr>
          <w:lang w:val="fr-FR"/>
        </w:rPr>
        <w:t>’</w:t>
      </w:r>
      <w:r w:rsidRPr="00636405">
        <w:rPr>
          <w:lang w:val="fr-FR"/>
        </w:rPr>
        <w:t>un essai effectué avec un système portable de mesure des émissions sur un carburant de substitution peut être convertie en puissance correcte et authentique aux fins du calcul des émissions.</w:t>
      </w:r>
    </w:p>
    <w:p w:rsidR="00183E69" w:rsidRPr="00183E69" w:rsidRDefault="00183E69" w:rsidP="00183E69">
      <w:pPr>
        <w:pStyle w:val="SingleTxtG"/>
        <w:spacing w:before="240" w:after="0"/>
        <w:jc w:val="center"/>
        <w:rPr>
          <w:u w:val="single"/>
        </w:rPr>
      </w:pPr>
      <w:r>
        <w:rPr>
          <w:u w:val="single"/>
        </w:rPr>
        <w:tab/>
      </w:r>
      <w:r>
        <w:rPr>
          <w:u w:val="single"/>
        </w:rPr>
        <w:tab/>
      </w:r>
      <w:r>
        <w:rPr>
          <w:u w:val="single"/>
        </w:rPr>
        <w:tab/>
      </w:r>
    </w:p>
    <w:sectPr w:rsidR="00183E69" w:rsidRPr="00183E69" w:rsidSect="00FE4E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B6" w:rsidRDefault="00C250B6" w:rsidP="00F95C08">
      <w:pPr>
        <w:spacing w:line="240" w:lineRule="auto"/>
      </w:pPr>
    </w:p>
  </w:endnote>
  <w:endnote w:type="continuationSeparator" w:id="0">
    <w:p w:rsidR="00C250B6" w:rsidRPr="00AC3823" w:rsidRDefault="00C250B6" w:rsidP="00AC3823">
      <w:pPr>
        <w:pStyle w:val="Footer"/>
      </w:pPr>
    </w:p>
  </w:endnote>
  <w:endnote w:type="continuationNotice" w:id="1">
    <w:p w:rsidR="00C250B6" w:rsidRDefault="00C250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96" w:rsidRPr="00FE4E96" w:rsidRDefault="00FE4E96" w:rsidP="00FE4E96">
    <w:pPr>
      <w:pStyle w:val="Footer"/>
      <w:tabs>
        <w:tab w:val="right" w:pos="9638"/>
      </w:tabs>
    </w:pPr>
    <w:r w:rsidRPr="00FE4E96">
      <w:rPr>
        <w:b/>
        <w:sz w:val="18"/>
      </w:rPr>
      <w:fldChar w:fldCharType="begin"/>
    </w:r>
    <w:r w:rsidRPr="00FE4E96">
      <w:rPr>
        <w:b/>
        <w:sz w:val="18"/>
      </w:rPr>
      <w:instrText xml:space="preserve"> PAGE  \* MERGEFORMAT </w:instrText>
    </w:r>
    <w:r w:rsidRPr="00FE4E96">
      <w:rPr>
        <w:b/>
        <w:sz w:val="18"/>
      </w:rPr>
      <w:fldChar w:fldCharType="separate"/>
    </w:r>
    <w:r w:rsidR="008919F3">
      <w:rPr>
        <w:b/>
        <w:noProof/>
        <w:sz w:val="18"/>
      </w:rPr>
      <w:t>2</w:t>
    </w:r>
    <w:r w:rsidRPr="00FE4E96">
      <w:rPr>
        <w:b/>
        <w:sz w:val="18"/>
      </w:rPr>
      <w:fldChar w:fldCharType="end"/>
    </w:r>
    <w:r>
      <w:rPr>
        <w:b/>
        <w:sz w:val="18"/>
      </w:rPr>
      <w:tab/>
    </w:r>
    <w:r>
      <w:t>GE.17-18560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96" w:rsidRPr="00FE4E96" w:rsidRDefault="00FE4E96" w:rsidP="00FE4E96">
    <w:pPr>
      <w:pStyle w:val="Footer"/>
      <w:tabs>
        <w:tab w:val="right" w:pos="9638"/>
      </w:tabs>
      <w:rPr>
        <w:b/>
        <w:sz w:val="18"/>
      </w:rPr>
    </w:pPr>
    <w:r>
      <w:t>GE.17-18560</w:t>
    </w:r>
    <w:r>
      <w:tab/>
    </w:r>
    <w:r w:rsidRPr="00FE4E96">
      <w:rPr>
        <w:b/>
        <w:sz w:val="18"/>
      </w:rPr>
      <w:fldChar w:fldCharType="begin"/>
    </w:r>
    <w:r w:rsidRPr="00FE4E96">
      <w:rPr>
        <w:b/>
        <w:sz w:val="18"/>
      </w:rPr>
      <w:instrText xml:space="preserve"> PAGE  \* MERGEFORMAT </w:instrText>
    </w:r>
    <w:r w:rsidRPr="00FE4E96">
      <w:rPr>
        <w:b/>
        <w:sz w:val="18"/>
      </w:rPr>
      <w:fldChar w:fldCharType="separate"/>
    </w:r>
    <w:r w:rsidR="008919F3">
      <w:rPr>
        <w:b/>
        <w:noProof/>
        <w:sz w:val="18"/>
      </w:rPr>
      <w:t>5</w:t>
    </w:r>
    <w:r w:rsidRPr="00FE4E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E4E96" w:rsidRDefault="00FE4E96" w:rsidP="00FE4E96">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17-18560  (F)</w:t>
    </w:r>
    <w:r w:rsidR="000C304C">
      <w:rPr>
        <w:sz w:val="20"/>
      </w:rPr>
      <w:t xml:space="preserve">    101117    101117</w:t>
    </w:r>
    <w:r>
      <w:rPr>
        <w:sz w:val="20"/>
      </w:rPr>
      <w:br/>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sidRPr="00FE4E96">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B6" w:rsidRPr="00AC3823" w:rsidRDefault="00C250B6" w:rsidP="00AC3823">
      <w:pPr>
        <w:pStyle w:val="Footer"/>
        <w:tabs>
          <w:tab w:val="right" w:pos="2155"/>
        </w:tabs>
        <w:spacing w:after="80" w:line="240" w:lineRule="atLeast"/>
        <w:ind w:left="680"/>
        <w:rPr>
          <w:u w:val="single"/>
        </w:rPr>
      </w:pPr>
      <w:r>
        <w:rPr>
          <w:u w:val="single"/>
        </w:rPr>
        <w:tab/>
      </w:r>
    </w:p>
  </w:footnote>
  <w:footnote w:type="continuationSeparator" w:id="0">
    <w:p w:rsidR="00C250B6" w:rsidRPr="00AC3823" w:rsidRDefault="00C250B6" w:rsidP="00AC3823">
      <w:pPr>
        <w:pStyle w:val="Footer"/>
        <w:tabs>
          <w:tab w:val="right" w:pos="2155"/>
        </w:tabs>
        <w:spacing w:after="80" w:line="240" w:lineRule="atLeast"/>
        <w:ind w:left="680"/>
        <w:rPr>
          <w:u w:val="single"/>
        </w:rPr>
      </w:pPr>
      <w:r>
        <w:rPr>
          <w:u w:val="single"/>
        </w:rPr>
        <w:tab/>
      </w:r>
    </w:p>
  </w:footnote>
  <w:footnote w:type="continuationNotice" w:id="1">
    <w:p w:rsidR="00C250B6" w:rsidRPr="00AC3823" w:rsidRDefault="00C250B6">
      <w:pPr>
        <w:spacing w:line="240" w:lineRule="auto"/>
        <w:rPr>
          <w:sz w:val="2"/>
          <w:szCs w:val="2"/>
        </w:rPr>
      </w:pPr>
    </w:p>
  </w:footnote>
  <w:footnote w:id="2">
    <w:p w:rsidR="00FE4E96" w:rsidRPr="00FE4E96" w:rsidRDefault="00FE4E96">
      <w:pPr>
        <w:pStyle w:val="FootnoteText"/>
      </w:pPr>
      <w:r>
        <w:rPr>
          <w:rStyle w:val="FootnoteReference"/>
        </w:rPr>
        <w:tab/>
      </w:r>
      <w:r w:rsidRPr="00FE4E96">
        <w:rPr>
          <w:rStyle w:val="FootnoteReference"/>
          <w:sz w:val="20"/>
          <w:vertAlign w:val="baseline"/>
        </w:rPr>
        <w:t>*</w:t>
      </w:r>
      <w:r>
        <w:rPr>
          <w:rStyle w:val="FootnoteReference"/>
          <w:sz w:val="20"/>
          <w:vertAlign w:val="baseline"/>
        </w:rPr>
        <w:tab/>
      </w:r>
      <w:r>
        <w:rPr>
          <w:lang w:val="fr-FR"/>
        </w:rPr>
        <w:t xml:space="preserve">Conformément au </w:t>
      </w:r>
      <w:r w:rsidRPr="00FE4E96">
        <w:rPr>
          <w:spacing w:val="-2"/>
          <w:lang w:val="fr-FR"/>
        </w:rPr>
        <w:t>programme de travail du Comité des transports intérieurs po</w:t>
      </w:r>
      <w:r>
        <w:rPr>
          <w:lang w:val="fr-FR"/>
        </w:rPr>
        <w:t>ur la période 2014-2018 (ECE/TRANS/240, par.</w:t>
      </w:r>
      <w:r w:rsidR="000C304C">
        <w:rPr>
          <w:lang w:val="fr-FR"/>
        </w:rPr>
        <w:t> </w:t>
      </w:r>
      <w:r>
        <w:rPr>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96" w:rsidRPr="00FE4E96" w:rsidRDefault="008919F3">
    <w:pPr>
      <w:pStyle w:val="Header"/>
    </w:pPr>
    <w:r>
      <w:fldChar w:fldCharType="begin"/>
    </w:r>
    <w:r>
      <w:instrText xml:space="preserve"> TITLE  \* MERGEFORMAT </w:instrText>
    </w:r>
    <w:r>
      <w:fldChar w:fldCharType="separate"/>
    </w:r>
    <w:r w:rsidR="001968C7">
      <w:t>ECE/TRANS/WP.29/GRPE/2018/10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96" w:rsidRPr="00FE4E96" w:rsidRDefault="008919F3" w:rsidP="00FE4E96">
    <w:pPr>
      <w:pStyle w:val="Header"/>
      <w:jc w:val="right"/>
    </w:pPr>
    <w:r>
      <w:fldChar w:fldCharType="begin"/>
    </w:r>
    <w:r>
      <w:instrText xml:space="preserve"> TITLE  \* MERGEFORMAT </w:instrText>
    </w:r>
    <w:r>
      <w:fldChar w:fldCharType="separate"/>
    </w:r>
    <w:r w:rsidR="001968C7">
      <w:t>ECE/TRANS/WP.29/GRPE/2018/10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9330E41"/>
    <w:multiLevelType w:val="hybridMultilevel"/>
    <w:tmpl w:val="08F62C70"/>
    <w:lvl w:ilvl="0" w:tplc="FC1664F8">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B6"/>
    <w:rsid w:val="00017F94"/>
    <w:rsid w:val="00023842"/>
    <w:rsid w:val="000334F9"/>
    <w:rsid w:val="00045FEB"/>
    <w:rsid w:val="0007796D"/>
    <w:rsid w:val="000B7790"/>
    <w:rsid w:val="000C304C"/>
    <w:rsid w:val="00111F2F"/>
    <w:rsid w:val="0014365E"/>
    <w:rsid w:val="00143C66"/>
    <w:rsid w:val="00176178"/>
    <w:rsid w:val="00183E69"/>
    <w:rsid w:val="001968C7"/>
    <w:rsid w:val="001F525A"/>
    <w:rsid w:val="00223272"/>
    <w:rsid w:val="0024779E"/>
    <w:rsid w:val="00257168"/>
    <w:rsid w:val="002744B8"/>
    <w:rsid w:val="002832AC"/>
    <w:rsid w:val="002D7C93"/>
    <w:rsid w:val="00305801"/>
    <w:rsid w:val="003916DE"/>
    <w:rsid w:val="003E38BD"/>
    <w:rsid w:val="00441C3B"/>
    <w:rsid w:val="00446FE5"/>
    <w:rsid w:val="00452396"/>
    <w:rsid w:val="0046753B"/>
    <w:rsid w:val="004837D8"/>
    <w:rsid w:val="004E468C"/>
    <w:rsid w:val="005505B7"/>
    <w:rsid w:val="00573BE5"/>
    <w:rsid w:val="00586ED3"/>
    <w:rsid w:val="00596AA9"/>
    <w:rsid w:val="00683BBB"/>
    <w:rsid w:val="007024D3"/>
    <w:rsid w:val="0071601D"/>
    <w:rsid w:val="007A62E6"/>
    <w:rsid w:val="007C4DF4"/>
    <w:rsid w:val="007F0576"/>
    <w:rsid w:val="007F20FA"/>
    <w:rsid w:val="0080684C"/>
    <w:rsid w:val="00871C75"/>
    <w:rsid w:val="008776DC"/>
    <w:rsid w:val="008809D8"/>
    <w:rsid w:val="008919F3"/>
    <w:rsid w:val="009446C0"/>
    <w:rsid w:val="009705C8"/>
    <w:rsid w:val="009C1CF4"/>
    <w:rsid w:val="009D6FC1"/>
    <w:rsid w:val="009F6B74"/>
    <w:rsid w:val="00A30353"/>
    <w:rsid w:val="00AC3823"/>
    <w:rsid w:val="00AE323C"/>
    <w:rsid w:val="00AF0CB5"/>
    <w:rsid w:val="00B00181"/>
    <w:rsid w:val="00B00B0D"/>
    <w:rsid w:val="00B15CCC"/>
    <w:rsid w:val="00B765F7"/>
    <w:rsid w:val="00BA0CA9"/>
    <w:rsid w:val="00BC1B83"/>
    <w:rsid w:val="00C02897"/>
    <w:rsid w:val="00C250B6"/>
    <w:rsid w:val="00C30D01"/>
    <w:rsid w:val="00C97039"/>
    <w:rsid w:val="00CD7953"/>
    <w:rsid w:val="00D3439C"/>
    <w:rsid w:val="00DB1831"/>
    <w:rsid w:val="00DD3BFD"/>
    <w:rsid w:val="00DF6678"/>
    <w:rsid w:val="00E0299A"/>
    <w:rsid w:val="00E3394B"/>
    <w:rsid w:val="00E85C74"/>
    <w:rsid w:val="00EA6547"/>
    <w:rsid w:val="00EF2E22"/>
    <w:rsid w:val="00F35BAF"/>
    <w:rsid w:val="00F660DF"/>
    <w:rsid w:val="00F94664"/>
    <w:rsid w:val="00F9573C"/>
    <w:rsid w:val="00F95C08"/>
    <w:rsid w:val="00FE4E96"/>
    <w:rsid w:val="00FF69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FE4E96"/>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FE4E96"/>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HChGChar">
    <w:name w:val="_ H _Ch_G Char"/>
    <w:link w:val="HChG"/>
    <w:rsid w:val="00FE4E96"/>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FE4E96"/>
    <w:pPr>
      <w:kinsoku/>
      <w:overflowPunct/>
      <w:autoSpaceDE/>
      <w:autoSpaceDN/>
      <w:adjustRightInd/>
      <w:snapToGrid/>
      <w:ind w:left="2268" w:hanging="1134"/>
    </w:pPr>
    <w:rPr>
      <w:rFonts w:eastAsia="Times New Roman"/>
    </w:rPr>
  </w:style>
  <w:style w:type="character" w:customStyle="1" w:styleId="paraChar">
    <w:name w:val="para Char"/>
    <w:link w:val="para"/>
    <w:rsid w:val="00FE4E96"/>
    <w:rPr>
      <w:rFonts w:ascii="Times New Roman" w:hAnsi="Times New Roman" w:cs="Times New Roman"/>
      <w:sz w:val="20"/>
      <w:szCs w:val="20"/>
      <w:lang w:eastAsia="en-US"/>
    </w:rPr>
  </w:style>
  <w:style w:type="paragraph" w:customStyle="1" w:styleId="Text1">
    <w:name w:val="Text 1"/>
    <w:basedOn w:val="Normal"/>
    <w:rsid w:val="00FE4E96"/>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FE4E96"/>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Point0">
    <w:name w:val="Point 0"/>
    <w:basedOn w:val="Normal"/>
    <w:rsid w:val="00FE4E96"/>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customStyle="1" w:styleId="Tiret1">
    <w:name w:val="Tiret 1"/>
    <w:basedOn w:val="Normal"/>
    <w:semiHidden/>
    <w:rsid w:val="00FE4E96"/>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FE4E96"/>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FE4E96"/>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HChGChar">
    <w:name w:val="_ H _Ch_G Char"/>
    <w:link w:val="HChG"/>
    <w:rsid w:val="00FE4E96"/>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FE4E96"/>
    <w:pPr>
      <w:kinsoku/>
      <w:overflowPunct/>
      <w:autoSpaceDE/>
      <w:autoSpaceDN/>
      <w:adjustRightInd/>
      <w:snapToGrid/>
      <w:ind w:left="2268" w:hanging="1134"/>
    </w:pPr>
    <w:rPr>
      <w:rFonts w:eastAsia="Times New Roman"/>
    </w:rPr>
  </w:style>
  <w:style w:type="character" w:customStyle="1" w:styleId="paraChar">
    <w:name w:val="para Char"/>
    <w:link w:val="para"/>
    <w:rsid w:val="00FE4E96"/>
    <w:rPr>
      <w:rFonts w:ascii="Times New Roman" w:hAnsi="Times New Roman" w:cs="Times New Roman"/>
      <w:sz w:val="20"/>
      <w:szCs w:val="20"/>
      <w:lang w:eastAsia="en-US"/>
    </w:rPr>
  </w:style>
  <w:style w:type="paragraph" w:customStyle="1" w:styleId="Text1">
    <w:name w:val="Text 1"/>
    <w:basedOn w:val="Normal"/>
    <w:rsid w:val="00FE4E96"/>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FE4E96"/>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Point0">
    <w:name w:val="Point 0"/>
    <w:basedOn w:val="Normal"/>
    <w:rsid w:val="00FE4E96"/>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customStyle="1" w:styleId="Tiret1">
    <w:name w:val="Tiret 1"/>
    <w:basedOn w:val="Normal"/>
    <w:semiHidden/>
    <w:rsid w:val="00FE4E96"/>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12271</Characters>
  <Application>Microsoft Office Word</Application>
  <DocSecurity>4</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ECE/TRANS/WP.29/GRPE/2018/10</vt:lpstr>
      <vt:lpstr>ECE/TRANS/WP.29/GRPE/2018/10</vt:lpstr>
    </vt:vector>
  </TitlesOfParts>
  <Company>DCM</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ECE/TRANS/WP.29/GRPE/2018/10</dc:title>
  <dc:creator>Fabienne CRELIER</dc:creator>
  <cp:lastModifiedBy>Benedicte Boudol</cp:lastModifiedBy>
  <cp:revision>2</cp:revision>
  <cp:lastPrinted>2017-11-10T10:09:00Z</cp:lastPrinted>
  <dcterms:created xsi:type="dcterms:W3CDTF">2017-11-10T12:49:00Z</dcterms:created>
  <dcterms:modified xsi:type="dcterms:W3CDTF">2017-11-10T12:49:00Z</dcterms:modified>
</cp:coreProperties>
</file>