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E153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E1536" w:rsidP="00CE1536">
            <w:pPr>
              <w:jc w:val="right"/>
            </w:pPr>
            <w:r w:rsidRPr="00CE1536">
              <w:rPr>
                <w:sz w:val="40"/>
              </w:rPr>
              <w:t>ECE</w:t>
            </w:r>
            <w:r>
              <w:t>/TRANS/WP.29/GRPE/2018/9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E153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E1536" w:rsidRDefault="00CE1536" w:rsidP="00CE1536">
            <w:pPr>
              <w:spacing w:line="240" w:lineRule="exact"/>
            </w:pPr>
            <w:r>
              <w:t>19 octobre 2017</w:t>
            </w:r>
          </w:p>
          <w:p w:rsidR="00CE1536" w:rsidRDefault="00CE1536" w:rsidP="00CE1536">
            <w:pPr>
              <w:spacing w:line="240" w:lineRule="exact"/>
            </w:pPr>
            <w:r>
              <w:t>Français</w:t>
            </w:r>
          </w:p>
          <w:p w:rsidR="00CE1536" w:rsidRPr="00DB58B5" w:rsidRDefault="00CE1536" w:rsidP="00CE153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A18C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1536" w:rsidRDefault="00CE153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A18C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E1536" w:rsidRDefault="00CE153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FA18C5">
        <w:rPr>
          <w:b/>
        </w:rPr>
        <w:t>’</w:t>
      </w:r>
      <w:r>
        <w:rPr>
          <w:b/>
        </w:rPr>
        <w:t>énergie</w:t>
      </w:r>
    </w:p>
    <w:p w:rsidR="00CE1536" w:rsidRDefault="00CE1536" w:rsidP="00257168">
      <w:pPr>
        <w:spacing w:before="120" w:line="240" w:lineRule="exact"/>
        <w:rPr>
          <w:b/>
        </w:rPr>
      </w:pPr>
      <w:r w:rsidRPr="00CE1536">
        <w:rPr>
          <w:b/>
          <w:bCs/>
          <w:lang w:val="fr-FR"/>
        </w:rPr>
        <w:t>Soixante-seizième</w:t>
      </w:r>
      <w:r w:rsidRPr="00CE1536">
        <w:rPr>
          <w:b/>
        </w:rPr>
        <w:t xml:space="preserve"> </w:t>
      </w:r>
      <w:r>
        <w:rPr>
          <w:b/>
        </w:rPr>
        <w:t>session</w:t>
      </w:r>
    </w:p>
    <w:p w:rsidR="00CE1536" w:rsidRDefault="00CE1536" w:rsidP="00257168">
      <w:pPr>
        <w:spacing w:line="240" w:lineRule="exact"/>
      </w:pPr>
      <w:r>
        <w:t xml:space="preserve">Genève, </w:t>
      </w:r>
      <w:r w:rsidRPr="00307347">
        <w:rPr>
          <w:szCs w:val="24"/>
          <w:lang w:val="fr-FR"/>
        </w:rPr>
        <w:t>9-12</w:t>
      </w:r>
      <w:r>
        <w:rPr>
          <w:szCs w:val="24"/>
          <w:lang w:val="fr-FR"/>
        </w:rPr>
        <w:t> </w:t>
      </w:r>
      <w:r w:rsidRPr="00307347">
        <w:rPr>
          <w:szCs w:val="24"/>
          <w:lang w:val="fr-FR"/>
        </w:rPr>
        <w:t>janvier 2018</w:t>
      </w:r>
    </w:p>
    <w:p w:rsidR="00CE1536" w:rsidRDefault="00CE1536" w:rsidP="00257168">
      <w:pPr>
        <w:spacing w:line="240" w:lineRule="exact"/>
      </w:pPr>
      <w:r>
        <w:t>Point 4 a) de l</w:t>
      </w:r>
      <w:r w:rsidR="00FA18C5">
        <w:t>’</w:t>
      </w:r>
      <w:r>
        <w:t>ordre du jour provisoire</w:t>
      </w:r>
    </w:p>
    <w:p w:rsidR="00CE1536" w:rsidRPr="005D5DED" w:rsidRDefault="00CE1536" w:rsidP="00CE1536">
      <w:pPr>
        <w:tabs>
          <w:tab w:val="left" w:pos="567"/>
          <w:tab w:val="left" w:pos="1134"/>
        </w:tabs>
        <w:ind w:right="4394"/>
        <w:rPr>
          <w:b/>
          <w:bCs/>
          <w:szCs w:val="24"/>
        </w:rPr>
      </w:pPr>
      <w:r w:rsidRPr="00307347">
        <w:rPr>
          <w:b/>
          <w:bCs/>
          <w:szCs w:val="24"/>
          <w:lang w:val="fr-FR"/>
        </w:rPr>
        <w:t xml:space="preserve">Véhicules utilitaires lourds </w:t>
      </w:r>
      <w:r>
        <w:rPr>
          <w:b/>
          <w:bCs/>
          <w:szCs w:val="24"/>
          <w:lang w:val="fr-FR"/>
        </w:rPr>
        <w:t>−</w:t>
      </w:r>
      <w:r w:rsidRPr="00307347">
        <w:rPr>
          <w:b/>
          <w:bCs/>
          <w:szCs w:val="24"/>
          <w:lang w:val="fr-FR"/>
        </w:rPr>
        <w:t xml:space="preserve"> Règlements n</w:t>
      </w:r>
      <w:r w:rsidRPr="00307347">
        <w:rPr>
          <w:b/>
          <w:bCs/>
          <w:szCs w:val="24"/>
          <w:vertAlign w:val="superscript"/>
          <w:lang w:val="fr-FR"/>
        </w:rPr>
        <w:t>os</w:t>
      </w:r>
      <w:r>
        <w:rPr>
          <w:b/>
          <w:bCs/>
          <w:szCs w:val="24"/>
          <w:lang w:val="fr-FR"/>
        </w:rPr>
        <w:t> </w:t>
      </w:r>
      <w:r w:rsidRPr="00307347">
        <w:rPr>
          <w:b/>
          <w:bCs/>
          <w:szCs w:val="24"/>
          <w:lang w:val="fr-FR"/>
        </w:rPr>
        <w:t>49 (Émissions</w:t>
      </w:r>
      <w:r>
        <w:rPr>
          <w:b/>
          <w:bCs/>
          <w:szCs w:val="24"/>
          <w:lang w:val="fr-FR"/>
        </w:rPr>
        <w:t xml:space="preserve"> </w:t>
      </w:r>
      <w:r>
        <w:rPr>
          <w:b/>
          <w:bCs/>
          <w:szCs w:val="24"/>
          <w:lang w:val="fr-FR"/>
        </w:rPr>
        <w:br/>
      </w:r>
      <w:r w:rsidRPr="00CE1536">
        <w:rPr>
          <w:b/>
          <w:bCs/>
          <w:spacing w:val="2"/>
          <w:szCs w:val="24"/>
          <w:lang w:val="fr-FR"/>
        </w:rPr>
        <w:t xml:space="preserve">des moteurs à allumage par compression et des moteurs </w:t>
      </w:r>
      <w:r w:rsidRPr="00CE1536">
        <w:rPr>
          <w:b/>
          <w:bCs/>
          <w:spacing w:val="2"/>
          <w:szCs w:val="24"/>
          <w:lang w:val="fr-FR"/>
        </w:rPr>
        <w:br/>
      </w:r>
      <w:r w:rsidRPr="00307347">
        <w:rPr>
          <w:b/>
          <w:bCs/>
          <w:szCs w:val="24"/>
          <w:lang w:val="fr-FR"/>
        </w:rPr>
        <w:t xml:space="preserve">à allumage commandé (GPL et GNC)) et 132 </w:t>
      </w:r>
      <w:r>
        <w:rPr>
          <w:b/>
          <w:bCs/>
          <w:szCs w:val="24"/>
          <w:lang w:val="fr-FR"/>
        </w:rPr>
        <w:br/>
      </w:r>
      <w:r w:rsidRPr="00307347">
        <w:rPr>
          <w:b/>
          <w:bCs/>
          <w:szCs w:val="24"/>
          <w:lang w:val="fr-FR"/>
        </w:rPr>
        <w:t>(Dispositifs</w:t>
      </w:r>
      <w:r>
        <w:rPr>
          <w:b/>
          <w:bCs/>
          <w:szCs w:val="24"/>
          <w:lang w:val="fr-FR"/>
        </w:rPr>
        <w:t xml:space="preserve"> </w:t>
      </w:r>
      <w:r w:rsidRPr="00307347">
        <w:rPr>
          <w:b/>
          <w:bCs/>
          <w:szCs w:val="24"/>
          <w:lang w:val="fr-FR"/>
        </w:rPr>
        <w:t>antipollution de mise à niveau)</w:t>
      </w:r>
    </w:p>
    <w:p w:rsidR="00CE1536" w:rsidRPr="005D5DED" w:rsidRDefault="00CE1536" w:rsidP="00CE1536">
      <w:pPr>
        <w:pStyle w:val="HChG"/>
      </w:pPr>
      <w:r w:rsidRPr="00307347">
        <w:rPr>
          <w:lang w:val="fr-FR"/>
        </w:rPr>
        <w:tab/>
      </w:r>
      <w:r w:rsidRPr="00307347">
        <w:rPr>
          <w:lang w:val="fr-FR"/>
        </w:rPr>
        <w:tab/>
        <w:t>Proposition de nouveau complément à la série 05 d</w:t>
      </w:r>
      <w:r w:rsidR="00FA18C5">
        <w:rPr>
          <w:lang w:val="fr-FR"/>
        </w:rPr>
        <w:t>’</w:t>
      </w:r>
      <w:r w:rsidRPr="00307347">
        <w:rPr>
          <w:lang w:val="fr-FR"/>
        </w:rPr>
        <w:t xml:space="preserve">amendements au Règlement </w:t>
      </w:r>
      <w:r w:rsidRPr="00CE1536">
        <w:rPr>
          <w:rFonts w:eastAsia="MS Mincho"/>
          <w:szCs w:val="22"/>
          <w:lang w:val="fr-FR"/>
        </w:rPr>
        <w:t>n</w:t>
      </w:r>
      <w:r w:rsidRPr="00CE1536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lang w:val="fr-FR"/>
        </w:rPr>
        <w:t> </w:t>
      </w:r>
      <w:r w:rsidRPr="00307347">
        <w:rPr>
          <w:lang w:val="fr-FR"/>
        </w:rPr>
        <w:t xml:space="preserve">49 (Émissions </w:t>
      </w:r>
      <w:r>
        <w:rPr>
          <w:lang w:val="fr-FR"/>
        </w:rPr>
        <w:br/>
      </w:r>
      <w:r w:rsidRPr="00307347">
        <w:rPr>
          <w:lang w:val="fr-FR"/>
        </w:rPr>
        <w:t xml:space="preserve">des moteurs à allumage par compression et des </w:t>
      </w:r>
      <w:r>
        <w:rPr>
          <w:lang w:val="fr-FR"/>
        </w:rPr>
        <w:br/>
      </w:r>
      <w:r w:rsidRPr="00307347">
        <w:rPr>
          <w:lang w:val="fr-FR"/>
        </w:rPr>
        <w:t>moteurs à allumage commandé (GPL et GNC))</w:t>
      </w:r>
    </w:p>
    <w:p w:rsidR="00CE1536" w:rsidRPr="00307347" w:rsidRDefault="00CE1536" w:rsidP="00CE1536">
      <w:pPr>
        <w:pStyle w:val="H1G"/>
      </w:pPr>
      <w:r w:rsidRPr="00307347">
        <w:rPr>
          <w:lang w:val="fr-FR"/>
        </w:rPr>
        <w:tab/>
      </w:r>
      <w:r w:rsidRPr="00307347">
        <w:rPr>
          <w:lang w:val="fr-FR"/>
        </w:rPr>
        <w:tab/>
        <w:t>Communication de l</w:t>
      </w:r>
      <w:r w:rsidR="00FA18C5">
        <w:rPr>
          <w:lang w:val="fr-FR"/>
        </w:rPr>
        <w:t>’</w:t>
      </w:r>
      <w:r w:rsidRPr="00307347">
        <w:rPr>
          <w:lang w:val="fr-FR"/>
        </w:rPr>
        <w:t>expert de l</w:t>
      </w:r>
      <w:r w:rsidR="00FA18C5">
        <w:rPr>
          <w:lang w:val="fr-FR"/>
        </w:rPr>
        <w:t>’</w:t>
      </w:r>
      <w:r w:rsidRPr="00307347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307347">
        <w:rPr>
          <w:lang w:val="fr-FR"/>
        </w:rPr>
        <w:t>des constructeurs d</w:t>
      </w:r>
      <w:r w:rsidR="00FA18C5">
        <w:rPr>
          <w:lang w:val="fr-FR"/>
        </w:rPr>
        <w:t>’</w:t>
      </w:r>
      <w:r w:rsidRPr="00307347">
        <w:rPr>
          <w:lang w:val="fr-FR"/>
        </w:rPr>
        <w:t>automobiles</w:t>
      </w:r>
      <w:r w:rsidRPr="00CE153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E1536" w:rsidRDefault="00CE1536" w:rsidP="00CE1536">
      <w:pPr>
        <w:pStyle w:val="SingleTxtG"/>
        <w:ind w:firstLine="567"/>
        <w:rPr>
          <w:lang w:val="fr-FR"/>
        </w:rPr>
      </w:pPr>
      <w:r w:rsidRPr="00307347">
        <w:rPr>
          <w:lang w:val="fr-FR"/>
        </w:rPr>
        <w:t>Le texte ci-après, établi par l</w:t>
      </w:r>
      <w:r w:rsidR="00FA18C5">
        <w:rPr>
          <w:lang w:val="fr-FR"/>
        </w:rPr>
        <w:t>’</w:t>
      </w:r>
      <w:r w:rsidRPr="00307347">
        <w:rPr>
          <w:lang w:val="fr-FR"/>
        </w:rPr>
        <w:t>expert de l</w:t>
      </w:r>
      <w:r w:rsidR="00FA18C5">
        <w:rPr>
          <w:lang w:val="fr-FR"/>
        </w:rPr>
        <w:t>’</w:t>
      </w:r>
      <w:r w:rsidRPr="00307347">
        <w:rPr>
          <w:lang w:val="fr-FR"/>
        </w:rPr>
        <w:t>Organisation internationale des constructeurs d</w:t>
      </w:r>
      <w:r w:rsidR="00FA18C5">
        <w:rPr>
          <w:lang w:val="fr-FR"/>
        </w:rPr>
        <w:t>’</w:t>
      </w:r>
      <w:r w:rsidRPr="00307347">
        <w:rPr>
          <w:lang w:val="fr-FR"/>
        </w:rPr>
        <w:t>automobiles (</w:t>
      </w:r>
      <w:r w:rsidRPr="00CE1536">
        <w:t>OICA</w:t>
      </w:r>
      <w:r w:rsidRPr="00307347">
        <w:rPr>
          <w:lang w:val="fr-FR"/>
        </w:rPr>
        <w:t>), vise à améliorer la disposition relative au contrôle aléatoire et à définir l</w:t>
      </w:r>
      <w:r w:rsidR="00FA18C5">
        <w:rPr>
          <w:lang w:val="fr-FR"/>
        </w:rPr>
        <w:t>’</w:t>
      </w:r>
      <w:r w:rsidRPr="00307347">
        <w:rPr>
          <w:lang w:val="fr-FR"/>
        </w:rPr>
        <w:t>arrondissement des résultats d</w:t>
      </w:r>
      <w:r w:rsidR="00FA18C5">
        <w:rPr>
          <w:lang w:val="fr-FR"/>
        </w:rPr>
        <w:t>’</w:t>
      </w:r>
      <w:r w:rsidRPr="00307347">
        <w:rPr>
          <w:lang w:val="fr-FR"/>
        </w:rPr>
        <w:t>essais calculés conformément à l</w:t>
      </w:r>
      <w:r w:rsidR="00FA18C5">
        <w:rPr>
          <w:lang w:val="fr-FR"/>
        </w:rPr>
        <w:t>’</w:t>
      </w:r>
      <w:r w:rsidRPr="00307347">
        <w:rPr>
          <w:lang w:val="fr-FR"/>
        </w:rPr>
        <w:t>annexe 4A de la série 05 d</w:t>
      </w:r>
      <w:r w:rsidR="00FA18C5">
        <w:rPr>
          <w:lang w:val="fr-FR"/>
        </w:rPr>
        <w:t>’</w:t>
      </w:r>
      <w:r w:rsidRPr="00307347">
        <w:rPr>
          <w:lang w:val="fr-FR"/>
        </w:rPr>
        <w:t>amendements au Règlement n</w:t>
      </w:r>
      <w:r w:rsidRPr="0030734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307347">
        <w:rPr>
          <w:lang w:val="fr-FR"/>
        </w:rPr>
        <w:t>49. Les modifications qu</w:t>
      </w:r>
      <w:r w:rsidR="00FA18C5">
        <w:rPr>
          <w:lang w:val="fr-FR"/>
        </w:rPr>
        <w:t>’</w:t>
      </w:r>
      <w:r w:rsidRPr="00307347">
        <w:rPr>
          <w:lang w:val="fr-FR"/>
        </w:rPr>
        <w:t>il est proposé d</w:t>
      </w:r>
      <w:r w:rsidR="00FA18C5">
        <w:rPr>
          <w:lang w:val="fr-FR"/>
        </w:rPr>
        <w:t>’</w:t>
      </w:r>
      <w:r w:rsidRPr="00307347">
        <w:rPr>
          <w:lang w:val="fr-FR"/>
        </w:rPr>
        <w:t>apporter au texte actuel du Règlement figurent en caractères gras pour les ajouts et biffés pour les suppressions.</w:t>
      </w:r>
    </w:p>
    <w:p w:rsidR="00CE1536" w:rsidRPr="00CE1536" w:rsidRDefault="00CE1536" w:rsidP="00D509D6">
      <w:pPr>
        <w:pStyle w:val="HChG"/>
      </w:pPr>
      <w:r>
        <w:rPr>
          <w:lang w:val="fr-FR"/>
        </w:rPr>
        <w:br w:type="page"/>
      </w:r>
      <w:r w:rsidR="00D509D6">
        <w:rPr>
          <w:lang w:val="fr-FR"/>
        </w:rPr>
        <w:lastRenderedPageBreak/>
        <w:tab/>
      </w:r>
      <w:r w:rsidRPr="00CE1536">
        <w:rPr>
          <w:lang w:val="fr-FR"/>
        </w:rPr>
        <w:t>I.</w:t>
      </w:r>
      <w:r w:rsidRPr="00CE1536">
        <w:rPr>
          <w:lang w:val="fr-FR"/>
        </w:rPr>
        <w:tab/>
        <w:t>Proposition</w:t>
      </w:r>
    </w:p>
    <w:p w:rsidR="00CE1536" w:rsidRPr="00CE1536" w:rsidRDefault="00CE1536" w:rsidP="00CE1536">
      <w:pPr>
        <w:pStyle w:val="SingleTxtG"/>
      </w:pPr>
      <w:r w:rsidRPr="00CE1536">
        <w:rPr>
          <w:i/>
          <w:iCs/>
          <w:lang w:val="fr-FR"/>
        </w:rPr>
        <w:t>Paragraphe 5.2.3.1</w:t>
      </w:r>
      <w:r w:rsidRPr="00CE1536">
        <w:rPr>
          <w:lang w:val="fr-FR"/>
        </w:rPr>
        <w:t xml:space="preserve">, </w:t>
      </w:r>
      <w:proofErr w:type="gramStart"/>
      <w:r w:rsidRPr="00CE1536">
        <w:rPr>
          <w:lang w:val="fr-FR"/>
        </w:rPr>
        <w:t>modifier</w:t>
      </w:r>
      <w:proofErr w:type="gramEnd"/>
      <w:r w:rsidRPr="00CE1536">
        <w:rPr>
          <w:lang w:val="fr-FR"/>
        </w:rPr>
        <w:t xml:space="preserve"> comme suit</w:t>
      </w:r>
      <w:r w:rsidR="00D509D6">
        <w:rPr>
          <w:lang w:val="fr-FR"/>
        </w:rPr>
        <w:t> </w:t>
      </w:r>
      <w:r w:rsidRPr="00CE1536">
        <w:rPr>
          <w:lang w:val="fr-FR"/>
        </w:rPr>
        <w:t>:</w:t>
      </w:r>
    </w:p>
    <w:p w:rsidR="00CE1536" w:rsidRPr="00CE1536" w:rsidRDefault="00D509D6" w:rsidP="00D509D6">
      <w:pPr>
        <w:pStyle w:val="SingleTxtG"/>
        <w:ind w:left="2268" w:hanging="1134"/>
      </w:pPr>
      <w:r>
        <w:rPr>
          <w:lang w:val="fr-FR"/>
        </w:rPr>
        <w:t>« </w:t>
      </w:r>
      <w:r w:rsidR="00CE1536" w:rsidRPr="00CE1536">
        <w:rPr>
          <w:lang w:val="fr-FR"/>
        </w:rPr>
        <w:t>5.2.3.1</w:t>
      </w:r>
      <w:r w:rsidR="00CE1536" w:rsidRPr="00CE1536">
        <w:rPr>
          <w:lang w:val="fr-FR"/>
        </w:rPr>
        <w:tab/>
        <w:t>La masse spécifique d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oxydes d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azote mesurée aux points de contrôle choisis au hasard dans la zone de contrôle de l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essai ESC ne doit pas excéder de plus de 10</w:t>
      </w:r>
      <w:r>
        <w:rPr>
          <w:lang w:val="fr-FR"/>
        </w:rPr>
        <w:t> </w:t>
      </w:r>
      <w:r w:rsidR="00CE1536" w:rsidRPr="00CE1536">
        <w:rPr>
          <w:lang w:val="fr-FR"/>
        </w:rPr>
        <w:t>% les valeurs calculées par interpolation entre les modes d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essai adjacents (voir à ce sujet les paragraphes 5.6.2 et 5.6.3 de l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appendice 1 de l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 xml:space="preserve">annexe 4A) </w:t>
      </w:r>
      <w:r w:rsidR="00CE1536" w:rsidRPr="00CE1536">
        <w:rPr>
          <w:b/>
          <w:bCs/>
          <w:lang w:val="fr-FR"/>
        </w:rPr>
        <w:t>ou les valeurs limites du tableau 1 du paragraphe 5.2.1, les plus grandes valeurs étant retenues</w:t>
      </w:r>
      <w:r w:rsidR="00CE1536" w:rsidRPr="00CE1536">
        <w:rPr>
          <w:lang w:val="fr-FR"/>
        </w:rPr>
        <w:t>.</w:t>
      </w:r>
      <w:r>
        <w:rPr>
          <w:lang w:val="fr-FR"/>
        </w:rPr>
        <w:t> ».</w:t>
      </w:r>
    </w:p>
    <w:p w:rsidR="00CE1536" w:rsidRPr="00CE1536" w:rsidRDefault="00CE1536" w:rsidP="00CE1536">
      <w:pPr>
        <w:pStyle w:val="SingleTxtG"/>
      </w:pPr>
      <w:r w:rsidRPr="00CE1536">
        <w:rPr>
          <w:i/>
          <w:iCs/>
          <w:lang w:val="fr-FR"/>
        </w:rPr>
        <w:t>Annexe 6, ajouter un nouveau paragraphe 5</w:t>
      </w:r>
      <w:r w:rsidRPr="00CE1536">
        <w:rPr>
          <w:lang w:val="fr-FR"/>
        </w:rPr>
        <w:t>, libellé comme suit</w:t>
      </w:r>
      <w:r w:rsidR="00D509D6">
        <w:rPr>
          <w:lang w:val="fr-FR"/>
        </w:rPr>
        <w:t> </w:t>
      </w:r>
      <w:r w:rsidRPr="00CE1536">
        <w:rPr>
          <w:lang w:val="fr-FR"/>
        </w:rPr>
        <w:t>:</w:t>
      </w:r>
    </w:p>
    <w:p w:rsidR="00CE1536" w:rsidRPr="00CE1536" w:rsidRDefault="00D509D6" w:rsidP="00D509D6">
      <w:pPr>
        <w:pStyle w:val="SingleTxtG"/>
        <w:ind w:left="2268" w:hanging="1134"/>
        <w:rPr>
          <w:b/>
        </w:rPr>
      </w:pPr>
      <w:r>
        <w:rPr>
          <w:lang w:val="fr-FR"/>
        </w:rPr>
        <w:t>« </w:t>
      </w:r>
      <w:r w:rsidR="00CE1536" w:rsidRPr="00CE1536">
        <w:rPr>
          <w:b/>
          <w:lang w:val="fr-FR"/>
        </w:rPr>
        <w:t>5.</w:t>
      </w:r>
      <w:r w:rsidR="00CE1536" w:rsidRPr="00CE1536">
        <w:rPr>
          <w:lang w:val="fr-FR"/>
        </w:rPr>
        <w:tab/>
      </w:r>
      <w:r w:rsidR="00CE1536" w:rsidRPr="00CE1536">
        <w:rPr>
          <w:lang w:val="fr-FR"/>
        </w:rPr>
        <w:tab/>
      </w:r>
      <w:r w:rsidR="00CE1536" w:rsidRPr="00CE1536">
        <w:rPr>
          <w:b/>
          <w:bCs/>
          <w:lang w:val="fr-FR"/>
        </w:rPr>
        <w:t>Arrondissement</w:t>
      </w:r>
    </w:p>
    <w:p w:rsidR="00CE1536" w:rsidRPr="00CE1536" w:rsidRDefault="00CE1536" w:rsidP="00D509D6">
      <w:pPr>
        <w:pStyle w:val="SingleTxtG"/>
        <w:ind w:left="2268"/>
      </w:pPr>
      <w:r w:rsidRPr="00CE1536">
        <w:rPr>
          <w:b/>
          <w:bCs/>
          <w:lang w:val="fr-FR"/>
        </w:rPr>
        <w:t>Le résultat d</w:t>
      </w:r>
      <w:r w:rsidR="00FA18C5">
        <w:rPr>
          <w:b/>
          <w:bCs/>
          <w:lang w:val="fr-FR"/>
        </w:rPr>
        <w:t>’</w:t>
      </w:r>
      <w:r w:rsidRPr="00CE1536">
        <w:rPr>
          <w:b/>
          <w:bCs/>
          <w:lang w:val="fr-FR"/>
        </w:rPr>
        <w:t>essai définitif doit être arrondi au même nombre de décimales que la norme d</w:t>
      </w:r>
      <w:r w:rsidR="00FA18C5">
        <w:rPr>
          <w:b/>
          <w:bCs/>
          <w:lang w:val="fr-FR"/>
        </w:rPr>
        <w:t>’</w:t>
      </w:r>
      <w:r w:rsidRPr="00CE1536">
        <w:rPr>
          <w:b/>
          <w:bCs/>
          <w:lang w:val="fr-FR"/>
        </w:rPr>
        <w:t>émission applicable.</w:t>
      </w:r>
      <w:r w:rsidRPr="00CE1536">
        <w:rPr>
          <w:lang w:val="fr-FR"/>
        </w:rPr>
        <w:t xml:space="preserve"> </w:t>
      </w:r>
      <w:r w:rsidRPr="00CE1536">
        <w:rPr>
          <w:b/>
          <w:bCs/>
          <w:lang w:val="fr-FR"/>
        </w:rPr>
        <w:t>Il n</w:t>
      </w:r>
      <w:r w:rsidR="00FA18C5">
        <w:rPr>
          <w:b/>
          <w:bCs/>
          <w:lang w:val="fr-FR"/>
        </w:rPr>
        <w:t>’</w:t>
      </w:r>
      <w:r w:rsidRPr="00CE1536">
        <w:rPr>
          <w:b/>
          <w:bCs/>
          <w:lang w:val="fr-FR"/>
        </w:rPr>
        <w:t>est pas permis d</w:t>
      </w:r>
      <w:r w:rsidR="00FA18C5">
        <w:rPr>
          <w:b/>
          <w:bCs/>
          <w:lang w:val="fr-FR"/>
        </w:rPr>
        <w:t>’</w:t>
      </w:r>
      <w:r w:rsidRPr="00CE1536">
        <w:rPr>
          <w:b/>
          <w:bCs/>
          <w:lang w:val="fr-FR"/>
        </w:rPr>
        <w:t>arrondir les valeurs intermédiaires utilisées pour déterminer le résultat final en matière d</w:t>
      </w:r>
      <w:r w:rsidR="00FA18C5">
        <w:rPr>
          <w:b/>
          <w:bCs/>
          <w:lang w:val="fr-FR"/>
        </w:rPr>
        <w:t>’</w:t>
      </w:r>
      <w:r w:rsidRPr="00CE1536">
        <w:rPr>
          <w:b/>
          <w:bCs/>
          <w:lang w:val="fr-FR"/>
        </w:rPr>
        <w:t>émissions spécifiques au banc.</w:t>
      </w:r>
      <w:r w:rsidR="00D509D6">
        <w:rPr>
          <w:bCs/>
          <w:lang w:val="fr-FR"/>
        </w:rPr>
        <w:t> ».</w:t>
      </w:r>
    </w:p>
    <w:p w:rsidR="00CE1536" w:rsidRPr="00CE1536" w:rsidRDefault="00D509D6" w:rsidP="00D509D6">
      <w:pPr>
        <w:pStyle w:val="HChG"/>
      </w:pPr>
      <w:r>
        <w:rPr>
          <w:lang w:val="fr-FR"/>
        </w:rPr>
        <w:tab/>
      </w:r>
      <w:r w:rsidR="00CE1536" w:rsidRPr="00CE1536">
        <w:rPr>
          <w:lang w:val="fr-FR"/>
        </w:rPr>
        <w:t>II.</w:t>
      </w:r>
      <w:r w:rsidR="00CE1536" w:rsidRPr="00CE1536">
        <w:rPr>
          <w:lang w:val="fr-FR"/>
        </w:rPr>
        <w:tab/>
        <w:t>Justification</w:t>
      </w:r>
    </w:p>
    <w:p w:rsidR="00CE1536" w:rsidRPr="00CE1536" w:rsidRDefault="00D509D6" w:rsidP="00D509D6">
      <w:pPr>
        <w:pStyle w:val="SingleTxtG"/>
      </w:pPr>
      <w:r>
        <w:t>1.</w:t>
      </w:r>
      <w:r>
        <w:tab/>
      </w:r>
      <w:r w:rsidR="00CE1536" w:rsidRPr="00D509D6">
        <w:t>Disposition</w:t>
      </w:r>
      <w:r w:rsidR="00CE1536" w:rsidRPr="00CE1536">
        <w:rPr>
          <w:lang w:val="fr-FR"/>
        </w:rPr>
        <w:t xml:space="preserve"> relative au contrôle aléatoire (par</w:t>
      </w:r>
      <w:r w:rsidR="00FA18C5">
        <w:rPr>
          <w:lang w:val="fr-FR"/>
        </w:rPr>
        <w:t xml:space="preserve">agraphe </w:t>
      </w:r>
      <w:r w:rsidR="00CE1536" w:rsidRPr="00CE1536">
        <w:rPr>
          <w:lang w:val="fr-FR"/>
        </w:rPr>
        <w:t>5.2.3.1)</w:t>
      </w:r>
    </w:p>
    <w:p w:rsidR="00CE1536" w:rsidRPr="00CE1536" w:rsidRDefault="00CE1536" w:rsidP="00FA18C5">
      <w:pPr>
        <w:pStyle w:val="SingleTxtG"/>
        <w:ind w:firstLine="567"/>
      </w:pPr>
      <w:r w:rsidRPr="00CE1536">
        <w:rPr>
          <w:lang w:val="fr-FR"/>
        </w:rPr>
        <w:t>Les dispositions actuelles empêchent la mise en service de moteurs ayant des niveaux d</w:t>
      </w:r>
      <w:r w:rsidR="00FA18C5">
        <w:rPr>
          <w:lang w:val="fr-FR"/>
        </w:rPr>
        <w:t>’</w:t>
      </w:r>
      <w:r w:rsidRPr="00CE1536">
        <w:rPr>
          <w:lang w:val="fr-FR"/>
        </w:rPr>
        <w:t>émission nettement inférieurs à ceux définis par les normes EURO IV/V (par exemple : EURO</w:t>
      </w:r>
      <w:r w:rsidR="00D509D6">
        <w:rPr>
          <w:lang w:val="fr-FR"/>
        </w:rPr>
        <w:t> </w:t>
      </w:r>
      <w:r w:rsidRPr="00CE1536">
        <w:rPr>
          <w:lang w:val="fr-FR"/>
        </w:rPr>
        <w:t>VI</w:t>
      </w:r>
      <w:r w:rsidR="00D509D6">
        <w:rPr>
          <w:lang w:val="fr-FR"/>
        </w:rPr>
        <w:t> </w:t>
      </w:r>
      <w:r w:rsidRPr="00CE1536">
        <w:rPr>
          <w:lang w:val="fr-FR"/>
        </w:rPr>
        <w:t>&lt;</w:t>
      </w:r>
      <w:r w:rsidR="00D509D6">
        <w:rPr>
          <w:lang w:val="fr-FR"/>
        </w:rPr>
        <w:t> </w:t>
      </w:r>
      <w:r w:rsidRPr="00CE1536">
        <w:rPr>
          <w:lang w:val="fr-FR"/>
        </w:rPr>
        <w:t>0,4</w:t>
      </w:r>
      <w:r w:rsidR="00D509D6">
        <w:rPr>
          <w:lang w:val="fr-FR"/>
        </w:rPr>
        <w:t> </w:t>
      </w:r>
      <w:r w:rsidRPr="00CE1536">
        <w:rPr>
          <w:lang w:val="fr-FR"/>
        </w:rPr>
        <w:t>g/kWh). La marge de tolérance de 10</w:t>
      </w:r>
      <w:r w:rsidR="00D509D6">
        <w:rPr>
          <w:lang w:val="fr-FR"/>
        </w:rPr>
        <w:t> </w:t>
      </w:r>
      <w:r w:rsidRPr="00CE1536">
        <w:rPr>
          <w:lang w:val="fr-FR"/>
        </w:rPr>
        <w:t>% de ces très faibles valeurs d</w:t>
      </w:r>
      <w:r w:rsidR="00FA18C5">
        <w:rPr>
          <w:lang w:val="fr-FR"/>
        </w:rPr>
        <w:t>’</w:t>
      </w:r>
      <w:r w:rsidRPr="00CE1536">
        <w:rPr>
          <w:lang w:val="fr-FR"/>
        </w:rPr>
        <w:t>émissions est inférieure au niveau de précision de cette méthode (mesure, interpolation, etc.). Cette disposition, qui a été définie pour les moteurs EURO IV/V, a pour effet d</w:t>
      </w:r>
      <w:r w:rsidR="00FA18C5">
        <w:rPr>
          <w:lang w:val="fr-FR"/>
        </w:rPr>
        <w:t>’</w:t>
      </w:r>
      <w:r w:rsidRPr="00CE1536">
        <w:rPr>
          <w:lang w:val="fr-FR"/>
        </w:rPr>
        <w:t>empêcher les moteurs à faibles émissions (EURO VI) de satisfaire aux dispositions. Cette proposition permet de certifier des catégories de moteurs dérivés de l</w:t>
      </w:r>
      <w:r w:rsidR="00FA18C5">
        <w:rPr>
          <w:lang w:val="fr-FR"/>
        </w:rPr>
        <w:t>’</w:t>
      </w:r>
      <w:r w:rsidRPr="00CE1536">
        <w:rPr>
          <w:lang w:val="fr-FR"/>
        </w:rPr>
        <w:t>Euro VI pour des marchés spécifiques conformément à la série 05 d</w:t>
      </w:r>
      <w:r w:rsidR="00FA18C5">
        <w:rPr>
          <w:lang w:val="fr-FR"/>
        </w:rPr>
        <w:t>’</w:t>
      </w:r>
      <w:r w:rsidRPr="00CE1536">
        <w:rPr>
          <w:lang w:val="fr-FR"/>
        </w:rPr>
        <w:t xml:space="preserve">amendements au Règlement </w:t>
      </w:r>
      <w:r w:rsidR="00D509D6" w:rsidRPr="00D509D6">
        <w:rPr>
          <w:rFonts w:eastAsia="MS Mincho"/>
          <w:szCs w:val="22"/>
          <w:lang w:val="fr-FR"/>
        </w:rPr>
        <w:t>n</w:t>
      </w:r>
      <w:r w:rsidR="00D509D6" w:rsidRPr="00D509D6">
        <w:rPr>
          <w:rFonts w:eastAsia="MS Mincho"/>
          <w:szCs w:val="22"/>
          <w:vertAlign w:val="superscript"/>
          <w:lang w:val="fr-FR"/>
        </w:rPr>
        <w:t>o</w:t>
      </w:r>
      <w:r w:rsidR="00D509D6">
        <w:rPr>
          <w:lang w:val="fr-FR"/>
        </w:rPr>
        <w:t> </w:t>
      </w:r>
      <w:r w:rsidRPr="00CE1536">
        <w:rPr>
          <w:lang w:val="fr-FR"/>
        </w:rPr>
        <w:t>49.</w:t>
      </w:r>
    </w:p>
    <w:p w:rsidR="00CE1536" w:rsidRPr="00CE1536" w:rsidRDefault="00D509D6" w:rsidP="00D509D6">
      <w:pPr>
        <w:pStyle w:val="SingleTxtG"/>
      </w:pPr>
      <w:r>
        <w:t>2.</w:t>
      </w:r>
      <w:r>
        <w:tab/>
      </w:r>
      <w:r w:rsidR="00CE1536" w:rsidRPr="00D509D6">
        <w:t>Arrondissement</w:t>
      </w:r>
      <w:r w:rsidR="00CE1536" w:rsidRPr="00CE1536">
        <w:rPr>
          <w:lang w:val="fr-FR"/>
        </w:rPr>
        <w:t xml:space="preserve"> des résultats d</w:t>
      </w:r>
      <w:r w:rsidR="00FA18C5">
        <w:rPr>
          <w:lang w:val="fr-FR"/>
        </w:rPr>
        <w:t>’</w:t>
      </w:r>
      <w:r w:rsidR="00CE1536" w:rsidRPr="00CE1536">
        <w:rPr>
          <w:lang w:val="fr-FR"/>
        </w:rPr>
        <w:t>essais (Annexe 6)</w:t>
      </w:r>
    </w:p>
    <w:p w:rsidR="00F9573C" w:rsidRDefault="00CE1536" w:rsidP="00FA18C5">
      <w:pPr>
        <w:pStyle w:val="SingleTxtG"/>
        <w:ind w:firstLine="567"/>
        <w:rPr>
          <w:lang w:val="fr-FR"/>
        </w:rPr>
      </w:pPr>
      <w:r w:rsidRPr="00CE1536">
        <w:rPr>
          <w:lang w:val="fr-FR"/>
        </w:rPr>
        <w:t>La série 05 d</w:t>
      </w:r>
      <w:r w:rsidR="00FA18C5">
        <w:rPr>
          <w:lang w:val="fr-FR"/>
        </w:rPr>
        <w:t>’</w:t>
      </w:r>
      <w:r w:rsidRPr="00CE1536">
        <w:rPr>
          <w:lang w:val="fr-FR"/>
        </w:rPr>
        <w:t>amendements au Règlement n</w:t>
      </w:r>
      <w:r w:rsidRPr="00CE1536">
        <w:rPr>
          <w:vertAlign w:val="superscript"/>
          <w:lang w:val="fr-FR"/>
        </w:rPr>
        <w:t>o</w:t>
      </w:r>
      <w:r w:rsidR="00FA18C5">
        <w:rPr>
          <w:lang w:val="fr-FR"/>
        </w:rPr>
        <w:t> </w:t>
      </w:r>
      <w:r w:rsidRPr="00CE1536">
        <w:rPr>
          <w:lang w:val="fr-FR"/>
        </w:rPr>
        <w:t>49 ne précise pas de quelle façon il convient d</w:t>
      </w:r>
      <w:r w:rsidR="00FA18C5">
        <w:rPr>
          <w:lang w:val="fr-FR"/>
        </w:rPr>
        <w:t>’</w:t>
      </w:r>
      <w:r w:rsidRPr="00CE1536">
        <w:rPr>
          <w:lang w:val="fr-FR"/>
        </w:rPr>
        <w:t>arrondir les chiffres pour le calcul des résultats d</w:t>
      </w:r>
      <w:r w:rsidR="00FA18C5">
        <w:rPr>
          <w:lang w:val="fr-FR"/>
        </w:rPr>
        <w:t>’</w:t>
      </w:r>
      <w:r w:rsidRPr="00CE1536">
        <w:rPr>
          <w:lang w:val="fr-FR"/>
        </w:rPr>
        <w:t>essais conformément aux prescriptions de l</w:t>
      </w:r>
      <w:r w:rsidR="00FA18C5">
        <w:rPr>
          <w:lang w:val="fr-FR"/>
        </w:rPr>
        <w:t>’</w:t>
      </w:r>
      <w:r w:rsidRPr="00CE1536">
        <w:rPr>
          <w:lang w:val="fr-FR"/>
        </w:rPr>
        <w:t>annexe 4A (un exemple de calcul est fourni dans l</w:t>
      </w:r>
      <w:r w:rsidR="00FA18C5">
        <w:rPr>
          <w:lang w:val="fr-FR"/>
        </w:rPr>
        <w:t>’</w:t>
      </w:r>
      <w:r w:rsidRPr="00CE1536">
        <w:rPr>
          <w:lang w:val="fr-FR"/>
        </w:rPr>
        <w:t>annexe 6). Cela conduit à des interprétations divergentes. La présente proposition est conforme à la pratique qui était en vigueur lorsque ce Règlement a été appliqué dans l</w:t>
      </w:r>
      <w:r w:rsidR="00FA18C5">
        <w:rPr>
          <w:lang w:val="fr-FR"/>
        </w:rPr>
        <w:t>’</w:t>
      </w:r>
      <w:r w:rsidRPr="00CE1536">
        <w:rPr>
          <w:lang w:val="fr-FR"/>
        </w:rPr>
        <w:t>Union européenne dans le passé (EURO</w:t>
      </w:r>
      <w:r w:rsidR="00FA18C5">
        <w:rPr>
          <w:lang w:val="fr-FR"/>
        </w:rPr>
        <w:t> </w:t>
      </w:r>
      <w:r w:rsidRPr="00CE1536">
        <w:rPr>
          <w:lang w:val="fr-FR"/>
        </w:rPr>
        <w:t>III à V), aux principes généraux d</w:t>
      </w:r>
      <w:r w:rsidR="00FA18C5">
        <w:rPr>
          <w:lang w:val="fr-FR"/>
        </w:rPr>
        <w:t>’</w:t>
      </w:r>
      <w:r w:rsidRPr="00CE1536">
        <w:rPr>
          <w:lang w:val="fr-FR"/>
        </w:rPr>
        <w:t>arrondissement suivis dans les calculs mathématiques et à la méthode d</w:t>
      </w:r>
      <w:r w:rsidR="00FA18C5">
        <w:rPr>
          <w:lang w:val="fr-FR"/>
        </w:rPr>
        <w:t>’</w:t>
      </w:r>
      <w:r w:rsidRPr="00CE1536">
        <w:rPr>
          <w:lang w:val="fr-FR"/>
        </w:rPr>
        <w:t>arrondissement appliquée par l</w:t>
      </w:r>
      <w:r w:rsidR="00FA18C5">
        <w:rPr>
          <w:lang w:val="fr-FR"/>
        </w:rPr>
        <w:t>’</w:t>
      </w:r>
      <w:r w:rsidRPr="00CE1536">
        <w:rPr>
          <w:lang w:val="fr-FR"/>
        </w:rPr>
        <w:t>Agence de protection de l</w:t>
      </w:r>
      <w:r w:rsidR="00FA18C5">
        <w:rPr>
          <w:lang w:val="fr-FR"/>
        </w:rPr>
        <w:t>’</w:t>
      </w:r>
      <w:r w:rsidRPr="00CE1536">
        <w:rPr>
          <w:lang w:val="fr-FR"/>
        </w:rPr>
        <w:t>environnement des États-Unis d</w:t>
      </w:r>
      <w:r w:rsidR="00FA18C5">
        <w:rPr>
          <w:lang w:val="fr-FR"/>
        </w:rPr>
        <w:t>’</w:t>
      </w:r>
      <w:r w:rsidRPr="00CE1536">
        <w:rPr>
          <w:lang w:val="fr-FR"/>
        </w:rPr>
        <w:t>Amérique (40</w:t>
      </w:r>
      <w:r w:rsidR="00FA18C5">
        <w:rPr>
          <w:lang w:val="fr-FR"/>
        </w:rPr>
        <w:t> </w:t>
      </w:r>
      <w:r w:rsidRPr="00CE1536">
        <w:rPr>
          <w:lang w:val="fr-FR"/>
        </w:rPr>
        <w:t>CFR Part</w:t>
      </w:r>
      <w:r w:rsidR="00FA18C5">
        <w:rPr>
          <w:lang w:val="fr-FR"/>
        </w:rPr>
        <w:t> </w:t>
      </w:r>
      <w:r w:rsidRPr="00CE1536">
        <w:rPr>
          <w:lang w:val="fr-FR"/>
        </w:rPr>
        <w:t>1065). L</w:t>
      </w:r>
      <w:r w:rsidR="00FA18C5">
        <w:rPr>
          <w:lang w:val="fr-FR"/>
        </w:rPr>
        <w:t>’</w:t>
      </w:r>
      <w:r w:rsidRPr="00CE1536">
        <w:rPr>
          <w:lang w:val="fr-FR"/>
        </w:rPr>
        <w:t>ajout du nouveau paragraphe 5 dans l</w:t>
      </w:r>
      <w:r w:rsidR="00FA18C5">
        <w:rPr>
          <w:lang w:val="fr-FR"/>
        </w:rPr>
        <w:t>’</w:t>
      </w:r>
      <w:r w:rsidRPr="00CE1536">
        <w:rPr>
          <w:lang w:val="fr-FR"/>
        </w:rPr>
        <w:t>annexe 6 apportera une clarification.</w:t>
      </w:r>
    </w:p>
    <w:p w:rsidR="00FA18C5" w:rsidRPr="00FA18C5" w:rsidRDefault="00FA18C5" w:rsidP="00FA18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18C5" w:rsidRPr="00FA18C5" w:rsidSect="00CE15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95" w:rsidRDefault="006D5795" w:rsidP="00F95C08">
      <w:pPr>
        <w:spacing w:line="240" w:lineRule="auto"/>
      </w:pPr>
    </w:p>
  </w:endnote>
  <w:endnote w:type="continuationSeparator" w:id="0">
    <w:p w:rsidR="006D5795" w:rsidRPr="00AC3823" w:rsidRDefault="006D5795" w:rsidP="00AC3823">
      <w:pPr>
        <w:pStyle w:val="Footer"/>
      </w:pPr>
    </w:p>
  </w:endnote>
  <w:endnote w:type="continuationNotice" w:id="1">
    <w:p w:rsidR="006D5795" w:rsidRDefault="006D57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6" w:rsidRPr="00CE1536" w:rsidRDefault="00CE1536" w:rsidP="00CE1536">
    <w:pPr>
      <w:pStyle w:val="Footer"/>
      <w:tabs>
        <w:tab w:val="right" w:pos="9638"/>
      </w:tabs>
    </w:pPr>
    <w:r w:rsidRPr="00CE1536">
      <w:rPr>
        <w:b/>
        <w:sz w:val="18"/>
      </w:rPr>
      <w:fldChar w:fldCharType="begin"/>
    </w:r>
    <w:r w:rsidRPr="00CE1536">
      <w:rPr>
        <w:b/>
        <w:sz w:val="18"/>
      </w:rPr>
      <w:instrText xml:space="preserve"> PAGE  \* MERGEFORMAT </w:instrText>
    </w:r>
    <w:r w:rsidRPr="00CE1536">
      <w:rPr>
        <w:b/>
        <w:sz w:val="18"/>
      </w:rPr>
      <w:fldChar w:fldCharType="separate"/>
    </w:r>
    <w:r w:rsidR="0042257F">
      <w:rPr>
        <w:b/>
        <w:noProof/>
        <w:sz w:val="18"/>
      </w:rPr>
      <w:t>2</w:t>
    </w:r>
    <w:r w:rsidRPr="00CE1536">
      <w:rPr>
        <w:b/>
        <w:sz w:val="18"/>
      </w:rPr>
      <w:fldChar w:fldCharType="end"/>
    </w:r>
    <w:r>
      <w:rPr>
        <w:b/>
        <w:sz w:val="18"/>
      </w:rPr>
      <w:tab/>
    </w:r>
    <w:r>
      <w:t>GE.17-18459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6" w:rsidRPr="00CE1536" w:rsidRDefault="00CE1536" w:rsidP="00CE1536">
    <w:pPr>
      <w:pStyle w:val="Footer"/>
      <w:tabs>
        <w:tab w:val="right" w:pos="9638"/>
      </w:tabs>
      <w:rPr>
        <w:b/>
        <w:sz w:val="18"/>
      </w:rPr>
    </w:pPr>
    <w:r>
      <w:t>GE.17-18459</w:t>
    </w:r>
    <w:r>
      <w:tab/>
    </w:r>
    <w:r w:rsidRPr="00CE1536">
      <w:rPr>
        <w:b/>
        <w:sz w:val="18"/>
      </w:rPr>
      <w:fldChar w:fldCharType="begin"/>
    </w:r>
    <w:r w:rsidRPr="00CE1536">
      <w:rPr>
        <w:b/>
        <w:sz w:val="18"/>
      </w:rPr>
      <w:instrText xml:space="preserve"> PAGE  \* MERGEFORMAT </w:instrText>
    </w:r>
    <w:r w:rsidRPr="00CE1536">
      <w:rPr>
        <w:b/>
        <w:sz w:val="18"/>
      </w:rPr>
      <w:fldChar w:fldCharType="separate"/>
    </w:r>
    <w:r w:rsidR="00726C9B">
      <w:rPr>
        <w:b/>
        <w:noProof/>
        <w:sz w:val="18"/>
      </w:rPr>
      <w:t>2</w:t>
    </w:r>
    <w:r w:rsidRPr="00CE15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E1536" w:rsidRDefault="00CE1536" w:rsidP="00CE153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17-18459  (F)    091117    091117</w:t>
    </w:r>
    <w:r>
      <w:rPr>
        <w:sz w:val="20"/>
      </w:rPr>
      <w:br/>
    </w:r>
    <w:r w:rsidRPr="00CE1536">
      <w:rPr>
        <w:rFonts w:ascii="C39T30Lfz" w:hAnsi="C39T30Lfz"/>
        <w:sz w:val="56"/>
      </w:rPr>
      <w:t></w:t>
    </w:r>
    <w:r w:rsidRPr="00CE1536">
      <w:rPr>
        <w:rFonts w:ascii="C39T30Lfz" w:hAnsi="C39T30Lfz"/>
        <w:sz w:val="56"/>
      </w:rPr>
      <w:t></w:t>
    </w:r>
    <w:r w:rsidRPr="00CE1536">
      <w:rPr>
        <w:rFonts w:ascii="C39T30Lfz" w:hAnsi="C39T30Lfz"/>
        <w:sz w:val="56"/>
      </w:rPr>
      <w:t></w:t>
    </w:r>
    <w:r w:rsidRPr="00CE1536">
      <w:rPr>
        <w:rFonts w:ascii="C39T30Lfz" w:hAnsi="C39T30Lfz"/>
        <w:sz w:val="56"/>
      </w:rPr>
      <w:t></w:t>
    </w:r>
    <w:r w:rsidRPr="00CE1536">
      <w:rPr>
        <w:rFonts w:ascii="C39T30Lfz" w:hAnsi="C39T30Lfz"/>
        <w:sz w:val="56"/>
      </w:rPr>
      <w:t></w:t>
    </w:r>
    <w:r w:rsidRPr="00CE1536">
      <w:rPr>
        <w:rFonts w:ascii="C39T30Lfz" w:hAnsi="C39T30Lfz"/>
        <w:sz w:val="56"/>
      </w:rPr>
      <w:t></w:t>
    </w:r>
    <w:r w:rsidRPr="00CE1536">
      <w:rPr>
        <w:rFonts w:ascii="C39T30Lfz" w:hAnsi="C39T30Lfz"/>
        <w:sz w:val="56"/>
      </w:rPr>
      <w:t></w:t>
    </w:r>
    <w:r w:rsidRPr="00CE1536">
      <w:rPr>
        <w:rFonts w:ascii="C39T30Lfz" w:hAnsi="C39T30Lfz"/>
        <w:sz w:val="56"/>
      </w:rPr>
      <w:t></w:t>
    </w:r>
    <w:r w:rsidRPr="00CE153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8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95" w:rsidRPr="00AC3823" w:rsidRDefault="006D57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5795" w:rsidRPr="00AC3823" w:rsidRDefault="006D57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5795" w:rsidRPr="00AC3823" w:rsidRDefault="006D5795">
      <w:pPr>
        <w:spacing w:line="240" w:lineRule="auto"/>
        <w:rPr>
          <w:sz w:val="2"/>
          <w:szCs w:val="2"/>
        </w:rPr>
      </w:pPr>
    </w:p>
  </w:footnote>
  <w:footnote w:id="2">
    <w:p w:rsidR="00CE1536" w:rsidRPr="00CE1536" w:rsidRDefault="00CE1536">
      <w:pPr>
        <w:pStyle w:val="FootnoteText"/>
      </w:pPr>
      <w:r>
        <w:rPr>
          <w:rStyle w:val="FootnoteReference"/>
        </w:rPr>
        <w:tab/>
      </w:r>
      <w:r w:rsidRPr="00CE15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</w:t>
      </w:r>
      <w:r w:rsidRPr="00CE1536">
        <w:rPr>
          <w:spacing w:val="-2"/>
          <w:lang w:val="fr-FR"/>
        </w:rPr>
        <w:t>programme de travail du Comité des transports intérieurs</w:t>
      </w:r>
      <w:r>
        <w:rPr>
          <w:lang w:val="fr-FR"/>
        </w:rPr>
        <w:t xml:space="preserve">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6" w:rsidRPr="00CE1536" w:rsidRDefault="004225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6C9B">
      <w:t>ECE/TRANS/WP.29/GRPE/2018/9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6" w:rsidRPr="00CE1536" w:rsidRDefault="0042257F" w:rsidP="00CE15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6C9B">
      <w:t>ECE/TRANS/WP.29/GRPE/2018/9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711FB"/>
    <w:multiLevelType w:val="hybridMultilevel"/>
    <w:tmpl w:val="D84C6D64"/>
    <w:lvl w:ilvl="0" w:tplc="A468983C">
      <w:start w:val="1"/>
      <w:numFmt w:val="decimal"/>
      <w:lvlText w:val="%1."/>
      <w:lvlJc w:val="left"/>
      <w:pPr>
        <w:ind w:left="1494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A468983C">
        <w:start w:val="1"/>
        <w:numFmt w:val="decimal"/>
        <w:lvlText w:val="%1."/>
        <w:lvlJc w:val="left"/>
        <w:pPr>
          <w:ind w:left="1494" w:hanging="360"/>
        </w:pPr>
        <w:rPr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5"/>
    <w:rsid w:val="00017F94"/>
    <w:rsid w:val="00023842"/>
    <w:rsid w:val="000334F9"/>
    <w:rsid w:val="00045FEB"/>
    <w:rsid w:val="0007796D"/>
    <w:rsid w:val="000B7790"/>
    <w:rsid w:val="00111F2F"/>
    <w:rsid w:val="00141E2B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257F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D5795"/>
    <w:rsid w:val="0071601D"/>
    <w:rsid w:val="00726C9B"/>
    <w:rsid w:val="007A62E6"/>
    <w:rsid w:val="007F20FA"/>
    <w:rsid w:val="0080684C"/>
    <w:rsid w:val="00871C75"/>
    <w:rsid w:val="008776DC"/>
    <w:rsid w:val="008B6D0E"/>
    <w:rsid w:val="009446C0"/>
    <w:rsid w:val="009705C8"/>
    <w:rsid w:val="009C1CF4"/>
    <w:rsid w:val="009F6B74"/>
    <w:rsid w:val="00A30353"/>
    <w:rsid w:val="00AC3823"/>
    <w:rsid w:val="00AE323C"/>
    <w:rsid w:val="00AF0CB5"/>
    <w:rsid w:val="00AF40CA"/>
    <w:rsid w:val="00B00181"/>
    <w:rsid w:val="00B00B0D"/>
    <w:rsid w:val="00B765F7"/>
    <w:rsid w:val="00B81AAB"/>
    <w:rsid w:val="00BA0CA9"/>
    <w:rsid w:val="00C02897"/>
    <w:rsid w:val="00C97039"/>
    <w:rsid w:val="00CE1536"/>
    <w:rsid w:val="00D3439C"/>
    <w:rsid w:val="00D509D6"/>
    <w:rsid w:val="00DB1831"/>
    <w:rsid w:val="00DD3BFD"/>
    <w:rsid w:val="00DF6678"/>
    <w:rsid w:val="00E0299A"/>
    <w:rsid w:val="00E53173"/>
    <w:rsid w:val="00E85C74"/>
    <w:rsid w:val="00EA6547"/>
    <w:rsid w:val="00EF2E22"/>
    <w:rsid w:val="00F35BAF"/>
    <w:rsid w:val="00F660DF"/>
    <w:rsid w:val="00F94664"/>
    <w:rsid w:val="00F9573C"/>
    <w:rsid w:val="00F95C08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E153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E153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E153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E153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ECE/TRANS/WP.29/GRPE/2018/9</vt:lpstr>
      <vt:lpstr>ECE/TRANS/WP.29/GRPE/2018/9</vt:lpstr>
    </vt:vector>
  </TitlesOfParts>
  <Company>DCM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ECE/TRANS/WP.29/GRPE/2018/9</dc:title>
  <dc:creator>Fabienne CRELIER</dc:creator>
  <cp:lastModifiedBy>Benedicte Boudol</cp:lastModifiedBy>
  <cp:revision>2</cp:revision>
  <cp:lastPrinted>2017-11-09T13:52:00Z</cp:lastPrinted>
  <dcterms:created xsi:type="dcterms:W3CDTF">2017-11-09T14:59:00Z</dcterms:created>
  <dcterms:modified xsi:type="dcterms:W3CDTF">2017-11-09T14:59:00Z</dcterms:modified>
</cp:coreProperties>
</file>