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20926">
              <w:fldChar w:fldCharType="begin"/>
            </w:r>
            <w:r w:rsidR="00D20926">
              <w:instrText xml:space="preserve"> FILLIN  "Введите символ после ЕCE/"  \* MERGEFORMAT </w:instrText>
            </w:r>
            <w:r w:rsidR="00D20926">
              <w:fldChar w:fldCharType="separate"/>
            </w:r>
            <w:r w:rsidR="00FB5728">
              <w:t>TRANS/WP.29/GRPE/2017/4</w:t>
            </w:r>
            <w:r w:rsidR="00D2092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2092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20926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FB5728">
              <w:t>26 October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2092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5728" w:rsidRPr="00FB5728" w:rsidRDefault="00FB5728" w:rsidP="00FB5728">
      <w:pPr>
        <w:spacing w:before="120"/>
        <w:rPr>
          <w:sz w:val="28"/>
          <w:szCs w:val="28"/>
        </w:rPr>
      </w:pPr>
      <w:r w:rsidRPr="00FB5728">
        <w:rPr>
          <w:sz w:val="28"/>
          <w:szCs w:val="28"/>
        </w:rPr>
        <w:t xml:space="preserve">Комитет по внутреннему транспорту </w:t>
      </w:r>
    </w:p>
    <w:p w:rsidR="00FB5728" w:rsidRPr="00FB5728" w:rsidRDefault="00FB5728" w:rsidP="00FB5728">
      <w:pPr>
        <w:spacing w:before="120"/>
        <w:rPr>
          <w:b/>
          <w:sz w:val="24"/>
          <w:szCs w:val="24"/>
        </w:rPr>
      </w:pPr>
      <w:r w:rsidRPr="00FB5728">
        <w:rPr>
          <w:b/>
          <w:sz w:val="24"/>
          <w:szCs w:val="24"/>
        </w:rPr>
        <w:t xml:space="preserve">Всемирный форум для согласования правил </w:t>
      </w:r>
      <w:r w:rsidRPr="00FB5728">
        <w:rPr>
          <w:b/>
          <w:sz w:val="24"/>
          <w:szCs w:val="24"/>
        </w:rPr>
        <w:br/>
        <w:t xml:space="preserve">в области транспортных средств </w:t>
      </w:r>
    </w:p>
    <w:p w:rsidR="00FB5728" w:rsidRPr="00FB5728" w:rsidRDefault="00FB5728" w:rsidP="00FB5728">
      <w:pPr>
        <w:spacing w:before="120"/>
        <w:rPr>
          <w:b/>
        </w:rPr>
      </w:pPr>
      <w:r w:rsidRPr="00FB5728">
        <w:rPr>
          <w:b/>
        </w:rPr>
        <w:t xml:space="preserve">Рабочая группа по проблемам энергии </w:t>
      </w:r>
      <w:r w:rsidRPr="00FB5728">
        <w:rPr>
          <w:b/>
        </w:rPr>
        <w:br/>
        <w:t xml:space="preserve">и загрязнения окружающей среды </w:t>
      </w:r>
    </w:p>
    <w:p w:rsidR="00FB5728" w:rsidRPr="009478CD" w:rsidRDefault="00FB5728" w:rsidP="009478CD">
      <w:pPr>
        <w:spacing w:before="120"/>
        <w:rPr>
          <w:b/>
        </w:rPr>
      </w:pPr>
      <w:r w:rsidRPr="009478CD">
        <w:rPr>
          <w:b/>
        </w:rPr>
        <w:t>Семьдесят четвертая сессия</w:t>
      </w:r>
    </w:p>
    <w:p w:rsidR="00FB5728" w:rsidRPr="00FB5728" w:rsidRDefault="00FB5728" w:rsidP="00FB5728">
      <w:r w:rsidRPr="00FB5728">
        <w:t>Женева, 10</w:t>
      </w:r>
      <w:r w:rsidR="009478CD" w:rsidRPr="009902F3">
        <w:t>–</w:t>
      </w:r>
      <w:r w:rsidRPr="00FB5728">
        <w:t>13 января 2017 года</w:t>
      </w:r>
    </w:p>
    <w:p w:rsidR="00FB5728" w:rsidRPr="00FB5728" w:rsidRDefault="00FB5728" w:rsidP="00FB5728">
      <w:r w:rsidRPr="00FB5728">
        <w:t>Пункт 8 предварительной повестки дня</w:t>
      </w:r>
    </w:p>
    <w:p w:rsidR="00FB5728" w:rsidRPr="009478CD" w:rsidRDefault="00FB5728" w:rsidP="00FB5728">
      <w:pPr>
        <w:rPr>
          <w:b/>
        </w:rPr>
      </w:pPr>
      <w:r w:rsidRPr="009478CD">
        <w:rPr>
          <w:b/>
        </w:rPr>
        <w:t>Проект правил о единообразных предписаниях,</w:t>
      </w:r>
      <w:r w:rsidR="009478CD" w:rsidRPr="009478CD">
        <w:rPr>
          <w:b/>
        </w:rPr>
        <w:t xml:space="preserve"> </w:t>
      </w:r>
      <w:r w:rsidR="009478CD" w:rsidRPr="009478CD">
        <w:rPr>
          <w:b/>
        </w:rPr>
        <w:br/>
      </w:r>
      <w:r w:rsidRPr="009478CD">
        <w:rPr>
          <w:b/>
        </w:rPr>
        <w:t>касающихся официального утверждения</w:t>
      </w:r>
      <w:r w:rsidR="009478CD" w:rsidRPr="009478CD">
        <w:rPr>
          <w:b/>
        </w:rPr>
        <w:t xml:space="preserve"> </w:t>
      </w:r>
      <w:r w:rsidR="009478CD" w:rsidRPr="009478CD">
        <w:rPr>
          <w:b/>
        </w:rPr>
        <w:br/>
      </w:r>
      <w:r w:rsidRPr="009478CD">
        <w:rPr>
          <w:b/>
        </w:rPr>
        <w:t xml:space="preserve">модифицированных систем двухтопливных </w:t>
      </w:r>
      <w:r w:rsidR="009478CD" w:rsidRPr="009478CD">
        <w:rPr>
          <w:b/>
        </w:rPr>
        <w:br/>
      </w:r>
      <w:r w:rsidRPr="009478CD">
        <w:rPr>
          <w:b/>
        </w:rPr>
        <w:t>двигателей большой мощности (МСД-ДТБМ)</w:t>
      </w:r>
      <w:r w:rsidR="009478CD" w:rsidRPr="009478CD">
        <w:rPr>
          <w:b/>
        </w:rPr>
        <w:t xml:space="preserve"> </w:t>
      </w:r>
      <w:r w:rsidR="009478CD" w:rsidRPr="009478CD">
        <w:rPr>
          <w:b/>
        </w:rPr>
        <w:br/>
      </w:r>
      <w:r w:rsidRPr="009478CD">
        <w:rPr>
          <w:b/>
        </w:rPr>
        <w:t xml:space="preserve">для установки на дизельных двигателях </w:t>
      </w:r>
      <w:r w:rsidR="009478CD" w:rsidRPr="009478CD">
        <w:rPr>
          <w:b/>
        </w:rPr>
        <w:br/>
      </w:r>
      <w:r w:rsidRPr="009478CD">
        <w:rPr>
          <w:b/>
        </w:rPr>
        <w:t>и</w:t>
      </w:r>
      <w:r w:rsidR="009478CD" w:rsidRPr="009478CD">
        <w:rPr>
          <w:b/>
        </w:rPr>
        <w:t xml:space="preserve"> </w:t>
      </w:r>
      <w:r w:rsidRPr="009478CD">
        <w:rPr>
          <w:b/>
        </w:rPr>
        <w:t>транспортных средствах большой мощности</w:t>
      </w:r>
    </w:p>
    <w:p w:rsidR="00FB5728" w:rsidRPr="00FB5728" w:rsidRDefault="00FB5728" w:rsidP="009478CD">
      <w:pPr>
        <w:pStyle w:val="HChGR"/>
      </w:pPr>
      <w:r w:rsidRPr="00FB5728">
        <w:tab/>
      </w:r>
      <w:r w:rsidRPr="00FB5728">
        <w:tab/>
        <w:t>Предложение по дополнению к проекту правил о</w:t>
      </w:r>
      <w:r w:rsidR="009478CD">
        <w:rPr>
          <w:lang w:val="en-US"/>
        </w:rPr>
        <w:t> </w:t>
      </w:r>
      <w:r w:rsidRPr="00FB5728">
        <w:t>единообразных предписаниях, касающихся официального утверждения модифицированных систем двухтопливных двигателей большой мощности (МСД-ДТБМ) для установки на дизельных двигателях и транспортных средствах большой мощности</w:t>
      </w:r>
    </w:p>
    <w:p w:rsidR="00FB5728" w:rsidRPr="00FB5728" w:rsidRDefault="00FB5728" w:rsidP="009478CD">
      <w:pPr>
        <w:pStyle w:val="H1GR"/>
      </w:pPr>
      <w:r w:rsidRPr="00FB5728">
        <w:tab/>
      </w:r>
      <w:r w:rsidRPr="00FB5728">
        <w:tab/>
        <w:t>Представлено экспертом от Нидерландов</w:t>
      </w:r>
      <w:r w:rsidRPr="009478CD">
        <w:rPr>
          <w:b w:val="0"/>
          <w:sz w:val="20"/>
        </w:rPr>
        <w:footnoteReference w:customMarkFollows="1" w:id="1"/>
        <w:t>*</w:t>
      </w:r>
    </w:p>
    <w:p w:rsidR="00FB5728" w:rsidRPr="00FB5728" w:rsidRDefault="009478CD" w:rsidP="00FB5728">
      <w:pPr>
        <w:pStyle w:val="SingleTxtGR"/>
      </w:pPr>
      <w:r w:rsidRPr="009902F3">
        <w:tab/>
      </w:r>
      <w:r w:rsidR="00FB5728" w:rsidRPr="00FB5728">
        <w:t>Воспроизведенный ниже текст был подготовлен экспертом от Нидерла</w:t>
      </w:r>
      <w:r w:rsidR="00FB5728" w:rsidRPr="00FB5728">
        <w:t>н</w:t>
      </w:r>
      <w:r w:rsidR="00FB5728" w:rsidRPr="00FB5728">
        <w:t xml:space="preserve">дов для рассмотрения выраженных на сессии </w:t>
      </w:r>
      <w:r w:rsidR="00FB5728" w:rsidRPr="00FB5728">
        <w:rPr>
          <w:lang w:val="en-GB"/>
        </w:rPr>
        <w:t>GRPE</w:t>
      </w:r>
      <w:r w:rsidR="00FB5728" w:rsidRPr="00FB5728">
        <w:t xml:space="preserve"> в июне 2016 года опасений в связи с компенсационным подходом к упрощенному испытанию модифицир</w:t>
      </w:r>
      <w:r w:rsidR="00FB5728" w:rsidRPr="00FB5728">
        <w:t>о</w:t>
      </w:r>
      <w:r w:rsidR="00FB5728" w:rsidRPr="00FB5728">
        <w:lastRenderedPageBreak/>
        <w:t>ванных систем двухтопливных двигателей. Проект этих правил был предста</w:t>
      </w:r>
      <w:r w:rsidR="00FB5728" w:rsidRPr="00FB5728">
        <w:t>в</w:t>
      </w:r>
      <w:r w:rsidR="00FB5728" w:rsidRPr="00FB5728">
        <w:t>лен Всемирному форуму для согласования правил в области транспортных средств (</w:t>
      </w:r>
      <w:r w:rsidR="00FB5728" w:rsidRPr="00FB5728">
        <w:rPr>
          <w:lang w:val="en-GB"/>
        </w:rPr>
        <w:t>WP</w:t>
      </w:r>
      <w:r w:rsidR="00FB5728" w:rsidRPr="00FB5728">
        <w:t xml:space="preserve">.29) и Административному комитету </w:t>
      </w:r>
      <w:r w:rsidR="00FB5728" w:rsidRPr="00FB5728">
        <w:rPr>
          <w:lang w:val="en-GB"/>
        </w:rPr>
        <w:t>AC</w:t>
      </w:r>
      <w:r w:rsidR="00FB5728" w:rsidRPr="00FB5728">
        <w:t>.1 для рассмотрения и г</w:t>
      </w:r>
      <w:r w:rsidR="00FB5728" w:rsidRPr="00FB5728">
        <w:t>о</w:t>
      </w:r>
      <w:r w:rsidR="00FB5728" w:rsidRPr="00FB5728">
        <w:t>лосования на их сессиях в ноябре 2016 года (</w:t>
      </w:r>
      <w:r w:rsidR="00FB5728" w:rsidRPr="00FB5728">
        <w:rPr>
          <w:lang w:val="en-GB"/>
        </w:rPr>
        <w:t>ECE</w:t>
      </w:r>
      <w:r w:rsidR="00FB5728" w:rsidRPr="00FB5728">
        <w:t>/</w:t>
      </w:r>
      <w:r w:rsidR="00FB5728" w:rsidRPr="00FB5728">
        <w:rPr>
          <w:lang w:val="en-GB"/>
        </w:rPr>
        <w:t>TRANS</w:t>
      </w:r>
      <w:r w:rsidR="00FB5728" w:rsidRPr="00FB5728">
        <w:t>/</w:t>
      </w:r>
      <w:r w:rsidR="00FB5728" w:rsidRPr="00FB5728">
        <w:rPr>
          <w:lang w:val="en-GB"/>
        </w:rPr>
        <w:t>WP</w:t>
      </w:r>
      <w:r w:rsidR="00FB5728" w:rsidRPr="00FB5728">
        <w:t>.29/2016/110). И</w:t>
      </w:r>
      <w:r w:rsidR="00FB5728" w:rsidRPr="00FB5728">
        <w:t>з</w:t>
      </w:r>
      <w:r w:rsidR="00FB5728" w:rsidRPr="00FB5728">
        <w:t xml:space="preserve">менения к документу </w:t>
      </w:r>
      <w:r w:rsidR="00FB5728" w:rsidRPr="00FB5728">
        <w:rPr>
          <w:lang w:val="en-GB"/>
        </w:rPr>
        <w:t>ECE</w:t>
      </w:r>
      <w:r w:rsidR="00FB5728" w:rsidRPr="00FB5728">
        <w:t>/</w:t>
      </w:r>
      <w:r w:rsidR="00FB5728" w:rsidRPr="00FB5728">
        <w:rPr>
          <w:lang w:val="en-GB"/>
        </w:rPr>
        <w:t>TRANS</w:t>
      </w:r>
      <w:r w:rsidR="00FB5728" w:rsidRPr="00FB5728">
        <w:t>/</w:t>
      </w:r>
      <w:r w:rsidR="00FB5728" w:rsidRPr="00FB5728">
        <w:rPr>
          <w:lang w:val="en-GB"/>
        </w:rPr>
        <w:t>WP</w:t>
      </w:r>
      <w:r w:rsidR="00FB5728" w:rsidRPr="00FB5728">
        <w:t>.29/2016/110 выделены жирным шрифтом в случае новых положений или зачеркиванием в случае исключенных элеме</w:t>
      </w:r>
      <w:r w:rsidR="00FB5728" w:rsidRPr="00FB5728">
        <w:t>н</w:t>
      </w:r>
      <w:r w:rsidR="00FB5728" w:rsidRPr="00FB5728">
        <w:t>тов.</w:t>
      </w:r>
    </w:p>
    <w:p w:rsidR="00FB5728" w:rsidRPr="00FB5728" w:rsidRDefault="00FB5728" w:rsidP="002D2DB7">
      <w:pPr>
        <w:pStyle w:val="HChGR"/>
      </w:pPr>
      <w:r w:rsidRPr="00FB5728">
        <w:br w:type="page"/>
      </w:r>
      <w:r w:rsidRPr="00FB5728">
        <w:tab/>
      </w:r>
      <w:r w:rsidRPr="00FB5728">
        <w:rPr>
          <w:lang w:val="en-GB"/>
        </w:rPr>
        <w:t>I</w:t>
      </w:r>
      <w:r w:rsidRPr="00FB5728">
        <w:t>.</w:t>
      </w:r>
      <w:r w:rsidRPr="00FB5728">
        <w:tab/>
        <w:t>Предложение</w:t>
      </w:r>
    </w:p>
    <w:p w:rsidR="00FB5728" w:rsidRPr="00FB5728" w:rsidRDefault="00FB5728" w:rsidP="00FB5728">
      <w:pPr>
        <w:pStyle w:val="SingleTxtGR"/>
        <w:rPr>
          <w:i/>
        </w:rPr>
      </w:pPr>
      <w:r w:rsidRPr="00FB5728">
        <w:rPr>
          <w:i/>
        </w:rPr>
        <w:t>Приложение 6, пункт 10.1,</w:t>
      </w:r>
      <w:r w:rsidRPr="00FB5728">
        <w:t xml:space="preserve"> изменить следующим образом:</w:t>
      </w:r>
    </w:p>
    <w:p w:rsidR="00FB5728" w:rsidRPr="00FB5728" w:rsidRDefault="002D2DB7" w:rsidP="002D2DB7">
      <w:pPr>
        <w:pStyle w:val="SingleTxtGR"/>
        <w:tabs>
          <w:tab w:val="clear" w:pos="1701"/>
        </w:tabs>
      </w:pPr>
      <w:r>
        <w:t>«</w:t>
      </w:r>
      <w:r w:rsidR="00FB5728" w:rsidRPr="00FB5728">
        <w:t>10.1</w:t>
      </w:r>
      <w:r w:rsidR="00FB5728" w:rsidRPr="00FB5728">
        <w:tab/>
        <w:t>Испытания и требования</w:t>
      </w:r>
    </w:p>
    <w:p w:rsidR="00FB5728" w:rsidRPr="00FB5728" w:rsidRDefault="00FB5728" w:rsidP="002D2DB7">
      <w:pPr>
        <w:pStyle w:val="SingleTxtGR"/>
        <w:ind w:left="2268"/>
      </w:pPr>
      <w:r w:rsidRPr="00FB5728">
        <w:t>Двигатель, являющийся репрезентативным для запрашиваемого расширения диапазона применения, испытывают в соответствии с положениями пункта 5.2.2 или 10.1.1 по усмотрению изготовителя модифицированной системы двухтопливного двигателя. Испытания двигателя в соответствии с пунктом 5.2.2 всегда требуются при расширении диапазона применения путем включения в него семе</w:t>
      </w:r>
      <w:r w:rsidRPr="00FB5728">
        <w:t>й</w:t>
      </w:r>
      <w:r w:rsidRPr="00FB5728">
        <w:t>ства двигателей с РОГ.</w:t>
      </w:r>
    </w:p>
    <w:p w:rsidR="00FB5728" w:rsidRPr="00FB5728" w:rsidRDefault="00FB5728" w:rsidP="002D2DB7">
      <w:pPr>
        <w:pStyle w:val="SingleTxtGR"/>
        <w:ind w:left="2268"/>
      </w:pPr>
      <w:r w:rsidRPr="00FB5728">
        <w:t>Испытания в соответствии с пунктом 10.1.1 проводят на репрезе</w:t>
      </w:r>
      <w:r w:rsidRPr="00FB5728">
        <w:t>н</w:t>
      </w:r>
      <w:r w:rsidRPr="00FB5728">
        <w:t>тативном двигателе, оборудованном системой, относящейся к с</w:t>
      </w:r>
      <w:r w:rsidRPr="00FB5728">
        <w:t>е</w:t>
      </w:r>
      <w:r w:rsidRPr="00FB5728">
        <w:t xml:space="preserve">мейству модифицированных систем </w:t>
      </w:r>
      <w:bookmarkStart w:id="3" w:name="OLE_LINK45"/>
      <w:bookmarkStart w:id="4" w:name="OLE_LINK46"/>
      <w:r w:rsidRPr="00FB5728">
        <w:t>двухтопливных</w:t>
      </w:r>
      <w:bookmarkEnd w:id="3"/>
      <w:bookmarkEnd w:id="4"/>
      <w:r w:rsidRPr="00FB5728">
        <w:t xml:space="preserve"> двигателей.</w:t>
      </w:r>
    </w:p>
    <w:p w:rsidR="00FB5728" w:rsidRPr="00FB5728" w:rsidRDefault="00FB5728" w:rsidP="002D2DB7">
      <w:pPr>
        <w:pStyle w:val="SingleTxtGR"/>
        <w:ind w:left="2268"/>
      </w:pPr>
      <w:r w:rsidRPr="00FB5728">
        <w:t>Одни и те же испытания проводят в дизельном и двухтопливном режимах при максимально возможном соответствии операционных точек и условий.</w:t>
      </w:r>
    </w:p>
    <w:p w:rsidR="00FB5728" w:rsidRPr="00FB5728" w:rsidRDefault="00FB5728" w:rsidP="002D2DB7">
      <w:pPr>
        <w:pStyle w:val="SingleTxtGR"/>
        <w:ind w:left="2268"/>
      </w:pPr>
      <w:r w:rsidRPr="00FB5728">
        <w:t xml:space="preserve">Полученные по результатам испытаний значения выбросов </w:t>
      </w:r>
      <w:r w:rsidRPr="00FB5728">
        <w:rPr>
          <w:lang w:val="en-GB"/>
        </w:rPr>
        <w:t>NO</w:t>
      </w:r>
      <w:r w:rsidRPr="00FB5728">
        <w:rPr>
          <w:vertAlign w:val="subscript"/>
        </w:rPr>
        <w:t>х</w:t>
      </w:r>
      <w:r w:rsidRPr="00FB5728">
        <w:t xml:space="preserve">, неметановых углеводородов (НМУВ), </w:t>
      </w:r>
      <w:r w:rsidRPr="00FB5728">
        <w:rPr>
          <w:lang w:val="en-GB"/>
        </w:rPr>
        <w:t>CO</w:t>
      </w:r>
      <w:r w:rsidRPr="00FB5728">
        <w:t xml:space="preserve"> и ВЧ в двухтопливном режиме должны быть меньше или равны соответствующим знач</w:t>
      </w:r>
      <w:r w:rsidRPr="00FB5728">
        <w:t>е</w:t>
      </w:r>
      <w:r w:rsidRPr="00FB5728">
        <w:t>ниям для дизельного режима.</w:t>
      </w:r>
    </w:p>
    <w:p w:rsidR="00FB5728" w:rsidRPr="00FB5728" w:rsidRDefault="00FB5728" w:rsidP="002D2DB7">
      <w:pPr>
        <w:pStyle w:val="SingleTxtGR"/>
        <w:ind w:left="2268"/>
        <w:rPr>
          <w:b/>
        </w:rPr>
      </w:pPr>
      <w:r w:rsidRPr="00FB5728">
        <w:rPr>
          <w:b/>
        </w:rPr>
        <w:t xml:space="preserve">В качестве альтернативного варианта, по просьбе изготовителя модифицированной системы двигателя, значения удельных выбросов </w:t>
      </w:r>
      <w:r w:rsidRPr="00FB5728">
        <w:rPr>
          <w:b/>
          <w:lang w:val="en-GB"/>
        </w:rPr>
        <w:t>CO</w:t>
      </w:r>
      <w:r w:rsidRPr="00FB5728">
        <w:rPr>
          <w:b/>
          <w:vertAlign w:val="subscript"/>
        </w:rPr>
        <w:t>2</w:t>
      </w:r>
      <w:r w:rsidRPr="00FB5728">
        <w:rPr>
          <w:b/>
        </w:rPr>
        <w:t xml:space="preserve"> в ходе испытания в соответствии с пун</w:t>
      </w:r>
      <w:r w:rsidRPr="00FB5728">
        <w:rPr>
          <w:b/>
        </w:rPr>
        <w:t>к</w:t>
      </w:r>
      <w:r w:rsidRPr="00FB5728">
        <w:rPr>
          <w:b/>
        </w:rPr>
        <w:t>том</w:t>
      </w:r>
      <w:r w:rsidR="00D37E80">
        <w:rPr>
          <w:b/>
          <w:lang w:val="en-US"/>
        </w:rPr>
        <w:t> </w:t>
      </w:r>
      <w:r w:rsidRPr="00FB5728">
        <w:rPr>
          <w:b/>
        </w:rPr>
        <w:t xml:space="preserve">10.1.1.1 в </w:t>
      </w:r>
      <w:r w:rsidRPr="00FB5728">
        <w:rPr>
          <w:b/>
          <w:bCs/>
        </w:rPr>
        <w:t>двухтопливном</w:t>
      </w:r>
      <w:r w:rsidRPr="00FB5728">
        <w:t xml:space="preserve"> </w:t>
      </w:r>
      <w:r w:rsidRPr="00FB5728">
        <w:rPr>
          <w:b/>
          <w:bCs/>
        </w:rPr>
        <w:t>режиме</w:t>
      </w:r>
      <w:r w:rsidRPr="00FB5728">
        <w:rPr>
          <w:b/>
        </w:rPr>
        <w:t xml:space="preserve"> не должны превышать применимых исходных предельных значений на дизельном топливе, указанных в Правилах № 49 и перенесенных в пр</w:t>
      </w:r>
      <w:r w:rsidRPr="00FB5728">
        <w:rPr>
          <w:b/>
        </w:rPr>
        <w:t>е</w:t>
      </w:r>
      <w:r w:rsidRPr="00FB5728">
        <w:rPr>
          <w:b/>
        </w:rPr>
        <w:t xml:space="preserve">дельные значения удельных выбросов </w:t>
      </w:r>
      <w:r w:rsidRPr="00FB5728">
        <w:rPr>
          <w:b/>
          <w:lang w:val="en-GB"/>
        </w:rPr>
        <w:t>CO</w:t>
      </w:r>
      <w:r w:rsidRPr="00FB5728">
        <w:rPr>
          <w:b/>
          <w:vertAlign w:val="subscript"/>
        </w:rPr>
        <w:t>2</w:t>
      </w:r>
      <w:r w:rsidRPr="00FB5728">
        <w:rPr>
          <w:b/>
        </w:rPr>
        <w:t xml:space="preserve"> с учетом следующ</w:t>
      </w:r>
      <w:r w:rsidRPr="00FB5728">
        <w:rPr>
          <w:b/>
        </w:rPr>
        <w:t>е</w:t>
      </w:r>
      <w:r w:rsidRPr="00FB5728">
        <w:rPr>
          <w:b/>
        </w:rPr>
        <w:t>го уравнения:</w:t>
      </w:r>
    </w:p>
    <w:p w:rsidR="00FB5728" w:rsidRPr="00FB5728" w:rsidRDefault="00F52C34" w:rsidP="002D2DB7">
      <w:pPr>
        <w:pStyle w:val="SingleTxtGR"/>
        <w:ind w:left="2268"/>
        <w:rPr>
          <w:b/>
        </w:rPr>
      </w:pPr>
      <w:bookmarkStart w:id="5" w:name="OLE_LINK47"/>
      <w:bookmarkStart w:id="6" w:name="OLE_LINK48"/>
      <w:r>
        <w:rPr>
          <w:b/>
        </w:rPr>
        <w:t>п</w:t>
      </w:r>
      <w:r w:rsidR="00FB5728" w:rsidRPr="00FB5728">
        <w:rPr>
          <w:b/>
        </w:rPr>
        <w:t xml:space="preserve">редельное значение удельных выбросов </w:t>
      </w:r>
      <w:r w:rsidR="00FB5728" w:rsidRPr="00FB5728">
        <w:rPr>
          <w:b/>
          <w:lang w:val="en-GB"/>
        </w:rPr>
        <w:t>CO</w:t>
      </w:r>
      <w:r w:rsidR="00FB5728" w:rsidRPr="00FB5728">
        <w:rPr>
          <w:b/>
          <w:vertAlign w:val="subscript"/>
        </w:rPr>
        <w:t>2</w:t>
      </w:r>
      <w:bookmarkEnd w:id="5"/>
      <w:bookmarkEnd w:id="6"/>
      <w:r w:rsidR="00FB5728" w:rsidRPr="00FB5728">
        <w:rPr>
          <w:b/>
        </w:rPr>
        <w:t xml:space="preserve"> = 1,6 × 1,5 × пр</w:t>
      </w:r>
      <w:r w:rsidR="00FB5728" w:rsidRPr="00FB5728">
        <w:rPr>
          <w:b/>
        </w:rPr>
        <w:t>е</w:t>
      </w:r>
      <w:r w:rsidR="00FB5728" w:rsidRPr="00FB5728">
        <w:rPr>
          <w:b/>
        </w:rPr>
        <w:t>дельное значение удельных выбросов при торможении,</w:t>
      </w:r>
    </w:p>
    <w:p w:rsidR="00FB5728" w:rsidRPr="00FB5728" w:rsidRDefault="00FB5728" w:rsidP="002D2DB7">
      <w:pPr>
        <w:pStyle w:val="SingleTxtGR"/>
        <w:ind w:left="2268"/>
        <w:rPr>
          <w:b/>
        </w:rPr>
      </w:pPr>
      <w:r w:rsidRPr="00FB5728">
        <w:rPr>
          <w:b/>
        </w:rPr>
        <w:t>где:</w:t>
      </w:r>
    </w:p>
    <w:p w:rsidR="00FB5728" w:rsidRPr="00FB5728" w:rsidRDefault="00FB5728" w:rsidP="002D2DB7">
      <w:pPr>
        <w:pStyle w:val="SingleTxtGR"/>
        <w:ind w:left="2268"/>
        <w:rPr>
          <w:b/>
        </w:rPr>
      </w:pPr>
      <w:r w:rsidRPr="00FB5728">
        <w:rPr>
          <w:b/>
        </w:rPr>
        <w:t xml:space="preserve">предельное значение удельных выбросов </w:t>
      </w:r>
      <w:r w:rsidRPr="00FB5728">
        <w:rPr>
          <w:b/>
          <w:lang w:val="en-GB"/>
        </w:rPr>
        <w:t>CO</w:t>
      </w:r>
      <w:r w:rsidRPr="00FB5728">
        <w:rPr>
          <w:b/>
          <w:vertAlign w:val="subscript"/>
        </w:rPr>
        <w:t>2</w:t>
      </w:r>
      <w:r w:rsidRPr="00FB5728">
        <w:rPr>
          <w:b/>
        </w:rPr>
        <w:t xml:space="preserve"> </w:t>
      </w:r>
      <w:r w:rsidRPr="00FB5728">
        <w:rPr>
          <w:b/>
        </w:rPr>
        <w:tab/>
        <w:t>выражается в [г/кг</w:t>
      </w:r>
      <w:r w:rsidRPr="00FB5728">
        <w:rPr>
          <w:b/>
          <w:lang w:val="en-GB"/>
        </w:rPr>
        <w:t>CO</w:t>
      </w:r>
      <w:r w:rsidRPr="00FB5728">
        <w:rPr>
          <w:b/>
          <w:vertAlign w:val="subscript"/>
        </w:rPr>
        <w:t>2</w:t>
      </w:r>
      <w:r w:rsidRPr="00FB5728">
        <w:rPr>
          <w:b/>
        </w:rPr>
        <w:t>],</w:t>
      </w:r>
    </w:p>
    <w:p w:rsidR="00FB5728" w:rsidRPr="00FB5728" w:rsidRDefault="00FB5728" w:rsidP="00A52706">
      <w:pPr>
        <w:pStyle w:val="SingleTxtGR"/>
        <w:tabs>
          <w:tab w:val="clear" w:pos="2835"/>
          <w:tab w:val="clear" w:pos="3402"/>
          <w:tab w:val="left" w:pos="3119"/>
          <w:tab w:val="left" w:pos="3686"/>
        </w:tabs>
        <w:ind w:left="3686" w:hanging="1418"/>
        <w:rPr>
          <w:b/>
        </w:rPr>
      </w:pPr>
      <w:r w:rsidRPr="00FB5728">
        <w:rPr>
          <w:b/>
        </w:rPr>
        <w:t>1,6</w:t>
      </w:r>
      <w:r w:rsidR="002D2DB7">
        <w:rPr>
          <w:b/>
        </w:rPr>
        <w:t xml:space="preserve"> </w:t>
      </w:r>
      <w:r w:rsidR="002D2DB7">
        <w:rPr>
          <w:b/>
        </w:rPr>
        <w:tab/>
      </w:r>
      <w:r w:rsidR="00D37E80" w:rsidRPr="00D37E80">
        <w:rPr>
          <w:b/>
        </w:rPr>
        <w:t>–</w:t>
      </w:r>
      <w:r w:rsidRPr="00FB5728">
        <w:rPr>
          <w:b/>
        </w:rPr>
        <w:tab/>
        <w:t xml:space="preserve">это коэффициент пересчета значения выбросов при торможении в значение </w:t>
      </w:r>
      <w:r w:rsidRPr="00FB5728">
        <w:rPr>
          <w:b/>
          <w:lang w:val="en-GB"/>
        </w:rPr>
        <w:t>CO</w:t>
      </w:r>
      <w:r w:rsidRPr="00FB5728">
        <w:rPr>
          <w:b/>
          <w:vertAlign w:val="subscript"/>
        </w:rPr>
        <w:t>2</w:t>
      </w:r>
      <w:r w:rsidRPr="00FB5728">
        <w:rPr>
          <w:b/>
        </w:rPr>
        <w:t>,</w:t>
      </w:r>
    </w:p>
    <w:p w:rsidR="00FB5728" w:rsidRPr="00FB5728" w:rsidRDefault="00FB5728" w:rsidP="00A52706">
      <w:pPr>
        <w:pStyle w:val="SingleTxtGR"/>
        <w:tabs>
          <w:tab w:val="clear" w:pos="2835"/>
          <w:tab w:val="clear" w:pos="3402"/>
          <w:tab w:val="left" w:pos="3119"/>
          <w:tab w:val="left" w:pos="3686"/>
        </w:tabs>
        <w:ind w:left="3686" w:hanging="1418"/>
        <w:rPr>
          <w:b/>
        </w:rPr>
      </w:pPr>
      <w:r w:rsidRPr="00FB5728">
        <w:rPr>
          <w:b/>
        </w:rPr>
        <w:t xml:space="preserve">1,5 </w:t>
      </w:r>
      <w:r w:rsidR="00A52706" w:rsidRPr="00D37E80">
        <w:rPr>
          <w:b/>
        </w:rPr>
        <w:tab/>
      </w:r>
      <w:r w:rsidR="00D37E80" w:rsidRPr="00D37E80">
        <w:rPr>
          <w:b/>
        </w:rPr>
        <w:t>–</w:t>
      </w:r>
      <w:r w:rsidRPr="00FB5728">
        <w:rPr>
          <w:b/>
        </w:rPr>
        <w:tab/>
        <w:t>это коэффициент соответствия, а</w:t>
      </w:r>
    </w:p>
    <w:p w:rsidR="00FB5728" w:rsidRPr="00D37E80" w:rsidRDefault="00FB5728" w:rsidP="002D2DB7">
      <w:pPr>
        <w:pStyle w:val="SingleTxtGR"/>
        <w:ind w:left="2268"/>
        <w:rPr>
          <w:b/>
        </w:rPr>
      </w:pPr>
      <w:bookmarkStart w:id="7" w:name="OLE_LINK53"/>
      <w:bookmarkStart w:id="8" w:name="OLE_LINK54"/>
      <w:r w:rsidRPr="00FB5728">
        <w:rPr>
          <w:b/>
        </w:rPr>
        <w:t>предельное значение удельных выбросов при торможении</w:t>
      </w:r>
      <w:bookmarkEnd w:id="7"/>
      <w:bookmarkEnd w:id="8"/>
      <w:r w:rsidRPr="00FB5728">
        <w:rPr>
          <w:b/>
        </w:rPr>
        <w:t xml:space="preserve"> в</w:t>
      </w:r>
      <w:r w:rsidRPr="00FB5728">
        <w:rPr>
          <w:b/>
        </w:rPr>
        <w:t>ы</w:t>
      </w:r>
      <w:r w:rsidRPr="00FB5728">
        <w:rPr>
          <w:b/>
        </w:rPr>
        <w:t>ражается в</w:t>
      </w:r>
      <w:r w:rsidR="00D37E80" w:rsidRPr="00D37E80">
        <w:rPr>
          <w:b/>
        </w:rPr>
        <w:t xml:space="preserve"> </w:t>
      </w:r>
      <w:r w:rsidRPr="00FB5728">
        <w:rPr>
          <w:b/>
        </w:rPr>
        <w:t>[г/кВт]</w:t>
      </w:r>
      <w:r w:rsidR="002D2DB7">
        <w:t>»</w:t>
      </w:r>
      <w:r w:rsidR="00D37E80" w:rsidRPr="00D37E80">
        <w:t>.</w:t>
      </w:r>
    </w:p>
    <w:p w:rsidR="00FB5728" w:rsidRPr="00FB5728" w:rsidRDefault="00FB5728" w:rsidP="00A52706">
      <w:pPr>
        <w:pStyle w:val="HChGR"/>
      </w:pPr>
      <w:r w:rsidRPr="00FB5728">
        <w:br w:type="page"/>
      </w:r>
      <w:r w:rsidR="00A52706" w:rsidRPr="00D37E80">
        <w:tab/>
      </w:r>
      <w:r w:rsidRPr="00FB5728">
        <w:rPr>
          <w:lang w:val="en-US"/>
        </w:rPr>
        <w:t>II</w:t>
      </w:r>
      <w:r w:rsidRPr="00FB5728">
        <w:t>.</w:t>
      </w:r>
      <w:r w:rsidRPr="00FB5728">
        <w:tab/>
        <w:t>Обоснование</w:t>
      </w:r>
    </w:p>
    <w:p w:rsidR="00FB5728" w:rsidRPr="00FB5728" w:rsidRDefault="00FB5728" w:rsidP="00A52706">
      <w:pPr>
        <w:pStyle w:val="H1GR"/>
      </w:pPr>
      <w:r w:rsidRPr="00FB5728">
        <w:tab/>
      </w:r>
      <w:r w:rsidRPr="00FB5728">
        <w:rPr>
          <w:lang w:val="en-US"/>
        </w:rPr>
        <w:t>A</w:t>
      </w:r>
      <w:r w:rsidRPr="00FB5728">
        <w:t>.</w:t>
      </w:r>
      <w:r w:rsidRPr="00FB5728">
        <w:tab/>
        <w:t>Введение</w:t>
      </w:r>
    </w:p>
    <w:p w:rsidR="00FB5728" w:rsidRPr="00FB5728" w:rsidRDefault="00FB5728" w:rsidP="00FB5728">
      <w:pPr>
        <w:pStyle w:val="SingleTxtGR"/>
      </w:pPr>
      <w:r w:rsidRPr="00FB5728">
        <w:t>1.</w:t>
      </w:r>
      <w:r w:rsidRPr="00FB5728">
        <w:tab/>
        <w:t xml:space="preserve">В ходе семьдесят третьей сессии Рабочей группы по проблемам энергии </w:t>
      </w:r>
      <w:r w:rsidRPr="00FB5728">
        <w:br/>
        <w:t>и загрязнения окружающей среды (</w:t>
      </w:r>
      <w:r w:rsidRPr="00FB5728">
        <w:rPr>
          <w:lang w:val="en-GB"/>
        </w:rPr>
        <w:t>GRPE</w:t>
      </w:r>
      <w:r w:rsidRPr="00FB5728">
        <w:t>) эксперт от Европейской ассоциации по сжиженным нефтяным газам (</w:t>
      </w:r>
      <w:bookmarkStart w:id="9" w:name="OLE_LINK49"/>
      <w:bookmarkStart w:id="10" w:name="OLE_LINK50"/>
      <w:r w:rsidRPr="00FB5728">
        <w:t>ЕАСНГ</w:t>
      </w:r>
      <w:bookmarkEnd w:id="9"/>
      <w:bookmarkEnd w:id="10"/>
      <w:r w:rsidRPr="00FB5728">
        <w:t>) выразил опасения в связи с компе</w:t>
      </w:r>
      <w:r w:rsidRPr="00FB5728">
        <w:t>н</w:t>
      </w:r>
      <w:r w:rsidRPr="00FB5728">
        <w:t xml:space="preserve">сационным подходом к упрощенному испытанию </w:t>
      </w:r>
      <w:bookmarkStart w:id="11" w:name="OLE_LINK41"/>
      <w:bookmarkStart w:id="12" w:name="OLE_LINK42"/>
      <w:r w:rsidRPr="00FB5728">
        <w:t>модифицированных систем двухтопливных двигателей</w:t>
      </w:r>
      <w:bookmarkEnd w:id="11"/>
      <w:bookmarkEnd w:id="12"/>
      <w:r w:rsidRPr="00FB5728">
        <w:t>, поскольку в некоторых случаях значения выбросов углеводородов (НС) и/или моноокиси углерода (</w:t>
      </w:r>
      <w:r w:rsidRPr="00FB5728">
        <w:rPr>
          <w:lang w:val="en-GB"/>
        </w:rPr>
        <w:t>CO</w:t>
      </w:r>
      <w:r w:rsidRPr="00FB5728">
        <w:t>) из оригинальных дизел</w:t>
      </w:r>
      <w:r w:rsidRPr="00FB5728">
        <w:t>ь</w:t>
      </w:r>
      <w:r w:rsidRPr="00FB5728">
        <w:t>ных двигателей на много ниже установленного предельного уровня выбросов (</w:t>
      </w:r>
      <w:bookmarkStart w:id="13" w:name="OLE_LINK37"/>
      <w:bookmarkStart w:id="14" w:name="OLE_LINK38"/>
      <w:r w:rsidRPr="00FB5728">
        <w:rPr>
          <w:lang w:val="en-GB"/>
        </w:rPr>
        <w:t>ECE</w:t>
      </w:r>
      <w:r w:rsidRPr="00FB5728">
        <w:t>/</w:t>
      </w:r>
      <w:r w:rsidRPr="00FB5728">
        <w:rPr>
          <w:lang w:val="en-GB"/>
        </w:rPr>
        <w:t>TRANS</w:t>
      </w:r>
      <w:r w:rsidRPr="00FB5728">
        <w:t>/</w:t>
      </w:r>
      <w:r w:rsidRPr="00FB5728">
        <w:rPr>
          <w:lang w:val="en-GB"/>
        </w:rPr>
        <w:t>WP</w:t>
      </w:r>
      <w:r w:rsidRPr="00FB5728">
        <w:t>.29/</w:t>
      </w:r>
      <w:r w:rsidRPr="00FB5728">
        <w:rPr>
          <w:lang w:val="en-GB"/>
        </w:rPr>
        <w:t>GRPE</w:t>
      </w:r>
      <w:r w:rsidRPr="00FB5728">
        <w:t>/73</w:t>
      </w:r>
      <w:bookmarkEnd w:id="13"/>
      <w:bookmarkEnd w:id="14"/>
      <w:r w:rsidRPr="00FB5728">
        <w:t>, пункт 28).</w:t>
      </w:r>
    </w:p>
    <w:p w:rsidR="00FB5728" w:rsidRPr="00FB5728" w:rsidRDefault="00FB5728" w:rsidP="00FB5728">
      <w:pPr>
        <w:pStyle w:val="SingleTxtGR"/>
      </w:pPr>
      <w:r w:rsidRPr="00FB5728">
        <w:t>2.</w:t>
      </w:r>
      <w:r w:rsidRPr="00FB5728">
        <w:tab/>
        <w:t>И хотя этот компенсационный метод испытания успешно применяется в Соединенных Штатах Америки для проведения испытания на соответствие м</w:t>
      </w:r>
      <w:r w:rsidRPr="00FB5728">
        <w:t>о</w:t>
      </w:r>
      <w:r w:rsidRPr="00FB5728">
        <w:t>дифицированных систем двухтопливных двигателей, речь идет об обоснова</w:t>
      </w:r>
      <w:r w:rsidRPr="00FB5728">
        <w:t>н</w:t>
      </w:r>
      <w:r w:rsidRPr="00FB5728">
        <w:t>ных опасениях.</w:t>
      </w:r>
    </w:p>
    <w:p w:rsidR="00FB5728" w:rsidRPr="00FB5728" w:rsidRDefault="00FB5728" w:rsidP="00FB5728">
      <w:pPr>
        <w:pStyle w:val="SingleTxtGR"/>
      </w:pPr>
      <w:r w:rsidRPr="00FB5728">
        <w:t>3.</w:t>
      </w:r>
      <w:r w:rsidRPr="00FB5728">
        <w:tab/>
        <w:t>Вместе с тем Нидерланды намерены изложить некоторые замечания о</w:t>
      </w:r>
      <w:r w:rsidRPr="00FB5728">
        <w:t>т</w:t>
      </w:r>
      <w:r w:rsidRPr="00FB5728">
        <w:t>носительно решения, предложенного ЕАСНГ и представленного в докумен</w:t>
      </w:r>
      <w:r w:rsidR="00187805">
        <w:t>-</w:t>
      </w:r>
      <w:r w:rsidRPr="00FB5728">
        <w:t>те</w:t>
      </w:r>
      <w:r w:rsidR="00D37E80">
        <w:rPr>
          <w:lang w:val="en-US"/>
        </w:rPr>
        <w:t> </w:t>
      </w:r>
      <w:r w:rsidRPr="00FB5728">
        <w:rPr>
          <w:lang w:val="en-GB"/>
        </w:rPr>
        <w:t>GRPE</w:t>
      </w:r>
      <w:r w:rsidRPr="00FB5728">
        <w:t xml:space="preserve">-73-07 на сессии </w:t>
      </w:r>
      <w:r w:rsidRPr="00FB5728">
        <w:rPr>
          <w:lang w:val="en-GB"/>
        </w:rPr>
        <w:t>GRPE</w:t>
      </w:r>
      <w:r w:rsidRPr="00FB5728">
        <w:t xml:space="preserve"> в июне 2016 года, а именно:</w:t>
      </w:r>
    </w:p>
    <w:p w:rsidR="00FB5728" w:rsidRPr="00FB5728" w:rsidRDefault="00FB5728" w:rsidP="00FB5728">
      <w:pPr>
        <w:pStyle w:val="SingleTxtGR"/>
      </w:pPr>
      <w:r w:rsidRPr="00FB5728">
        <w:tab/>
      </w:r>
      <w:r w:rsidRPr="00FB5728">
        <w:rPr>
          <w:lang w:val="en-GB"/>
        </w:rPr>
        <w:t>a</w:t>
      </w:r>
      <w:r w:rsidRPr="00FB5728">
        <w:t>)</w:t>
      </w:r>
      <w:r w:rsidRPr="00FB5728">
        <w:tab/>
        <w:t>информация об уровне выбросов из отдельных дизельных двигат</w:t>
      </w:r>
      <w:r w:rsidRPr="00FB5728">
        <w:t>е</w:t>
      </w:r>
      <w:r w:rsidRPr="00FB5728">
        <w:t>лей отсутствует (выше или ниже предельного уровня и насколько выше или ниже);</w:t>
      </w:r>
    </w:p>
    <w:p w:rsidR="00FB5728" w:rsidRPr="00FB5728" w:rsidRDefault="00FB5728" w:rsidP="00FB5728">
      <w:pPr>
        <w:pStyle w:val="SingleTxtGR"/>
      </w:pPr>
      <w:r w:rsidRPr="00FB5728">
        <w:tab/>
      </w:r>
      <w:r w:rsidRPr="00FB5728">
        <w:rPr>
          <w:lang w:val="en-GB"/>
        </w:rPr>
        <w:t>b</w:t>
      </w:r>
      <w:r w:rsidRPr="00FB5728">
        <w:t>)</w:t>
      </w:r>
      <w:r w:rsidRPr="00FB5728">
        <w:tab/>
        <w:t>нельзя не учитывать неметановые углеводороды (</w:t>
      </w:r>
      <w:r w:rsidRPr="00FB5728">
        <w:rPr>
          <w:lang w:val="en-US"/>
        </w:rPr>
        <w:t>NMHC</w:t>
      </w:r>
      <w:r w:rsidRPr="00FB5728">
        <w:t xml:space="preserve">), так как выбросы </w:t>
      </w:r>
      <w:r w:rsidRPr="00FB5728">
        <w:rPr>
          <w:lang w:val="en-GB"/>
        </w:rPr>
        <w:t>NMHC</w:t>
      </w:r>
      <w:r w:rsidRPr="00FB5728">
        <w:t xml:space="preserve"> относятся к числу выбросов, объем которых регулируется, п</w:t>
      </w:r>
      <w:r w:rsidRPr="00FB5728">
        <w:t>о</w:t>
      </w:r>
      <w:r w:rsidRPr="00FB5728">
        <w:t>скольку они влияют на качество воздуха;</w:t>
      </w:r>
    </w:p>
    <w:p w:rsidR="00FB5728" w:rsidRPr="00FB5728" w:rsidRDefault="00FB5728" w:rsidP="00FB5728">
      <w:pPr>
        <w:pStyle w:val="SingleTxtGR"/>
      </w:pPr>
      <w:r w:rsidRPr="00FB5728">
        <w:tab/>
      </w:r>
      <w:r w:rsidRPr="00FB5728">
        <w:rPr>
          <w:lang w:val="en-GB"/>
        </w:rPr>
        <w:t>c</w:t>
      </w:r>
      <w:r w:rsidRPr="00FB5728">
        <w:t>)</w:t>
      </w:r>
      <w:r w:rsidRPr="00FB5728">
        <w:tab/>
        <w:t xml:space="preserve">уровень выбросов </w:t>
      </w:r>
      <w:r w:rsidRPr="00FB5728">
        <w:rPr>
          <w:lang w:val="en-GB"/>
        </w:rPr>
        <w:t>CO</w:t>
      </w:r>
      <w:r w:rsidRPr="00FB5728">
        <w:t xml:space="preserve"> и </w:t>
      </w:r>
      <w:r w:rsidRPr="00FB5728">
        <w:rPr>
          <w:lang w:val="en-GB"/>
        </w:rPr>
        <w:t>HC</w:t>
      </w:r>
      <w:r w:rsidRPr="00FB5728">
        <w:t xml:space="preserve"> из дизельных двигателей может ок</w:t>
      </w:r>
      <w:r w:rsidRPr="00FB5728">
        <w:t>а</w:t>
      </w:r>
      <w:r w:rsidRPr="00FB5728">
        <w:t xml:space="preserve">заться значительно ниже </w:t>
      </w:r>
      <w:bookmarkStart w:id="15" w:name="OLE_LINK51"/>
      <w:bookmarkStart w:id="16" w:name="OLE_LINK52"/>
      <w:r w:rsidRPr="00FB5728">
        <w:t>предельных значений выбросов</w:t>
      </w:r>
      <w:bookmarkEnd w:id="15"/>
      <w:bookmarkEnd w:id="16"/>
      <w:r w:rsidRPr="00FB5728">
        <w:t>, поэтому коэффиц</w:t>
      </w:r>
      <w:r w:rsidRPr="00FB5728">
        <w:t>и</w:t>
      </w:r>
      <w:r w:rsidRPr="00FB5728">
        <w:t xml:space="preserve">ент, равняющийся двум, будет недостаточным, а его увеличение проблематично с учетом подпунктов </w:t>
      </w:r>
      <w:r w:rsidRPr="00FB5728">
        <w:rPr>
          <w:lang w:val="en-GB"/>
        </w:rPr>
        <w:t>a</w:t>
      </w:r>
      <w:r w:rsidRPr="00FB5728">
        <w:t xml:space="preserve">) и </w:t>
      </w:r>
      <w:r w:rsidRPr="00FB5728">
        <w:rPr>
          <w:lang w:val="en-GB"/>
        </w:rPr>
        <w:t>b</w:t>
      </w:r>
      <w:r w:rsidRPr="00FB5728">
        <w:t>).</w:t>
      </w:r>
    </w:p>
    <w:p w:rsidR="00FB5728" w:rsidRPr="00FB5728" w:rsidRDefault="00FB5728" w:rsidP="00A52706">
      <w:pPr>
        <w:pStyle w:val="H1GR"/>
      </w:pPr>
      <w:r w:rsidRPr="00FB5728">
        <w:tab/>
      </w:r>
      <w:r w:rsidRPr="00FB5728">
        <w:rPr>
          <w:lang w:val="en-US"/>
        </w:rPr>
        <w:t>B</w:t>
      </w:r>
      <w:r w:rsidRPr="00FB5728">
        <w:t>.</w:t>
      </w:r>
      <w:r w:rsidRPr="00FB5728">
        <w:tab/>
        <w:t>Альтернативное решение</w:t>
      </w:r>
    </w:p>
    <w:p w:rsidR="00FB5728" w:rsidRPr="00FB5728" w:rsidRDefault="00FB5728" w:rsidP="00FB5728">
      <w:pPr>
        <w:pStyle w:val="SingleTxtGR"/>
      </w:pPr>
      <w:r w:rsidRPr="00FB5728">
        <w:t>4.</w:t>
      </w:r>
      <w:r w:rsidRPr="00FB5728">
        <w:tab/>
        <w:t>Более эффективный подход состоял бы в измерении объема удельных в</w:t>
      </w:r>
      <w:r w:rsidRPr="00FB5728">
        <w:t>ы</w:t>
      </w:r>
      <w:r w:rsidRPr="00FB5728">
        <w:t>бросов при торможении и в его сопоставлении с предельными значениями в</w:t>
      </w:r>
      <w:r w:rsidRPr="00FB5728">
        <w:t>ы</w:t>
      </w:r>
      <w:r w:rsidRPr="00FB5728">
        <w:t>бросов.</w:t>
      </w:r>
    </w:p>
    <w:p w:rsidR="00FB5728" w:rsidRPr="00FB5728" w:rsidRDefault="00FB5728" w:rsidP="00FB5728">
      <w:pPr>
        <w:pStyle w:val="SingleTxtGR"/>
      </w:pPr>
      <w:r w:rsidRPr="00FB5728">
        <w:t>5.</w:t>
      </w:r>
      <w:r w:rsidRPr="00FB5728">
        <w:tab/>
        <w:t>Вместе с тем считается, что сопоставлять измеряемые при помощи пер</w:t>
      </w:r>
      <w:r w:rsidRPr="00FB5728">
        <w:t>е</w:t>
      </w:r>
      <w:r w:rsidRPr="00FB5728">
        <w:t xml:space="preserve">носной системы измерения выбросов (ПСИВ) значения по модифицированной системе двухтопливного двигателя с </w:t>
      </w:r>
      <w:r w:rsidRPr="00FB5728">
        <w:rPr>
          <w:bCs/>
        </w:rPr>
        <w:t>предельным значением удельных выбросов при торможении</w:t>
      </w:r>
      <w:r w:rsidRPr="00FB5728">
        <w:t xml:space="preserve"> невозможно и/или бесполезно, как это отмечалось на пред</w:t>
      </w:r>
      <w:r w:rsidRPr="00FB5728">
        <w:t>ы</w:t>
      </w:r>
      <w:r w:rsidRPr="00FB5728">
        <w:t>дущих совещаниях, но решение было найдено на основе использования подх</w:t>
      </w:r>
      <w:r w:rsidRPr="00FB5728">
        <w:t>о</w:t>
      </w:r>
      <w:r w:rsidRPr="00FB5728">
        <w:t xml:space="preserve">да, учитывающего </w:t>
      </w:r>
      <w:r w:rsidRPr="00FB5728">
        <w:rPr>
          <w:bCs/>
        </w:rPr>
        <w:t>удельные выбросы</w:t>
      </w:r>
      <w:r w:rsidRPr="00FB5728">
        <w:t xml:space="preserve"> </w:t>
      </w:r>
      <w:r w:rsidRPr="00FB5728">
        <w:rPr>
          <w:lang w:val="en-GB"/>
        </w:rPr>
        <w:t>CO</w:t>
      </w:r>
      <w:r w:rsidRPr="00FB5728">
        <w:rPr>
          <w:vertAlign w:val="subscript"/>
        </w:rPr>
        <w:t>2</w:t>
      </w:r>
      <w:r w:rsidRPr="00FB5728">
        <w:t>. Это решение было обсуждено и п</w:t>
      </w:r>
      <w:r w:rsidRPr="00FB5728">
        <w:t>о</w:t>
      </w:r>
      <w:r w:rsidRPr="00FB5728">
        <w:t>зитивным образом принято на веб-совещании с экспертами от Договарива</w:t>
      </w:r>
      <w:r w:rsidRPr="00FB5728">
        <w:t>ю</w:t>
      </w:r>
      <w:r w:rsidRPr="00FB5728">
        <w:t>щихся сторон и с ключевыми партнерами.</w:t>
      </w:r>
    </w:p>
    <w:p w:rsidR="00A658DB" w:rsidRPr="009902F3" w:rsidRDefault="00FB5728" w:rsidP="00FB5728">
      <w:pPr>
        <w:pStyle w:val="SingleTxtGR"/>
      </w:pPr>
      <w:r w:rsidRPr="00FB5728">
        <w:t>6.</w:t>
      </w:r>
      <w:r w:rsidRPr="00FB5728">
        <w:tab/>
        <w:t>Настоящее предложение нацелено на реализацию этого решения посре</w:t>
      </w:r>
      <w:r w:rsidRPr="00FB5728">
        <w:t>д</w:t>
      </w:r>
      <w:r w:rsidRPr="00FB5728">
        <w:t xml:space="preserve">ством внесения поправок в документ </w:t>
      </w:r>
      <w:r w:rsidRPr="00FB5728">
        <w:rPr>
          <w:lang w:val="en-GB"/>
        </w:rPr>
        <w:t>ECE</w:t>
      </w:r>
      <w:r w:rsidRPr="00FB5728">
        <w:t>/</w:t>
      </w:r>
      <w:r w:rsidRPr="00FB5728">
        <w:rPr>
          <w:lang w:val="en-GB"/>
        </w:rPr>
        <w:t>TRANS</w:t>
      </w:r>
      <w:r w:rsidRPr="00FB5728">
        <w:t>/</w:t>
      </w:r>
      <w:r w:rsidRPr="00FB5728">
        <w:rPr>
          <w:lang w:val="en-GB"/>
        </w:rPr>
        <w:t>WP</w:t>
      </w:r>
      <w:r w:rsidRPr="00FB5728">
        <w:t>.29/2016/110.</w:t>
      </w:r>
    </w:p>
    <w:p w:rsidR="00A52706" w:rsidRPr="009902F3" w:rsidRDefault="00A52706" w:rsidP="00A52706">
      <w:pPr>
        <w:spacing w:before="240"/>
        <w:jc w:val="center"/>
        <w:rPr>
          <w:u w:val="single"/>
        </w:rPr>
      </w:pPr>
      <w:r w:rsidRPr="009902F3">
        <w:rPr>
          <w:u w:val="single"/>
        </w:rPr>
        <w:tab/>
      </w:r>
      <w:r w:rsidRPr="009902F3">
        <w:rPr>
          <w:u w:val="single"/>
        </w:rPr>
        <w:tab/>
      </w:r>
      <w:r w:rsidRPr="009902F3">
        <w:rPr>
          <w:u w:val="single"/>
        </w:rPr>
        <w:tab/>
      </w:r>
    </w:p>
    <w:sectPr w:rsidR="00A52706" w:rsidRPr="009902F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28" w:rsidRDefault="00FB5728" w:rsidP="00B471C5">
      <w:r>
        <w:separator/>
      </w:r>
    </w:p>
  </w:endnote>
  <w:endnote w:type="continuationSeparator" w:id="0">
    <w:p w:rsidR="00FB5728" w:rsidRDefault="00FB572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0926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9478CD">
      <w:rPr>
        <w:lang w:val="en-US"/>
      </w:rPr>
      <w:t>18568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9478CD">
      <w:rPr>
        <w:lang w:val="en-US"/>
      </w:rPr>
      <w:t>18568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092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478CD">
            <w:rPr>
              <w:lang w:val="en-US"/>
            </w:rPr>
            <w:t>18568</w:t>
          </w:r>
          <w:r w:rsidRPr="001C3ABC">
            <w:rPr>
              <w:lang w:val="en-US"/>
            </w:rPr>
            <w:t xml:space="preserve"> (R)</w:t>
          </w:r>
          <w:r w:rsidR="009478CD">
            <w:rPr>
              <w:lang w:val="en-US"/>
            </w:rPr>
            <w:t xml:space="preserve">   271016   271016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478C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PE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9478CD" w:rsidRDefault="009478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478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28" w:rsidRPr="009141DC" w:rsidRDefault="00FB572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B5728" w:rsidRPr="00D1261C" w:rsidRDefault="00FB572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B5728" w:rsidRPr="009478CD" w:rsidRDefault="00FB5728" w:rsidP="00FB5728">
      <w:pPr>
        <w:pStyle w:val="FootnoteText"/>
        <w:rPr>
          <w:lang w:val="ru-RU"/>
        </w:rPr>
      </w:pPr>
      <w:r>
        <w:tab/>
      </w:r>
      <w:r w:rsidRPr="009478CD">
        <w:rPr>
          <w:rStyle w:val="FootnoteReference"/>
          <w:sz w:val="20"/>
          <w:vertAlign w:val="baseline"/>
          <w:lang w:val="ru-RU"/>
        </w:rPr>
        <w:t>*</w:t>
      </w:r>
      <w:r w:rsidRPr="00196E94">
        <w:rPr>
          <w:sz w:val="20"/>
          <w:lang w:val="ru-RU"/>
        </w:rPr>
        <w:tab/>
      </w:r>
      <w:r w:rsidRPr="00EA796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4</w:t>
      </w:r>
      <w:r w:rsidRPr="00EA7967">
        <w:rPr>
          <w:lang w:val="ru-RU"/>
        </w:rPr>
        <w:t>−201</w:t>
      </w:r>
      <w:r>
        <w:rPr>
          <w:lang w:val="ru-RU"/>
        </w:rPr>
        <w:t>8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40</w:t>
      </w:r>
      <w:r w:rsidRPr="00EA7967">
        <w:rPr>
          <w:lang w:val="ru-RU"/>
        </w:rPr>
        <w:t>, пункт</w:t>
      </w:r>
      <w:r>
        <w:rPr>
          <w:lang w:val="ru-RU"/>
        </w:rPr>
        <w:t>105,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/2014</w:t>
      </w:r>
      <w:r w:rsidRPr="00EA7967">
        <w:rPr>
          <w:lang w:val="ru-RU"/>
        </w:rPr>
        <w:t>/</w:t>
      </w:r>
      <w:r>
        <w:rPr>
          <w:lang w:val="ru-RU"/>
        </w:rPr>
        <w:t>26</w:t>
      </w:r>
      <w:r w:rsidRPr="00EA7967">
        <w:rPr>
          <w:lang w:val="ru-RU"/>
        </w:rPr>
        <w:t xml:space="preserve">, </w:t>
      </w:r>
      <w:r>
        <w:rPr>
          <w:lang w:val="ru-RU"/>
        </w:rPr>
        <w:t>подпрограмма</w:t>
      </w:r>
      <w:r w:rsidR="009478CD">
        <w:rPr>
          <w:lang w:val="en-US"/>
        </w:rPr>
        <w:t> </w:t>
      </w:r>
      <w:r>
        <w:rPr>
          <w:lang w:val="ru-RU"/>
        </w:rPr>
        <w:t>02.4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9478CD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9478CD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478CD" w:rsidRPr="009478CD">
      <w:rPr>
        <w:lang w:val="en-US"/>
      </w:rPr>
      <w:t>TRANS/WP.29/GRPE/2017/4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9478CD" w:rsidRPr="009478CD">
      <w:rPr>
        <w:lang w:val="en-US"/>
      </w:rPr>
      <w:t>TRANS/WP.29/GRPE/2017/4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28"/>
    <w:rsid w:val="000450D1"/>
    <w:rsid w:val="000B1FD5"/>
    <w:rsid w:val="000F2A4F"/>
    <w:rsid w:val="00187805"/>
    <w:rsid w:val="00203F84"/>
    <w:rsid w:val="00275188"/>
    <w:rsid w:val="0028687D"/>
    <w:rsid w:val="002B091C"/>
    <w:rsid w:val="002B3D40"/>
    <w:rsid w:val="002D0CCB"/>
    <w:rsid w:val="002D2DB7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D7A06"/>
    <w:rsid w:val="008E0423"/>
    <w:rsid w:val="009141DC"/>
    <w:rsid w:val="009174A1"/>
    <w:rsid w:val="009478CD"/>
    <w:rsid w:val="0098674D"/>
    <w:rsid w:val="009902F3"/>
    <w:rsid w:val="00997ACA"/>
    <w:rsid w:val="00A03FB7"/>
    <w:rsid w:val="00A52706"/>
    <w:rsid w:val="00A55C56"/>
    <w:rsid w:val="00A658DB"/>
    <w:rsid w:val="00A75A11"/>
    <w:rsid w:val="00A9606E"/>
    <w:rsid w:val="00AD7EAD"/>
    <w:rsid w:val="00AF49F0"/>
    <w:rsid w:val="00B35A32"/>
    <w:rsid w:val="00B432C6"/>
    <w:rsid w:val="00B471C5"/>
    <w:rsid w:val="00B6474A"/>
    <w:rsid w:val="00B8092F"/>
    <w:rsid w:val="00BE1742"/>
    <w:rsid w:val="00D1261C"/>
    <w:rsid w:val="00D20926"/>
    <w:rsid w:val="00D26030"/>
    <w:rsid w:val="00D37E8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52C3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2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2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2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2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447A-04BD-4549-AED6-86AA251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5073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2016-10-27T11:55:00Z</cp:lastPrinted>
  <dcterms:created xsi:type="dcterms:W3CDTF">2016-11-15T14:08:00Z</dcterms:created>
  <dcterms:modified xsi:type="dcterms:W3CDTF">2016-11-15T14:08:00Z</dcterms:modified>
</cp:coreProperties>
</file>