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57" w:rsidRPr="009A2F0E" w:rsidRDefault="00D37B57" w:rsidP="00AD3013">
      <w:pPr>
        <w:tabs>
          <w:tab w:val="left" w:pos="8505"/>
        </w:tabs>
        <w:ind w:right="521"/>
        <w:contextualSpacing/>
        <w:jc w:val="center"/>
        <w:rPr>
          <w:rFonts w:ascii="Times New Roman" w:hAnsi="Times New Roman" w:cs="Times New Roman"/>
          <w:sz w:val="24"/>
          <w:szCs w:val="24"/>
        </w:rPr>
      </w:pPr>
    </w:p>
    <w:p w:rsidR="009250B9" w:rsidRPr="00EF24EC" w:rsidRDefault="00FE41A8" w:rsidP="00AD3013">
      <w:pPr>
        <w:pStyle w:val="HChG"/>
        <w:tabs>
          <w:tab w:val="clear" w:pos="851"/>
          <w:tab w:val="left" w:pos="8505"/>
        </w:tabs>
        <w:spacing w:before="100" w:beforeAutospacing="1" w:after="120"/>
        <w:ind w:left="0" w:right="521" w:firstLine="0"/>
        <w:jc w:val="center"/>
        <w:rPr>
          <w:szCs w:val="28"/>
        </w:rPr>
      </w:pPr>
      <w:r w:rsidRPr="00EF24EC">
        <w:rPr>
          <w:szCs w:val="28"/>
        </w:rPr>
        <w:t>Proposal to amend ECE/TRANS/WP.29/GRE/2016/28</w:t>
      </w:r>
    </w:p>
    <w:p w:rsidR="00FE41A8" w:rsidRPr="00EF24EC" w:rsidRDefault="00FE41A8" w:rsidP="00FB0263">
      <w:pPr>
        <w:ind w:right="521"/>
        <w:jc w:val="center"/>
        <w:rPr>
          <w:rFonts w:ascii="Times New Roman" w:hAnsi="Times New Roman" w:cs="Times New Roman"/>
          <w:sz w:val="24"/>
          <w:szCs w:val="24"/>
        </w:rPr>
      </w:pPr>
      <w:r w:rsidRPr="00EF24EC">
        <w:rPr>
          <w:rFonts w:ascii="Times New Roman" w:hAnsi="Times New Roman" w:cs="Times New Roman"/>
          <w:sz w:val="24"/>
          <w:szCs w:val="24"/>
        </w:rPr>
        <w:t>(Adaptive f</w:t>
      </w:r>
      <w:r w:rsidR="00840386">
        <w:rPr>
          <w:rFonts w:ascii="Times New Roman" w:hAnsi="Times New Roman" w:cs="Times New Roman"/>
          <w:sz w:val="24"/>
          <w:szCs w:val="24"/>
        </w:rPr>
        <w:t>ront lighting systems (AFS) – Co</w:t>
      </w:r>
      <w:r w:rsidRPr="00EF24EC">
        <w:rPr>
          <w:rFonts w:ascii="Times New Roman" w:hAnsi="Times New Roman" w:cs="Times New Roman"/>
          <w:sz w:val="24"/>
          <w:szCs w:val="24"/>
        </w:rPr>
        <w:t>P Requirements)</w:t>
      </w:r>
    </w:p>
    <w:p w:rsidR="009250B9" w:rsidRPr="00EF24EC" w:rsidRDefault="009250B9" w:rsidP="00AD3013">
      <w:pPr>
        <w:tabs>
          <w:tab w:val="left" w:pos="8505"/>
        </w:tabs>
        <w:ind w:left="1701" w:right="521" w:hanging="567"/>
        <w:rPr>
          <w:rFonts w:ascii="Times New Roman" w:hAnsi="Times New Roman" w:cs="Times New Roman"/>
          <w:lang w:val="en-US"/>
        </w:rPr>
      </w:pPr>
    </w:p>
    <w:p w:rsidR="009250B9" w:rsidRPr="00EF24EC" w:rsidRDefault="009250B9" w:rsidP="00AD3013">
      <w:pPr>
        <w:pStyle w:val="Heading1"/>
        <w:tabs>
          <w:tab w:val="left" w:pos="8505"/>
        </w:tabs>
        <w:spacing w:after="120"/>
        <w:ind w:left="0" w:right="521"/>
        <w:jc w:val="both"/>
        <w:rPr>
          <w:b/>
          <w:sz w:val="24"/>
          <w:szCs w:val="24"/>
        </w:rPr>
      </w:pPr>
      <w:r w:rsidRPr="00EF24EC">
        <w:rPr>
          <w:b/>
          <w:sz w:val="24"/>
          <w:szCs w:val="24"/>
        </w:rPr>
        <w:t>I</w:t>
      </w:r>
      <w:r w:rsidR="00EF24EC">
        <w:rPr>
          <w:b/>
          <w:sz w:val="24"/>
          <w:szCs w:val="24"/>
        </w:rPr>
        <w:t>ntroduction</w:t>
      </w:r>
    </w:p>
    <w:p w:rsidR="00EC6FBC" w:rsidRPr="00EF24EC" w:rsidRDefault="00DD3360" w:rsidP="00FE41A8">
      <w:pPr>
        <w:pStyle w:val="PlainText"/>
        <w:tabs>
          <w:tab w:val="left" w:pos="8505"/>
        </w:tabs>
        <w:spacing w:after="120"/>
        <w:ind w:right="521"/>
        <w:jc w:val="both"/>
        <w:rPr>
          <w:rFonts w:cs="Times New Roman"/>
          <w:lang w:val="en-US"/>
        </w:rPr>
      </w:pPr>
      <w:r w:rsidRPr="00EF24EC">
        <w:rPr>
          <w:rFonts w:cs="Times New Roman"/>
        </w:rPr>
        <w:t>At its 76</w:t>
      </w:r>
      <w:r w:rsidRPr="00EF24EC">
        <w:rPr>
          <w:rFonts w:cs="Times New Roman"/>
          <w:vertAlign w:val="superscript"/>
        </w:rPr>
        <w:t>th</w:t>
      </w:r>
      <w:r w:rsidRPr="00EF24EC">
        <w:rPr>
          <w:rFonts w:cs="Times New Roman"/>
        </w:rPr>
        <w:t xml:space="preserve"> session, GRE considered proposals from GTB </w:t>
      </w:r>
      <w:r w:rsidR="00FE41A8" w:rsidRPr="00EF24EC">
        <w:rPr>
          <w:rFonts w:cs="Times New Roman"/>
        </w:rPr>
        <w:t xml:space="preserve">concerning the </w:t>
      </w:r>
      <w:r w:rsidR="00840386">
        <w:rPr>
          <w:rFonts w:cs="Times New Roman"/>
          <w:lang w:val="en-US"/>
        </w:rPr>
        <w:t>Simplification of the Co</w:t>
      </w:r>
      <w:r w:rsidR="00A1516A" w:rsidRPr="00EF24EC">
        <w:rPr>
          <w:rFonts w:cs="Times New Roman"/>
          <w:lang w:val="en-US"/>
        </w:rPr>
        <w:t>P requirements for AFS</w:t>
      </w:r>
      <w:r w:rsidR="00FE41A8" w:rsidRPr="00EF24EC">
        <w:rPr>
          <w:rFonts w:cs="Times New Roman"/>
          <w:lang w:val="en-US"/>
        </w:rPr>
        <w:t>. The report ECE/TRANS/WP.29/GRE/76 paragraph 32 records that:</w:t>
      </w:r>
    </w:p>
    <w:p w:rsidR="00FE41A8" w:rsidRPr="00EF24EC" w:rsidRDefault="00FE41A8" w:rsidP="00FE41A8">
      <w:pPr>
        <w:pStyle w:val="PlainText"/>
        <w:tabs>
          <w:tab w:val="left" w:pos="8505"/>
        </w:tabs>
        <w:spacing w:after="120"/>
        <w:ind w:right="521"/>
        <w:jc w:val="both"/>
        <w:rPr>
          <w:rFonts w:cs="Times New Roman"/>
        </w:rPr>
      </w:pPr>
      <w:r w:rsidRPr="00EF24EC">
        <w:rPr>
          <w:rFonts w:cs="Times New Roman"/>
        </w:rPr>
        <w:t>“The expert from GTB proposed to align the conformity of production procedures in Regulation No. 123 with the other headlamp Regulations and to simplify the AFS test methods and requirements relating to conformity of production (ECE/TRANS/WP.29/GRE/2016/28 and GRE-75-15). Given the significant volume of the proposed amendment, the experts from UK and EC requested more time to study it. GRE invited experts to send their comments to GTB and agreed to revert to the proposal at the next session upon understanding that, if adopted, it would become part of the new front-lighting Regulation.”</w:t>
      </w:r>
    </w:p>
    <w:p w:rsidR="00FE41A8" w:rsidRPr="00EF24EC" w:rsidRDefault="00FE41A8" w:rsidP="00FE41A8">
      <w:pPr>
        <w:pStyle w:val="PlainText"/>
        <w:tabs>
          <w:tab w:val="left" w:pos="8505"/>
        </w:tabs>
        <w:spacing w:after="120"/>
        <w:ind w:right="521"/>
        <w:jc w:val="both"/>
        <w:rPr>
          <w:rFonts w:cs="Times New Roman"/>
        </w:rPr>
      </w:pPr>
      <w:r w:rsidRPr="00EF24EC">
        <w:rPr>
          <w:rFonts w:cs="Times New Roman"/>
        </w:rPr>
        <w:t>The GTB taskforce on Conformity of Production has considered the comments received and proposes the following changes to the original proposal, ECE/TRANS/WP.29/GRE/2016/28.</w:t>
      </w:r>
    </w:p>
    <w:p w:rsidR="00AD3013" w:rsidRPr="00EF24EC" w:rsidRDefault="00AD3013" w:rsidP="00AD3013">
      <w:pPr>
        <w:pStyle w:val="Heading1"/>
        <w:tabs>
          <w:tab w:val="left" w:pos="8505"/>
        </w:tabs>
        <w:spacing w:after="120"/>
        <w:ind w:left="0" w:right="521"/>
        <w:jc w:val="both"/>
        <w:rPr>
          <w:b/>
        </w:rPr>
      </w:pPr>
    </w:p>
    <w:p w:rsidR="009250B9" w:rsidRPr="00EF24EC" w:rsidRDefault="00EF24EC" w:rsidP="00AD3013">
      <w:pPr>
        <w:pStyle w:val="Heading1"/>
        <w:tabs>
          <w:tab w:val="left" w:pos="8505"/>
        </w:tabs>
        <w:spacing w:after="120"/>
        <w:ind w:left="0" w:right="521"/>
        <w:jc w:val="both"/>
        <w:rPr>
          <w:b/>
          <w:sz w:val="24"/>
          <w:szCs w:val="24"/>
        </w:rPr>
      </w:pPr>
      <w:r w:rsidRPr="00EF24EC">
        <w:rPr>
          <w:b/>
          <w:sz w:val="24"/>
          <w:szCs w:val="24"/>
        </w:rPr>
        <w:t>C</w:t>
      </w:r>
      <w:r>
        <w:rPr>
          <w:b/>
          <w:sz w:val="24"/>
          <w:szCs w:val="24"/>
        </w:rPr>
        <w:t>hanges</w:t>
      </w:r>
      <w:r w:rsidR="00FE41A8" w:rsidRPr="00EF24EC">
        <w:rPr>
          <w:b/>
          <w:sz w:val="24"/>
          <w:szCs w:val="24"/>
        </w:rPr>
        <w:t xml:space="preserve"> to ECE/TRANS/WP.29/GRE/2016/28</w:t>
      </w:r>
    </w:p>
    <w:p w:rsidR="00EF24EC" w:rsidRPr="00EF24EC" w:rsidRDefault="00EF24EC" w:rsidP="00EF24EC">
      <w:pPr>
        <w:rPr>
          <w:rFonts w:ascii="Times New Roman" w:hAnsi="Times New Roman" w:cs="Times New Roman"/>
          <w:sz w:val="20"/>
          <w:szCs w:val="20"/>
        </w:rPr>
      </w:pPr>
      <w:r w:rsidRPr="00EF24EC">
        <w:rPr>
          <w:rFonts w:ascii="Times New Roman" w:hAnsi="Times New Roman" w:cs="Times New Roman"/>
          <w:sz w:val="20"/>
          <w:szCs w:val="20"/>
        </w:rPr>
        <w:t xml:space="preserve">Annex 5, Appendix 1, paragraph </w:t>
      </w:r>
      <w:proofErr w:type="gramStart"/>
      <w:r w:rsidRPr="00EF24EC">
        <w:rPr>
          <w:rFonts w:ascii="Times New Roman" w:hAnsi="Times New Roman" w:cs="Times New Roman"/>
          <w:sz w:val="20"/>
          <w:szCs w:val="20"/>
        </w:rPr>
        <w:t>2.,</w:t>
      </w:r>
      <w:proofErr w:type="gramEnd"/>
      <w:r w:rsidRPr="00EF24EC">
        <w:rPr>
          <w:rFonts w:ascii="Times New Roman" w:hAnsi="Times New Roman" w:cs="Times New Roman"/>
          <w:sz w:val="20"/>
          <w:szCs w:val="20"/>
        </w:rPr>
        <w:t xml:space="preserve"> amend to read:</w:t>
      </w:r>
    </w:p>
    <w:p w:rsidR="00EF24EC" w:rsidRPr="00811641" w:rsidRDefault="00811641" w:rsidP="00811641">
      <w:pPr>
        <w:suppressAutoHyphens/>
        <w:ind w:left="1134" w:right="1134"/>
        <w:jc w:val="both"/>
        <w:rPr>
          <w:rFonts w:ascii="Times New Roman" w:hAnsi="Times New Roman" w:cs="Times New Roman"/>
          <w:b/>
          <w:sz w:val="20"/>
          <w:szCs w:val="20"/>
        </w:rPr>
      </w:pPr>
      <w:r>
        <w:rPr>
          <w:rFonts w:ascii="Times New Roman" w:hAnsi="Times New Roman" w:cs="Times New Roman"/>
          <w:b/>
          <w:sz w:val="20"/>
          <w:szCs w:val="20"/>
        </w:rPr>
        <w:t>“2.</w:t>
      </w:r>
      <w:r>
        <w:rPr>
          <w:rFonts w:ascii="Times New Roman" w:hAnsi="Times New Roman" w:cs="Times New Roman"/>
          <w:b/>
          <w:sz w:val="20"/>
          <w:szCs w:val="20"/>
        </w:rPr>
        <w:tab/>
      </w:r>
      <w:r>
        <w:rPr>
          <w:rFonts w:ascii="Times New Roman" w:hAnsi="Times New Roman" w:cs="Times New Roman"/>
          <w:b/>
          <w:sz w:val="20"/>
          <w:szCs w:val="20"/>
        </w:rPr>
        <w:tab/>
      </w:r>
      <w:r w:rsidR="00EF24EC" w:rsidRPr="00811641">
        <w:rPr>
          <w:rFonts w:ascii="Times New Roman" w:hAnsi="Times New Roman" w:cs="Times New Roman"/>
          <w:b/>
          <w:sz w:val="20"/>
          <w:szCs w:val="20"/>
        </w:rPr>
        <w:t xml:space="preserve">Passing Beam Photometric Requirements, Decision Table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2693"/>
        <w:gridCol w:w="2268"/>
        <w:gridCol w:w="849"/>
      </w:tblGrid>
      <w:tr w:rsidR="00EF24EC" w:rsidRPr="00EF24EC" w:rsidTr="003C42BB">
        <w:trPr>
          <w:tblHeader/>
        </w:trPr>
        <w:tc>
          <w:tcPr>
            <w:tcW w:w="1560"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EF24EC" w:rsidRPr="00EF24EC" w:rsidRDefault="00EF24EC" w:rsidP="003C42BB">
            <w:pPr>
              <w:spacing w:before="60" w:after="60" w:line="200" w:lineRule="exact"/>
              <w:ind w:right="113"/>
              <w:rPr>
                <w:rFonts w:ascii="Times New Roman" w:hAnsi="Times New Roman" w:cs="Times New Roman"/>
                <w:b/>
                <w:i/>
                <w:sz w:val="20"/>
                <w:szCs w:val="20"/>
              </w:rPr>
            </w:pPr>
          </w:p>
        </w:tc>
        <w:tc>
          <w:tcPr>
            <w:tcW w:w="2693"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EF24EC" w:rsidRPr="00EF24EC" w:rsidRDefault="00EF24EC" w:rsidP="003C42BB">
            <w:pPr>
              <w:spacing w:before="60" w:after="60" w:line="200" w:lineRule="exact"/>
              <w:ind w:right="113"/>
              <w:rPr>
                <w:rFonts w:ascii="Times New Roman" w:hAnsi="Times New Roman" w:cs="Times New Roman"/>
                <w:b/>
                <w:i/>
                <w:sz w:val="20"/>
                <w:szCs w:val="20"/>
              </w:rPr>
            </w:pPr>
            <w:r w:rsidRPr="00EF24EC">
              <w:rPr>
                <w:rFonts w:ascii="Times New Roman" w:hAnsi="Times New Roman" w:cs="Times New Roman"/>
                <w:b/>
                <w:i/>
                <w:sz w:val="20"/>
                <w:szCs w:val="20"/>
              </w:rPr>
              <w:t xml:space="preserve">"Multiple Modes"- Condition </w:t>
            </w:r>
          </w:p>
          <w:p w:rsidR="00EF24EC" w:rsidRPr="00EF24EC" w:rsidRDefault="00EF24EC" w:rsidP="003C42BB">
            <w:pPr>
              <w:spacing w:before="60" w:after="60" w:line="200" w:lineRule="exact"/>
              <w:ind w:right="113"/>
              <w:rPr>
                <w:rFonts w:ascii="Times New Roman" w:hAnsi="Times New Roman" w:cs="Times New Roman"/>
                <w:b/>
                <w:i/>
                <w:sz w:val="20"/>
                <w:szCs w:val="20"/>
                <w:lang w:val="en-US"/>
              </w:rPr>
            </w:pPr>
            <w:r w:rsidRPr="00EF24EC">
              <w:rPr>
                <w:rFonts w:ascii="Times New Roman" w:hAnsi="Times New Roman" w:cs="Times New Roman"/>
                <w:b/>
                <w:i/>
                <w:sz w:val="20"/>
                <w:szCs w:val="20"/>
              </w:rPr>
              <w:t xml:space="preserve">* if more than one mode of the applicable Class exist </w:t>
            </w:r>
            <w:r w:rsidRPr="00EF24EC">
              <w:rPr>
                <w:rFonts w:ascii="Times New Roman" w:hAnsi="Times New Roman" w:cs="Times New Roman"/>
                <w:b/>
                <w:i/>
                <w:sz w:val="20"/>
                <w:szCs w:val="20"/>
                <w:highlight w:val="yellow"/>
              </w:rPr>
              <w:t xml:space="preserve">only the </w:t>
            </w:r>
            <w:r w:rsidRPr="00EF24EC">
              <w:rPr>
                <w:rFonts w:ascii="Times New Roman" w:hAnsi="Times New Roman" w:cs="Times New Roman"/>
                <w:b/>
                <w:i/>
                <w:strike/>
                <w:sz w:val="20"/>
                <w:szCs w:val="20"/>
                <w:highlight w:val="yellow"/>
              </w:rPr>
              <w:t>basic</w:t>
            </w:r>
            <w:r w:rsidRPr="00EF24EC">
              <w:rPr>
                <w:rFonts w:ascii="Times New Roman" w:hAnsi="Times New Roman" w:cs="Times New Roman"/>
                <w:b/>
                <w:i/>
                <w:sz w:val="20"/>
                <w:szCs w:val="20"/>
                <w:highlight w:val="yellow"/>
              </w:rPr>
              <w:t xml:space="preserve"> mode  which represents the worst condition</w:t>
            </w:r>
            <w:r w:rsidRPr="00EF24EC">
              <w:rPr>
                <w:rFonts w:ascii="Times New Roman" w:hAnsi="Times New Roman" w:cs="Times New Roman"/>
                <w:b/>
                <w:i/>
                <w:sz w:val="20"/>
                <w:szCs w:val="20"/>
              </w:rPr>
              <w:t xml:space="preserve"> has to be tested in non-bending mode according to</w:t>
            </w:r>
          </w:p>
        </w:tc>
        <w:tc>
          <w:tcPr>
            <w:tcW w:w="3117" w:type="dxa"/>
            <w:gridSpan w:val="2"/>
            <w:tcBorders>
              <w:top w:val="single" w:sz="4" w:space="0" w:color="auto"/>
              <w:left w:val="single" w:sz="4" w:space="0" w:color="auto"/>
              <w:bottom w:val="nil"/>
              <w:right w:val="single" w:sz="4" w:space="0" w:color="auto"/>
            </w:tcBorders>
            <w:shd w:val="clear" w:color="auto" w:fill="auto"/>
            <w:vAlign w:val="bottom"/>
          </w:tcPr>
          <w:p w:rsidR="00EF24EC" w:rsidRPr="00EF24EC" w:rsidRDefault="00EF24EC" w:rsidP="003C42BB">
            <w:pPr>
              <w:spacing w:before="60" w:after="60" w:line="200" w:lineRule="exact"/>
              <w:ind w:right="113"/>
              <w:rPr>
                <w:rFonts w:ascii="Times New Roman" w:hAnsi="Times New Roman" w:cs="Times New Roman"/>
                <w:b/>
                <w:i/>
                <w:sz w:val="20"/>
                <w:szCs w:val="20"/>
              </w:rPr>
            </w:pPr>
            <w:r w:rsidRPr="00EF24EC">
              <w:rPr>
                <w:rFonts w:ascii="Times New Roman" w:hAnsi="Times New Roman" w:cs="Times New Roman"/>
                <w:b/>
                <w:i/>
                <w:sz w:val="20"/>
                <w:szCs w:val="20"/>
              </w:rPr>
              <w:t xml:space="preserve">"Bending Modes" - Condition </w:t>
            </w:r>
          </w:p>
          <w:p w:rsidR="00EF24EC" w:rsidRPr="00EF24EC" w:rsidRDefault="00EF24EC" w:rsidP="003C42BB">
            <w:pPr>
              <w:spacing w:before="60" w:after="60" w:line="200" w:lineRule="exact"/>
              <w:ind w:right="113"/>
              <w:rPr>
                <w:rFonts w:ascii="Times New Roman" w:hAnsi="Times New Roman" w:cs="Times New Roman"/>
                <w:b/>
                <w:i/>
                <w:sz w:val="20"/>
                <w:szCs w:val="20"/>
              </w:rPr>
            </w:pPr>
            <w:r w:rsidRPr="00EF24EC">
              <w:rPr>
                <w:rFonts w:ascii="Times New Roman" w:hAnsi="Times New Roman" w:cs="Times New Roman"/>
                <w:b/>
                <w:i/>
                <w:sz w:val="20"/>
                <w:szCs w:val="20"/>
              </w:rPr>
              <w:t>if the system uses the same functional units to obtain bending modes for more than one class:</w:t>
            </w:r>
          </w:p>
        </w:tc>
      </w:tr>
      <w:tr w:rsidR="00EF24EC" w:rsidRPr="00EF24EC" w:rsidTr="003C42BB">
        <w:trPr>
          <w:tblHeader/>
        </w:trPr>
        <w:tc>
          <w:tcPr>
            <w:tcW w:w="1560" w:type="dxa"/>
            <w:vMerge/>
            <w:tcBorders>
              <w:top w:val="nil"/>
              <w:bottom w:val="single" w:sz="12" w:space="0" w:color="auto"/>
            </w:tcBorders>
            <w:shd w:val="clear" w:color="auto" w:fill="auto"/>
          </w:tcPr>
          <w:p w:rsidR="00EF24EC" w:rsidRPr="00EF24EC" w:rsidRDefault="00EF24EC" w:rsidP="003C42BB">
            <w:pPr>
              <w:spacing w:before="60" w:after="60" w:line="200" w:lineRule="exact"/>
              <w:ind w:right="113"/>
              <w:rPr>
                <w:rFonts w:ascii="Times New Roman" w:hAnsi="Times New Roman" w:cs="Times New Roman"/>
                <w:b/>
                <w:sz w:val="20"/>
                <w:szCs w:val="20"/>
              </w:rPr>
            </w:pPr>
          </w:p>
        </w:tc>
        <w:tc>
          <w:tcPr>
            <w:tcW w:w="2693" w:type="dxa"/>
            <w:vMerge/>
            <w:tcBorders>
              <w:top w:val="nil"/>
              <w:bottom w:val="single" w:sz="12" w:space="0" w:color="auto"/>
            </w:tcBorders>
            <w:shd w:val="clear" w:color="auto" w:fill="auto"/>
          </w:tcPr>
          <w:p w:rsidR="00EF24EC" w:rsidRPr="00EF24EC" w:rsidRDefault="00EF24EC" w:rsidP="003C42BB">
            <w:pPr>
              <w:spacing w:before="60" w:after="60" w:line="200" w:lineRule="exact"/>
              <w:ind w:right="113"/>
              <w:rPr>
                <w:rFonts w:ascii="Times New Roman" w:hAnsi="Times New Roman" w:cs="Times New Roman"/>
                <w:b/>
                <w:sz w:val="20"/>
                <w:szCs w:val="20"/>
              </w:rPr>
            </w:pPr>
          </w:p>
        </w:tc>
        <w:tc>
          <w:tcPr>
            <w:tcW w:w="2268" w:type="dxa"/>
            <w:tcBorders>
              <w:top w:val="nil"/>
              <w:bottom w:val="single" w:sz="12" w:space="0" w:color="auto"/>
            </w:tcBorders>
            <w:shd w:val="clear" w:color="auto" w:fill="auto"/>
          </w:tcPr>
          <w:p w:rsidR="00EF24EC" w:rsidRPr="00EF24EC" w:rsidRDefault="00EF24EC" w:rsidP="003C42BB">
            <w:pPr>
              <w:spacing w:before="60" w:after="60" w:line="200" w:lineRule="exact"/>
              <w:ind w:right="113"/>
              <w:jc w:val="center"/>
              <w:rPr>
                <w:rFonts w:ascii="Times New Roman" w:hAnsi="Times New Roman" w:cs="Times New Roman"/>
                <w:b/>
                <w:i/>
                <w:sz w:val="20"/>
                <w:szCs w:val="20"/>
              </w:rPr>
            </w:pPr>
            <w:r w:rsidRPr="00EF24EC">
              <w:rPr>
                <w:rFonts w:ascii="Times New Roman" w:hAnsi="Times New Roman" w:cs="Times New Roman"/>
                <w:b/>
                <w:i/>
                <w:sz w:val="20"/>
                <w:szCs w:val="20"/>
              </w:rPr>
              <w:t>Yes</w:t>
            </w:r>
          </w:p>
        </w:tc>
        <w:tc>
          <w:tcPr>
            <w:tcW w:w="849" w:type="dxa"/>
            <w:tcBorders>
              <w:top w:val="nil"/>
              <w:bottom w:val="single" w:sz="12" w:space="0" w:color="auto"/>
            </w:tcBorders>
            <w:shd w:val="clear" w:color="auto" w:fill="auto"/>
          </w:tcPr>
          <w:p w:rsidR="00EF24EC" w:rsidRPr="00EF24EC" w:rsidRDefault="00EF24EC" w:rsidP="003C42BB">
            <w:pPr>
              <w:spacing w:before="60" w:after="60" w:line="200" w:lineRule="exact"/>
              <w:ind w:right="113"/>
              <w:jc w:val="center"/>
              <w:rPr>
                <w:rFonts w:ascii="Times New Roman" w:hAnsi="Times New Roman" w:cs="Times New Roman"/>
                <w:b/>
                <w:i/>
                <w:sz w:val="20"/>
                <w:szCs w:val="20"/>
              </w:rPr>
            </w:pPr>
            <w:r w:rsidRPr="00EF24EC">
              <w:rPr>
                <w:rFonts w:ascii="Times New Roman" w:hAnsi="Times New Roman" w:cs="Times New Roman"/>
                <w:b/>
                <w:i/>
                <w:sz w:val="20"/>
                <w:szCs w:val="20"/>
              </w:rPr>
              <w:t>No</w:t>
            </w:r>
          </w:p>
        </w:tc>
      </w:tr>
      <w:tr w:rsidR="00EF24EC" w:rsidRPr="00EF24EC" w:rsidTr="003C42BB">
        <w:tc>
          <w:tcPr>
            <w:tcW w:w="1560" w:type="dxa"/>
            <w:tcBorders>
              <w:top w:val="single" w:sz="12" w:space="0" w:color="auto"/>
              <w:left w:val="single" w:sz="2" w:space="0" w:color="auto"/>
              <w:bottom w:val="single" w:sz="2" w:space="0" w:color="auto"/>
              <w:right w:val="single" w:sz="2" w:space="0" w:color="auto"/>
            </w:tcBorders>
            <w:shd w:val="clear" w:color="auto" w:fill="auto"/>
          </w:tcPr>
          <w:p w:rsidR="00EF24EC" w:rsidRPr="00EF24EC" w:rsidRDefault="00EF24EC" w:rsidP="003C42BB">
            <w:pPr>
              <w:spacing w:before="40" w:after="100" w:line="220" w:lineRule="exact"/>
              <w:ind w:right="113"/>
              <w:rPr>
                <w:rFonts w:ascii="Times New Roman" w:hAnsi="Times New Roman" w:cs="Times New Roman"/>
                <w:b/>
                <w:sz w:val="20"/>
                <w:szCs w:val="20"/>
              </w:rPr>
            </w:pPr>
            <w:r w:rsidRPr="00EF24EC">
              <w:rPr>
                <w:rFonts w:ascii="Times New Roman" w:hAnsi="Times New Roman" w:cs="Times New Roman"/>
                <w:b/>
                <w:sz w:val="20"/>
                <w:szCs w:val="20"/>
              </w:rPr>
              <w:t>Class C</w:t>
            </w:r>
          </w:p>
        </w:tc>
        <w:tc>
          <w:tcPr>
            <w:tcW w:w="2693" w:type="dxa"/>
            <w:tcBorders>
              <w:top w:val="single" w:sz="12" w:space="0" w:color="auto"/>
              <w:left w:val="single" w:sz="2" w:space="0" w:color="auto"/>
              <w:bottom w:val="single" w:sz="2" w:space="0" w:color="auto"/>
              <w:right w:val="single" w:sz="2" w:space="0" w:color="auto"/>
            </w:tcBorders>
            <w:shd w:val="clear" w:color="auto" w:fill="auto"/>
          </w:tcPr>
          <w:p w:rsidR="00EF24EC" w:rsidRPr="00EF24EC" w:rsidRDefault="00EF24EC" w:rsidP="003C42BB">
            <w:pPr>
              <w:spacing w:before="40" w:after="100" w:line="220" w:lineRule="exact"/>
              <w:ind w:right="113"/>
              <w:rPr>
                <w:rFonts w:ascii="Times New Roman" w:hAnsi="Times New Roman" w:cs="Times New Roman"/>
                <w:b/>
                <w:sz w:val="20"/>
                <w:szCs w:val="20"/>
              </w:rPr>
            </w:pPr>
            <w:r w:rsidRPr="00EF24EC">
              <w:rPr>
                <w:rFonts w:ascii="Times New Roman" w:hAnsi="Times New Roman" w:cs="Times New Roman"/>
                <w:b/>
                <w:sz w:val="20"/>
                <w:szCs w:val="20"/>
              </w:rPr>
              <w:t>Table 1 *</w:t>
            </w:r>
          </w:p>
        </w:tc>
        <w:tc>
          <w:tcPr>
            <w:tcW w:w="3117" w:type="dxa"/>
            <w:gridSpan w:val="2"/>
            <w:tcBorders>
              <w:top w:val="single" w:sz="12" w:space="0" w:color="auto"/>
              <w:left w:val="single" w:sz="2" w:space="0" w:color="auto"/>
              <w:bottom w:val="single" w:sz="2" w:space="0" w:color="auto"/>
              <w:right w:val="single" w:sz="2" w:space="0" w:color="auto"/>
            </w:tcBorders>
            <w:shd w:val="clear" w:color="auto" w:fill="auto"/>
          </w:tcPr>
          <w:p w:rsidR="00EF24EC" w:rsidRPr="00EF24EC" w:rsidRDefault="00EF24EC" w:rsidP="003C42BB">
            <w:pPr>
              <w:spacing w:before="40" w:after="100" w:line="220" w:lineRule="exact"/>
              <w:ind w:right="113"/>
              <w:rPr>
                <w:rFonts w:ascii="Times New Roman" w:hAnsi="Times New Roman" w:cs="Times New Roman"/>
                <w:b/>
                <w:sz w:val="20"/>
                <w:szCs w:val="20"/>
              </w:rPr>
            </w:pPr>
          </w:p>
        </w:tc>
      </w:tr>
    </w:tbl>
    <w:p w:rsidR="00EF24EC" w:rsidRDefault="00811641" w:rsidP="00EF24E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w:t>
      </w:r>
    </w:p>
    <w:p w:rsidR="00811641" w:rsidRPr="00EF24EC" w:rsidRDefault="00811641" w:rsidP="00EF24EC">
      <w:pPr>
        <w:rPr>
          <w:rFonts w:ascii="Times New Roman" w:hAnsi="Times New Roman" w:cs="Times New Roman"/>
          <w:sz w:val="20"/>
          <w:szCs w:val="20"/>
        </w:rPr>
      </w:pPr>
    </w:p>
    <w:p w:rsidR="00EF24EC" w:rsidRPr="00EF24EC" w:rsidRDefault="00EF24EC" w:rsidP="00EF24EC">
      <w:pPr>
        <w:rPr>
          <w:rFonts w:ascii="Times New Roman" w:hAnsi="Times New Roman" w:cs="Times New Roman"/>
          <w:sz w:val="20"/>
          <w:szCs w:val="20"/>
        </w:rPr>
      </w:pPr>
      <w:r w:rsidRPr="00EF24EC">
        <w:rPr>
          <w:rFonts w:ascii="Times New Roman" w:hAnsi="Times New Roman" w:cs="Times New Roman"/>
          <w:sz w:val="20"/>
          <w:szCs w:val="20"/>
        </w:rPr>
        <w:t xml:space="preserve">Annex 5, Appendix 1, paragraph 3.2, </w:t>
      </w:r>
      <w:proofErr w:type="gramStart"/>
      <w:r w:rsidRPr="00EF24EC">
        <w:rPr>
          <w:rFonts w:ascii="Times New Roman" w:hAnsi="Times New Roman" w:cs="Times New Roman"/>
          <w:sz w:val="20"/>
          <w:szCs w:val="20"/>
        </w:rPr>
        <w:t>amend</w:t>
      </w:r>
      <w:proofErr w:type="gramEnd"/>
      <w:r w:rsidRPr="00EF24EC">
        <w:rPr>
          <w:rFonts w:ascii="Times New Roman" w:hAnsi="Times New Roman" w:cs="Times New Roman"/>
          <w:sz w:val="20"/>
          <w:szCs w:val="20"/>
        </w:rPr>
        <w:t xml:space="preserve"> to read:</w:t>
      </w:r>
    </w:p>
    <w:p w:rsidR="00EF24EC" w:rsidRPr="00EF24EC" w:rsidRDefault="00EF24EC" w:rsidP="00EF24EC">
      <w:pPr>
        <w:ind w:left="1134" w:right="1134"/>
        <w:jc w:val="both"/>
        <w:rPr>
          <w:rFonts w:ascii="Times New Roman" w:hAnsi="Times New Roman" w:cs="Times New Roman"/>
          <w:sz w:val="20"/>
          <w:szCs w:val="20"/>
        </w:rPr>
      </w:pPr>
      <w:r w:rsidRPr="00EF24EC">
        <w:rPr>
          <w:rFonts w:ascii="Times New Roman" w:hAnsi="Times New Roman" w:cs="Times New Roman"/>
          <w:sz w:val="20"/>
          <w:szCs w:val="20"/>
        </w:rPr>
        <w:t>3.2.</w:t>
      </w:r>
      <w:r w:rsidRPr="00EF24EC">
        <w:rPr>
          <w:rFonts w:ascii="Times New Roman" w:hAnsi="Times New Roman" w:cs="Times New Roman"/>
          <w:sz w:val="20"/>
          <w:szCs w:val="20"/>
        </w:rPr>
        <w:tab/>
      </w:r>
      <w:r w:rsidRPr="00EF24EC">
        <w:rPr>
          <w:rFonts w:ascii="Times New Roman" w:hAnsi="Times New Roman" w:cs="Times New Roman"/>
          <w:sz w:val="20"/>
          <w:szCs w:val="20"/>
        </w:rPr>
        <w:tab/>
        <w:t>Adaptive Driving Beam–if applicable:</w:t>
      </w:r>
    </w:p>
    <w:p w:rsidR="00EF24EC" w:rsidRPr="00EF24EC" w:rsidRDefault="00EF24EC" w:rsidP="00EF24EC">
      <w:pPr>
        <w:ind w:left="2268" w:right="1134"/>
        <w:jc w:val="both"/>
        <w:rPr>
          <w:rFonts w:ascii="Times New Roman" w:hAnsi="Times New Roman" w:cs="Times New Roman"/>
          <w:sz w:val="20"/>
          <w:szCs w:val="20"/>
        </w:rPr>
      </w:pPr>
      <w:r w:rsidRPr="00EF24EC">
        <w:rPr>
          <w:rFonts w:ascii="Times New Roman" w:hAnsi="Times New Roman" w:cs="Times New Roman"/>
          <w:sz w:val="20"/>
          <w:szCs w:val="20"/>
        </w:rPr>
        <w:t xml:space="preserve">During adaptation, the driving-beam function shall meet the requirements for all the cases of Right-Hand and/or Left-Hand traffic specified in Part </w:t>
      </w:r>
      <w:proofErr w:type="gramStart"/>
      <w:r w:rsidRPr="00EF24EC">
        <w:rPr>
          <w:rFonts w:ascii="Times New Roman" w:hAnsi="Times New Roman" w:cs="Times New Roman"/>
          <w:sz w:val="20"/>
          <w:szCs w:val="20"/>
        </w:rPr>
        <w:t>A</w:t>
      </w:r>
      <w:proofErr w:type="gramEnd"/>
      <w:r w:rsidRPr="00EF24EC">
        <w:rPr>
          <w:rFonts w:ascii="Times New Roman" w:hAnsi="Times New Roman" w:cs="Times New Roman"/>
          <w:sz w:val="20"/>
          <w:szCs w:val="20"/>
        </w:rPr>
        <w:t xml:space="preserve"> of Table 16. </w:t>
      </w:r>
    </w:p>
    <w:p w:rsidR="00EF24EC" w:rsidRPr="00EF24EC" w:rsidRDefault="00EF24EC" w:rsidP="00EF24EC">
      <w:pPr>
        <w:ind w:left="2268" w:right="1134"/>
        <w:jc w:val="both"/>
        <w:rPr>
          <w:rFonts w:ascii="Times New Roman" w:hAnsi="Times New Roman" w:cs="Times New Roman"/>
          <w:spacing w:val="-4"/>
          <w:sz w:val="20"/>
          <w:szCs w:val="20"/>
        </w:rPr>
      </w:pPr>
      <w:r w:rsidRPr="00EF24EC">
        <w:rPr>
          <w:rFonts w:ascii="Times New Roman" w:hAnsi="Times New Roman" w:cs="Times New Roman"/>
          <w:spacing w:val="-4"/>
          <w:sz w:val="20"/>
          <w:szCs w:val="20"/>
        </w:rPr>
        <w:t>If the system uses the same functional units for the adaptation of the driving beam only Part A -Line 1 and Line 4 of Table 16 have to be measured.</w:t>
      </w:r>
    </w:p>
    <w:p w:rsidR="00EF24EC" w:rsidRDefault="00EF24EC" w:rsidP="00EF24EC">
      <w:pPr>
        <w:ind w:left="2268" w:right="1134"/>
        <w:jc w:val="both"/>
        <w:rPr>
          <w:rFonts w:ascii="Times New Roman" w:hAnsi="Times New Roman" w:cs="Times New Roman"/>
          <w:sz w:val="20"/>
          <w:szCs w:val="20"/>
        </w:rPr>
      </w:pPr>
      <w:r w:rsidRPr="00EF24EC">
        <w:rPr>
          <w:rFonts w:ascii="Times New Roman" w:hAnsi="Times New Roman" w:cs="Times New Roman"/>
          <w:sz w:val="20"/>
          <w:szCs w:val="20"/>
        </w:rPr>
        <w:t xml:space="preserve">In the case where the passing beam, which meets the requirements of Annex 5, </w:t>
      </w:r>
      <w:r w:rsidRPr="00EF24EC">
        <w:rPr>
          <w:rFonts w:ascii="Times New Roman" w:hAnsi="Times New Roman" w:cs="Times New Roman"/>
          <w:sz w:val="20"/>
          <w:szCs w:val="20"/>
          <w:highlight w:val="yellow"/>
        </w:rPr>
        <w:t>Appendix 1, paragraph 2.</w:t>
      </w:r>
      <w:r w:rsidRPr="00EF24EC">
        <w:rPr>
          <w:rFonts w:ascii="Times New Roman" w:hAnsi="Times New Roman" w:cs="Times New Roman"/>
          <w:strike/>
          <w:color w:val="FF0000"/>
          <w:sz w:val="20"/>
          <w:szCs w:val="20"/>
          <w:highlight w:val="yellow"/>
        </w:rPr>
        <w:t>1.</w:t>
      </w:r>
      <w:r w:rsidRPr="00EF24EC">
        <w:rPr>
          <w:rFonts w:ascii="Times New Roman" w:hAnsi="Times New Roman" w:cs="Times New Roman"/>
          <w:sz w:val="20"/>
          <w:szCs w:val="20"/>
          <w:highlight w:val="yellow"/>
        </w:rPr>
        <w:t>,</w:t>
      </w:r>
      <w:r w:rsidRPr="00EF24EC">
        <w:rPr>
          <w:rFonts w:ascii="Times New Roman" w:hAnsi="Times New Roman" w:cs="Times New Roman"/>
          <w:sz w:val="20"/>
          <w:szCs w:val="20"/>
        </w:rPr>
        <w:t xml:space="preserve"> is continuously operated in conjunction with the adaptation of the driving beam, the photometric requirements in Part B Table 16 shall not be applied.</w:t>
      </w:r>
    </w:p>
    <w:p w:rsidR="00EF24EC" w:rsidRPr="00EF24EC" w:rsidRDefault="00EF24EC" w:rsidP="00EF24EC">
      <w:pPr>
        <w:pStyle w:val="Heading1"/>
        <w:tabs>
          <w:tab w:val="left" w:pos="8505"/>
        </w:tabs>
        <w:spacing w:after="120"/>
        <w:ind w:left="0" w:right="521"/>
        <w:jc w:val="both"/>
        <w:rPr>
          <w:b/>
          <w:sz w:val="24"/>
          <w:szCs w:val="24"/>
        </w:rPr>
      </w:pPr>
      <w:r w:rsidRPr="00EF24EC">
        <w:rPr>
          <w:b/>
          <w:sz w:val="24"/>
          <w:szCs w:val="24"/>
        </w:rPr>
        <w:t>Justification</w:t>
      </w:r>
    </w:p>
    <w:p w:rsidR="00EF24EC" w:rsidRDefault="00811641" w:rsidP="00BB0EF0">
      <w:pPr>
        <w:pStyle w:val="ListParagraph"/>
        <w:numPr>
          <w:ilvl w:val="0"/>
          <w:numId w:val="25"/>
        </w:numPr>
        <w:ind w:right="1134"/>
        <w:jc w:val="both"/>
        <w:rPr>
          <w:rFonts w:ascii="Times New Roman" w:hAnsi="Times New Roman" w:cs="Times New Roman"/>
          <w:sz w:val="20"/>
          <w:szCs w:val="20"/>
        </w:rPr>
      </w:pPr>
      <w:r w:rsidRPr="00BB0EF0">
        <w:rPr>
          <w:rFonts w:ascii="Times New Roman" w:hAnsi="Times New Roman" w:cs="Times New Roman"/>
          <w:sz w:val="20"/>
          <w:szCs w:val="20"/>
        </w:rPr>
        <w:t xml:space="preserve">The change to the table in Annex 5, Appendix 1, paragraphs 2 and </w:t>
      </w:r>
      <w:r w:rsidR="000D18F5">
        <w:rPr>
          <w:rFonts w:ascii="Times New Roman" w:hAnsi="Times New Roman" w:cs="Times New Roman"/>
          <w:sz w:val="20"/>
          <w:szCs w:val="20"/>
        </w:rPr>
        <w:t xml:space="preserve">to the paragraph </w:t>
      </w:r>
      <w:r w:rsidRPr="00BB0EF0">
        <w:rPr>
          <w:rFonts w:ascii="Times New Roman" w:hAnsi="Times New Roman" w:cs="Times New Roman"/>
          <w:sz w:val="20"/>
          <w:szCs w:val="20"/>
        </w:rPr>
        <w:t xml:space="preserve">3.2 clarify that the decision table refers to the worst case situation and correct the reference to </w:t>
      </w:r>
      <w:r w:rsidR="00BB0EF0" w:rsidRPr="00BB0EF0">
        <w:rPr>
          <w:rFonts w:ascii="Times New Roman" w:hAnsi="Times New Roman" w:cs="Times New Roman"/>
          <w:sz w:val="20"/>
          <w:szCs w:val="20"/>
        </w:rPr>
        <w:t>the paragraph 2.</w:t>
      </w:r>
    </w:p>
    <w:p w:rsidR="00BB0EF0" w:rsidRDefault="00BB0EF0" w:rsidP="00BB0EF0">
      <w:pPr>
        <w:pStyle w:val="ListParagraph"/>
        <w:numPr>
          <w:ilvl w:val="0"/>
          <w:numId w:val="25"/>
        </w:numPr>
        <w:ind w:right="1134"/>
        <w:jc w:val="both"/>
        <w:rPr>
          <w:rFonts w:ascii="Times New Roman" w:hAnsi="Times New Roman" w:cs="Times New Roman"/>
          <w:sz w:val="20"/>
          <w:szCs w:val="20"/>
        </w:rPr>
      </w:pPr>
      <w:r>
        <w:rPr>
          <w:rFonts w:ascii="Times New Roman" w:hAnsi="Times New Roman" w:cs="Times New Roman"/>
          <w:sz w:val="20"/>
          <w:szCs w:val="20"/>
        </w:rPr>
        <w:lastRenderedPageBreak/>
        <w:t xml:space="preserve">As there is no opportunity to introduce the proposal </w:t>
      </w:r>
      <w:proofErr w:type="gramStart"/>
      <w:r>
        <w:rPr>
          <w:rFonts w:ascii="Times New Roman" w:hAnsi="Times New Roman" w:cs="Times New Roman"/>
          <w:sz w:val="20"/>
          <w:szCs w:val="20"/>
        </w:rPr>
        <w:t xml:space="preserve">of  </w:t>
      </w:r>
      <w:r w:rsidRPr="00BB0EF0">
        <w:rPr>
          <w:rFonts w:ascii="Times New Roman" w:hAnsi="Times New Roman" w:cs="Times New Roman"/>
          <w:sz w:val="20"/>
          <w:szCs w:val="20"/>
        </w:rPr>
        <w:t>ECE</w:t>
      </w:r>
      <w:proofErr w:type="gramEnd"/>
      <w:r w:rsidRPr="00BB0EF0">
        <w:rPr>
          <w:rFonts w:ascii="Times New Roman" w:hAnsi="Times New Roman" w:cs="Times New Roman"/>
          <w:sz w:val="20"/>
          <w:szCs w:val="20"/>
        </w:rPr>
        <w:t>/TRANS/WP.29/GRE/2016/28</w:t>
      </w:r>
      <w:r>
        <w:rPr>
          <w:rFonts w:ascii="Times New Roman" w:hAnsi="Times New Roman" w:cs="Times New Roman"/>
          <w:sz w:val="20"/>
          <w:szCs w:val="20"/>
        </w:rPr>
        <w:t xml:space="preserve">, and the changes proposed in this informal document, </w:t>
      </w:r>
      <w:r w:rsidR="000D18F5">
        <w:rPr>
          <w:rFonts w:ascii="Times New Roman" w:hAnsi="Times New Roman" w:cs="Times New Roman"/>
          <w:sz w:val="20"/>
          <w:szCs w:val="20"/>
        </w:rPr>
        <w:t>relate to</w:t>
      </w:r>
      <w:r>
        <w:rPr>
          <w:rFonts w:ascii="Times New Roman" w:hAnsi="Times New Roman" w:cs="Times New Roman"/>
          <w:sz w:val="20"/>
          <w:szCs w:val="20"/>
        </w:rPr>
        <w:t xml:space="preserve"> Regulation No. 123 it is necessary to consider how they will be incorporated into the new RID Regulation currently being drafted by GRE IWG-SLR.</w:t>
      </w:r>
    </w:p>
    <w:p w:rsidR="00BB0EF0" w:rsidRDefault="00BB0EF0" w:rsidP="00BB0EF0">
      <w:pPr>
        <w:pStyle w:val="ListParagraph"/>
        <w:ind w:right="1134"/>
        <w:jc w:val="both"/>
        <w:rPr>
          <w:rFonts w:ascii="Times New Roman" w:hAnsi="Times New Roman" w:cs="Times New Roman"/>
          <w:sz w:val="20"/>
          <w:szCs w:val="20"/>
        </w:rPr>
      </w:pPr>
    </w:p>
    <w:p w:rsidR="00D90B73" w:rsidRDefault="00BB0EF0" w:rsidP="00BB0EF0">
      <w:pPr>
        <w:pStyle w:val="ListParagraph"/>
        <w:ind w:right="1134"/>
        <w:jc w:val="both"/>
        <w:rPr>
          <w:rFonts w:ascii="Times New Roman" w:hAnsi="Times New Roman" w:cs="Times New Roman"/>
          <w:sz w:val="20"/>
          <w:szCs w:val="20"/>
        </w:rPr>
      </w:pPr>
      <w:r>
        <w:rPr>
          <w:rFonts w:ascii="Times New Roman" w:hAnsi="Times New Roman" w:cs="Times New Roman"/>
          <w:sz w:val="20"/>
          <w:szCs w:val="20"/>
        </w:rPr>
        <w:t xml:space="preserve">It should be noted that </w:t>
      </w:r>
      <w:r w:rsidR="00D90B73">
        <w:rPr>
          <w:rFonts w:ascii="Times New Roman" w:hAnsi="Times New Roman" w:cs="Times New Roman"/>
          <w:sz w:val="20"/>
          <w:szCs w:val="20"/>
        </w:rPr>
        <w:t>the unified Co</w:t>
      </w:r>
      <w:r w:rsidRPr="00BB0EF0">
        <w:rPr>
          <w:rFonts w:ascii="Times New Roman" w:hAnsi="Times New Roman" w:cs="Times New Roman"/>
          <w:sz w:val="20"/>
          <w:szCs w:val="20"/>
        </w:rPr>
        <w:t>P procedure</w:t>
      </w:r>
      <w:r w:rsidR="003074B0">
        <w:rPr>
          <w:rFonts w:ascii="Times New Roman" w:hAnsi="Times New Roman" w:cs="Times New Roman"/>
          <w:sz w:val="20"/>
          <w:szCs w:val="20"/>
        </w:rPr>
        <w:t>,</w:t>
      </w:r>
      <w:r w:rsidRPr="00BB0EF0">
        <w:rPr>
          <w:rFonts w:ascii="Times New Roman" w:hAnsi="Times New Roman" w:cs="Times New Roman"/>
          <w:sz w:val="20"/>
          <w:szCs w:val="20"/>
        </w:rPr>
        <w:t xml:space="preserve"> as approved for all other regulations </w:t>
      </w:r>
      <w:r w:rsidR="003074B0">
        <w:rPr>
          <w:rFonts w:ascii="Times New Roman" w:hAnsi="Times New Roman" w:cs="Times New Roman"/>
          <w:sz w:val="20"/>
          <w:szCs w:val="20"/>
        </w:rPr>
        <w:t>(</w:t>
      </w:r>
      <w:r w:rsidR="003074B0" w:rsidRPr="003074B0">
        <w:rPr>
          <w:rFonts w:ascii="Times New Roman" w:hAnsi="Times New Roman" w:cs="Times New Roman"/>
          <w:sz w:val="20"/>
          <w:szCs w:val="20"/>
        </w:rPr>
        <w:t>ECE/TRANS/WP.29/2013/69</w:t>
      </w:r>
      <w:r w:rsidR="003074B0">
        <w:rPr>
          <w:rFonts w:ascii="Times New Roman" w:hAnsi="Times New Roman" w:cs="Times New Roman"/>
          <w:sz w:val="20"/>
          <w:szCs w:val="20"/>
        </w:rPr>
        <w:t xml:space="preserve"> -89) </w:t>
      </w:r>
      <w:r w:rsidRPr="00BB0EF0">
        <w:rPr>
          <w:rFonts w:ascii="Times New Roman" w:hAnsi="Times New Roman" w:cs="Times New Roman"/>
          <w:sz w:val="20"/>
          <w:szCs w:val="20"/>
        </w:rPr>
        <w:t xml:space="preserve">is already part of the </w:t>
      </w:r>
      <w:r w:rsidR="003074B0">
        <w:rPr>
          <w:rFonts w:ascii="Times New Roman" w:hAnsi="Times New Roman" w:cs="Times New Roman"/>
          <w:sz w:val="20"/>
          <w:szCs w:val="20"/>
        </w:rPr>
        <w:t>RID Regulation currently being drafted</w:t>
      </w:r>
      <w:r w:rsidR="00D90B73">
        <w:rPr>
          <w:rFonts w:ascii="Times New Roman" w:hAnsi="Times New Roman" w:cs="Times New Roman"/>
          <w:sz w:val="20"/>
          <w:szCs w:val="20"/>
        </w:rPr>
        <w:t>. When the unified CoP was proposed it was agreed that Regulation No. 123 would not be included</w:t>
      </w:r>
      <w:r w:rsidR="00FB0263">
        <w:rPr>
          <w:rFonts w:ascii="Times New Roman" w:hAnsi="Times New Roman" w:cs="Times New Roman"/>
          <w:sz w:val="20"/>
          <w:szCs w:val="20"/>
        </w:rPr>
        <w:t xml:space="preserve"> as a simplified procedure for AFS was being developed.</w:t>
      </w:r>
    </w:p>
    <w:p w:rsidR="00D90B73" w:rsidRDefault="00D90B73" w:rsidP="00BB0EF0">
      <w:pPr>
        <w:pStyle w:val="ListParagraph"/>
        <w:ind w:right="1134"/>
        <w:jc w:val="both"/>
        <w:rPr>
          <w:rFonts w:ascii="Times New Roman" w:hAnsi="Times New Roman" w:cs="Times New Roman"/>
          <w:sz w:val="20"/>
          <w:szCs w:val="20"/>
        </w:rPr>
      </w:pPr>
    </w:p>
    <w:p w:rsidR="00BB0EF0" w:rsidRPr="00BB0EF0" w:rsidRDefault="00D90B73" w:rsidP="00BB0EF0">
      <w:pPr>
        <w:pStyle w:val="ListParagraph"/>
        <w:ind w:right="1134"/>
        <w:jc w:val="both"/>
        <w:rPr>
          <w:rFonts w:ascii="Times New Roman" w:hAnsi="Times New Roman" w:cs="Times New Roman"/>
          <w:sz w:val="20"/>
          <w:szCs w:val="20"/>
        </w:rPr>
      </w:pPr>
      <w:r>
        <w:rPr>
          <w:rFonts w:ascii="Times New Roman" w:hAnsi="Times New Roman" w:cs="Times New Roman"/>
          <w:sz w:val="20"/>
          <w:szCs w:val="20"/>
        </w:rPr>
        <w:t>The n</w:t>
      </w:r>
      <w:r w:rsidRPr="00D90B73">
        <w:rPr>
          <w:rFonts w:ascii="Times New Roman" w:hAnsi="Times New Roman" w:cs="Times New Roman"/>
          <w:sz w:val="20"/>
          <w:szCs w:val="20"/>
        </w:rPr>
        <w:t>ew definition</w:t>
      </w:r>
      <w:r w:rsidR="00FB0263">
        <w:rPr>
          <w:rFonts w:ascii="Times New Roman" w:hAnsi="Times New Roman" w:cs="Times New Roman"/>
          <w:sz w:val="20"/>
          <w:szCs w:val="20"/>
        </w:rPr>
        <w:t xml:space="preserve"> for</w:t>
      </w:r>
      <w:r w:rsidRPr="00D90B73">
        <w:rPr>
          <w:rFonts w:ascii="Times New Roman" w:hAnsi="Times New Roman" w:cs="Times New Roman"/>
          <w:sz w:val="20"/>
          <w:szCs w:val="20"/>
        </w:rPr>
        <w:t xml:space="preserve"> “Functional Unit” and </w:t>
      </w:r>
      <w:r>
        <w:rPr>
          <w:rFonts w:ascii="Times New Roman" w:hAnsi="Times New Roman" w:cs="Times New Roman"/>
          <w:sz w:val="20"/>
          <w:szCs w:val="20"/>
        </w:rPr>
        <w:t>the s</w:t>
      </w:r>
      <w:r w:rsidRPr="00D90B73">
        <w:rPr>
          <w:rFonts w:ascii="Times New Roman" w:hAnsi="Times New Roman" w:cs="Times New Roman"/>
          <w:sz w:val="20"/>
          <w:szCs w:val="20"/>
        </w:rPr>
        <w:t xml:space="preserve">implified CoP tests </w:t>
      </w:r>
      <w:r w:rsidR="000D18F5">
        <w:rPr>
          <w:rFonts w:ascii="Times New Roman" w:hAnsi="Times New Roman" w:cs="Times New Roman"/>
          <w:sz w:val="20"/>
          <w:szCs w:val="20"/>
        </w:rPr>
        <w:t>are</w:t>
      </w:r>
      <w:r>
        <w:rPr>
          <w:rFonts w:ascii="Times New Roman" w:hAnsi="Times New Roman" w:cs="Times New Roman"/>
          <w:sz w:val="20"/>
          <w:szCs w:val="20"/>
        </w:rPr>
        <w:t xml:space="preserve"> to be introduced into the draft RID Regulation</w:t>
      </w:r>
      <w:r w:rsidR="000D18F5">
        <w:rPr>
          <w:rFonts w:ascii="Times New Roman" w:hAnsi="Times New Roman" w:cs="Times New Roman"/>
          <w:sz w:val="20"/>
          <w:szCs w:val="20"/>
        </w:rPr>
        <w:t>;</w:t>
      </w:r>
      <w:r w:rsidR="00FB0263">
        <w:rPr>
          <w:rFonts w:ascii="Times New Roman" w:hAnsi="Times New Roman" w:cs="Times New Roman"/>
          <w:sz w:val="20"/>
          <w:szCs w:val="20"/>
        </w:rPr>
        <w:t xml:space="preserve"> </w:t>
      </w:r>
      <w:r w:rsidR="000D18F5">
        <w:rPr>
          <w:rFonts w:ascii="Times New Roman" w:hAnsi="Times New Roman" w:cs="Times New Roman"/>
          <w:sz w:val="20"/>
          <w:szCs w:val="20"/>
        </w:rPr>
        <w:t>they</w:t>
      </w:r>
      <w:r w:rsidR="00FB0263">
        <w:rPr>
          <w:rFonts w:ascii="Times New Roman" w:hAnsi="Times New Roman" w:cs="Times New Roman"/>
          <w:sz w:val="20"/>
          <w:szCs w:val="20"/>
        </w:rPr>
        <w:t xml:space="preserve"> simplify the test procedures whilst ensuring that the worst case situation is assessed. This means that the stringency of the CoP requirements is not changed but the burden, on the technical services and industry, in terms of the number of measurements required is dramatically reduced.</w:t>
      </w:r>
    </w:p>
    <w:p w:rsidR="00BB0EF0" w:rsidRPr="00EF24EC" w:rsidRDefault="00BB0EF0" w:rsidP="00EF24EC">
      <w:pPr>
        <w:ind w:right="1134"/>
        <w:jc w:val="both"/>
        <w:rPr>
          <w:rFonts w:ascii="Times New Roman" w:hAnsi="Times New Roman" w:cs="Times New Roman"/>
          <w:sz w:val="20"/>
          <w:szCs w:val="20"/>
        </w:rPr>
      </w:pPr>
    </w:p>
    <w:p w:rsidR="00AD3013" w:rsidRPr="00EF24EC" w:rsidRDefault="00AD3013" w:rsidP="00AD3013">
      <w:pPr>
        <w:pStyle w:val="PlainText"/>
        <w:tabs>
          <w:tab w:val="left" w:pos="8505"/>
        </w:tabs>
        <w:spacing w:after="120"/>
        <w:ind w:right="521"/>
        <w:jc w:val="center"/>
        <w:rPr>
          <w:rFonts w:cs="Times New Roman"/>
        </w:rPr>
      </w:pP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r>
      <w:r w:rsidRPr="00EF24EC">
        <w:rPr>
          <w:rFonts w:cs="Times New Roman"/>
        </w:rPr>
        <w:softHyphen/>
        <w:t>____________</w:t>
      </w:r>
      <w:r w:rsidR="008E0D9F" w:rsidRPr="00EF24EC">
        <w:rPr>
          <w:rFonts w:cs="Times New Roman"/>
        </w:rPr>
        <w:t>____________________</w:t>
      </w:r>
    </w:p>
    <w:p w:rsidR="0017295E" w:rsidRPr="00EF24EC" w:rsidRDefault="0017295E" w:rsidP="00AD3013">
      <w:pPr>
        <w:ind w:right="-46"/>
        <w:contextualSpacing/>
        <w:jc w:val="both"/>
        <w:rPr>
          <w:rFonts w:ascii="Times New Roman" w:hAnsi="Times New Roman" w:cs="Times New Roman"/>
          <w:sz w:val="20"/>
          <w:szCs w:val="20"/>
        </w:rPr>
      </w:pPr>
    </w:p>
    <w:p w:rsidR="00FE41A8" w:rsidRPr="00EF24EC" w:rsidRDefault="00FE41A8" w:rsidP="00AD3013">
      <w:pPr>
        <w:ind w:right="-46"/>
        <w:contextualSpacing/>
        <w:jc w:val="both"/>
        <w:rPr>
          <w:rFonts w:ascii="Times New Roman" w:hAnsi="Times New Roman" w:cs="Times New Roman"/>
          <w:sz w:val="20"/>
          <w:szCs w:val="20"/>
        </w:rPr>
      </w:pPr>
    </w:p>
    <w:p w:rsidR="00FE41A8" w:rsidRPr="00EF24EC" w:rsidRDefault="00FE41A8" w:rsidP="00AD3013">
      <w:pPr>
        <w:ind w:right="-46"/>
        <w:contextualSpacing/>
        <w:jc w:val="both"/>
        <w:rPr>
          <w:rFonts w:ascii="Times New Roman" w:hAnsi="Times New Roman" w:cs="Times New Roman"/>
          <w:sz w:val="20"/>
          <w:szCs w:val="20"/>
        </w:rPr>
      </w:pPr>
    </w:p>
    <w:sectPr w:rsidR="00FE41A8" w:rsidRPr="00EF24EC" w:rsidSect="004959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4A" w:rsidRDefault="00AF0F4A" w:rsidP="00495922">
      <w:pPr>
        <w:spacing w:after="0" w:line="240" w:lineRule="auto"/>
      </w:pPr>
      <w:r>
        <w:separator/>
      </w:r>
    </w:p>
  </w:endnote>
  <w:endnote w:type="continuationSeparator" w:id="0">
    <w:p w:rsidR="00AF0F4A" w:rsidRDefault="00AF0F4A" w:rsidP="0049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80" w:rsidRDefault="00647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80" w:rsidRDefault="00647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80" w:rsidRDefault="00647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4A" w:rsidRDefault="00AF0F4A" w:rsidP="00495922">
      <w:pPr>
        <w:spacing w:after="0" w:line="240" w:lineRule="auto"/>
      </w:pPr>
      <w:r>
        <w:separator/>
      </w:r>
    </w:p>
  </w:footnote>
  <w:footnote w:type="continuationSeparator" w:id="0">
    <w:p w:rsidR="00AF0F4A" w:rsidRDefault="00AF0F4A" w:rsidP="00495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80" w:rsidRDefault="00647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80" w:rsidRDefault="00647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3112F6" w:rsidRPr="00240B3B" w:rsidTr="00D37B57">
      <w:tc>
        <w:tcPr>
          <w:tcW w:w="4536" w:type="dxa"/>
          <w:vAlign w:val="center"/>
        </w:tcPr>
        <w:p w:rsidR="003112F6" w:rsidRPr="00240B3B" w:rsidRDefault="003112F6" w:rsidP="00D37B57">
          <w:pPr>
            <w:spacing w:after="0"/>
            <w:ind w:right="67"/>
            <w:jc w:val="both"/>
            <w:rPr>
              <w:rFonts w:ascii="Times New Roman" w:hAnsi="Times New Roman" w:cs="Times New Roman"/>
              <w:sz w:val="20"/>
              <w:szCs w:val="20"/>
              <w:lang w:val="en-TT" w:eastAsia="ar-SA"/>
            </w:rPr>
          </w:pPr>
          <w:r w:rsidRPr="00240B3B">
            <w:rPr>
              <w:rFonts w:ascii="Times New Roman" w:hAnsi="Times New Roman" w:cs="Times New Roman"/>
              <w:sz w:val="20"/>
              <w:szCs w:val="20"/>
            </w:rPr>
            <w:t xml:space="preserve">Transmitted by the </w:t>
          </w:r>
          <w:r w:rsidRPr="00240B3B">
            <w:rPr>
              <w:rFonts w:ascii="Times New Roman" w:hAnsi="Times New Roman" w:cs="Times New Roman"/>
              <w:sz w:val="20"/>
              <w:szCs w:val="20"/>
              <w:lang w:eastAsia="ja-JP"/>
            </w:rPr>
            <w:t>expert</w:t>
          </w:r>
          <w:r>
            <w:rPr>
              <w:rFonts w:ascii="Times New Roman" w:hAnsi="Times New Roman" w:cs="Times New Roman"/>
              <w:sz w:val="20"/>
              <w:szCs w:val="20"/>
              <w:lang w:eastAsia="ja-JP"/>
            </w:rPr>
            <w:t>s</w:t>
          </w:r>
          <w:r w:rsidRPr="00240B3B">
            <w:rPr>
              <w:rFonts w:ascii="Times New Roman" w:hAnsi="Times New Roman" w:cs="Times New Roman"/>
              <w:sz w:val="20"/>
              <w:szCs w:val="20"/>
              <w:lang w:eastAsia="ja-JP"/>
            </w:rPr>
            <w:t xml:space="preserve"> from</w:t>
          </w:r>
          <w:r>
            <w:rPr>
              <w:rFonts w:ascii="Times New Roman" w:hAnsi="Times New Roman" w:cs="Times New Roman"/>
              <w:sz w:val="20"/>
              <w:szCs w:val="20"/>
            </w:rPr>
            <w:t xml:space="preserve"> T</w:t>
          </w:r>
          <w:r w:rsidRPr="00240B3B">
            <w:rPr>
              <w:rFonts w:ascii="Times New Roman" w:hAnsi="Times New Roman" w:cs="Times New Roman"/>
              <w:sz w:val="20"/>
              <w:szCs w:val="20"/>
            </w:rPr>
            <w:t>he International Automotive Lighting and Light Signalling Expert Group (GTB)</w:t>
          </w:r>
          <w:r>
            <w:rPr>
              <w:rFonts w:ascii="Times New Roman" w:hAnsi="Times New Roman" w:cs="Times New Roman"/>
              <w:sz w:val="20"/>
              <w:szCs w:val="20"/>
            </w:rPr>
            <w:t xml:space="preserve"> </w:t>
          </w:r>
        </w:p>
      </w:tc>
      <w:tc>
        <w:tcPr>
          <w:tcW w:w="5103" w:type="dxa"/>
        </w:tcPr>
        <w:p w:rsidR="003112F6" w:rsidRPr="00936C3A" w:rsidRDefault="003112F6" w:rsidP="00D37B57">
          <w:pPr>
            <w:spacing w:after="0"/>
            <w:ind w:left="1418"/>
            <w:rPr>
              <w:rFonts w:ascii="Times New Roman" w:hAnsi="Times New Roman" w:cs="Times New Roman"/>
              <w:b/>
              <w:bCs/>
              <w:color w:val="000000"/>
              <w:sz w:val="20"/>
              <w:szCs w:val="20"/>
              <w:lang w:val="fr-FR" w:eastAsia="ar-SA"/>
            </w:rPr>
          </w:pPr>
          <w:r w:rsidRPr="00D37B57">
            <w:rPr>
              <w:rFonts w:ascii="Times New Roman" w:hAnsi="Times New Roman" w:cs="Times New Roman"/>
              <w:sz w:val="20"/>
              <w:szCs w:val="20"/>
              <w:u w:val="single"/>
              <w:lang w:eastAsia="ar-SA"/>
            </w:rPr>
            <w:t>Informal</w:t>
          </w:r>
          <w:r w:rsidRPr="00936C3A">
            <w:rPr>
              <w:rFonts w:ascii="Times New Roman" w:hAnsi="Times New Roman" w:cs="Times New Roman"/>
              <w:sz w:val="20"/>
              <w:szCs w:val="20"/>
              <w:u w:val="single"/>
              <w:lang w:val="fr-FR" w:eastAsia="ar-SA"/>
            </w:rPr>
            <w:t xml:space="preserve"> document</w:t>
          </w:r>
          <w:r w:rsidRPr="00936C3A">
            <w:rPr>
              <w:rFonts w:ascii="Times New Roman" w:hAnsi="Times New Roman" w:cs="Times New Roman"/>
              <w:sz w:val="20"/>
              <w:szCs w:val="20"/>
              <w:lang w:val="fr-FR" w:eastAsia="ar-SA"/>
            </w:rPr>
            <w:t xml:space="preserve"> </w:t>
          </w:r>
          <w:r w:rsidRPr="00936C3A">
            <w:rPr>
              <w:rFonts w:ascii="Times New Roman" w:hAnsi="Times New Roman" w:cs="Times New Roman"/>
              <w:b/>
              <w:bCs/>
              <w:sz w:val="20"/>
              <w:szCs w:val="20"/>
              <w:lang w:val="fr-FR" w:eastAsia="ar-SA"/>
            </w:rPr>
            <w:t>GRE-</w:t>
          </w:r>
          <w:r>
            <w:rPr>
              <w:rFonts w:ascii="Times New Roman" w:hAnsi="Times New Roman" w:cs="Times New Roman"/>
              <w:b/>
              <w:bCs/>
              <w:sz w:val="20"/>
              <w:szCs w:val="20"/>
              <w:lang w:val="fr-FR" w:eastAsia="ar-SA"/>
            </w:rPr>
            <w:t>7</w:t>
          </w:r>
          <w:r w:rsidR="00AD2537">
            <w:rPr>
              <w:rFonts w:ascii="Times New Roman" w:hAnsi="Times New Roman" w:cs="Times New Roman"/>
              <w:b/>
              <w:bCs/>
              <w:sz w:val="20"/>
              <w:szCs w:val="20"/>
              <w:lang w:val="fr-FR" w:eastAsia="ar-SA"/>
            </w:rPr>
            <w:t>7</w:t>
          </w:r>
          <w:r>
            <w:rPr>
              <w:rFonts w:ascii="Times New Roman" w:hAnsi="Times New Roman" w:cs="Times New Roman"/>
              <w:b/>
              <w:bCs/>
              <w:sz w:val="20"/>
              <w:szCs w:val="20"/>
              <w:lang w:val="fr-FR" w:eastAsia="ar-SA"/>
            </w:rPr>
            <w:t>-</w:t>
          </w:r>
          <w:r w:rsidR="00EC280E">
            <w:rPr>
              <w:rFonts w:ascii="Times New Roman" w:hAnsi="Times New Roman" w:cs="Times New Roman"/>
              <w:b/>
              <w:bCs/>
              <w:sz w:val="20"/>
              <w:szCs w:val="20"/>
              <w:lang w:val="fr-FR" w:eastAsia="ar-SA"/>
            </w:rPr>
            <w:t>11</w:t>
          </w:r>
          <w:bookmarkStart w:id="0" w:name="_GoBack"/>
          <w:bookmarkEnd w:id="0"/>
        </w:p>
        <w:p w:rsidR="003112F6" w:rsidRPr="0001033B" w:rsidRDefault="003112F6" w:rsidP="00D37B57">
          <w:pPr>
            <w:tabs>
              <w:tab w:val="center" w:pos="4677"/>
              <w:tab w:val="right" w:pos="9355"/>
            </w:tabs>
            <w:spacing w:after="0"/>
            <w:ind w:left="1418"/>
            <w:rPr>
              <w:rFonts w:ascii="Times New Roman" w:hAnsi="Times New Roman" w:cs="Times New Roman"/>
              <w:sz w:val="20"/>
              <w:szCs w:val="20"/>
              <w:lang w:val="en-US" w:eastAsia="ar-SA"/>
            </w:rPr>
          </w:pPr>
          <w:r w:rsidRPr="0001033B">
            <w:rPr>
              <w:rFonts w:ascii="Times New Roman" w:hAnsi="Times New Roman" w:cs="Times New Roman"/>
              <w:sz w:val="20"/>
              <w:szCs w:val="20"/>
              <w:lang w:val="en-US" w:eastAsia="ar-SA"/>
            </w:rPr>
            <w:t>(7</w:t>
          </w:r>
          <w:r w:rsidR="00AD2537" w:rsidRPr="0001033B">
            <w:rPr>
              <w:rFonts w:ascii="Times New Roman" w:hAnsi="Times New Roman" w:cs="Times New Roman"/>
              <w:sz w:val="20"/>
              <w:szCs w:val="20"/>
              <w:lang w:val="en-US" w:eastAsia="ar-SA"/>
            </w:rPr>
            <w:t>7</w:t>
          </w:r>
          <w:r w:rsidRPr="0001033B">
            <w:rPr>
              <w:rFonts w:ascii="Times New Roman" w:hAnsi="Times New Roman" w:cs="Times New Roman"/>
              <w:sz w:val="20"/>
              <w:szCs w:val="20"/>
              <w:lang w:val="en-US" w:eastAsia="ar-SA"/>
            </w:rPr>
            <w:t xml:space="preserve">th GRE, </w:t>
          </w:r>
          <w:r w:rsidR="00AD2537" w:rsidRPr="0001033B">
            <w:rPr>
              <w:rFonts w:ascii="Times New Roman" w:hAnsi="Times New Roman" w:cs="Times New Roman"/>
              <w:sz w:val="20"/>
              <w:szCs w:val="20"/>
              <w:lang w:val="en-US" w:eastAsia="ar-SA"/>
            </w:rPr>
            <w:t>4-7 April 2017</w:t>
          </w:r>
        </w:p>
        <w:p w:rsidR="003112F6" w:rsidRPr="00240B3B" w:rsidRDefault="003112F6" w:rsidP="00647280">
          <w:pPr>
            <w:tabs>
              <w:tab w:val="center" w:pos="4677"/>
              <w:tab w:val="right" w:pos="9355"/>
            </w:tabs>
            <w:spacing w:after="0"/>
            <w:ind w:left="1418"/>
            <w:rPr>
              <w:rFonts w:ascii="Times New Roman" w:hAnsi="Times New Roman" w:cs="Times New Roman"/>
              <w:sz w:val="20"/>
              <w:szCs w:val="20"/>
              <w:lang w:val="en-TT" w:eastAsia="ar-SA"/>
            </w:rPr>
          </w:pPr>
          <w:r w:rsidRPr="00240B3B">
            <w:rPr>
              <w:rFonts w:ascii="Times New Roman" w:hAnsi="Times New Roman" w:cs="Times New Roman"/>
              <w:sz w:val="20"/>
              <w:szCs w:val="20"/>
              <w:lang w:val="en-TT" w:eastAsia="ar-SA"/>
            </w:rPr>
            <w:t>agenda item</w:t>
          </w:r>
          <w:r w:rsidR="001D4900">
            <w:rPr>
              <w:rFonts w:ascii="Times New Roman" w:hAnsi="Times New Roman" w:cs="Times New Roman"/>
              <w:sz w:val="20"/>
              <w:szCs w:val="20"/>
              <w:lang w:val="en-TT" w:eastAsia="ar-SA"/>
            </w:rPr>
            <w:t xml:space="preserve"> 7(e)</w:t>
          </w:r>
          <w:r w:rsidR="0001033B">
            <w:rPr>
              <w:rFonts w:ascii="Times New Roman" w:hAnsi="Times New Roman" w:cs="Times New Roman"/>
              <w:sz w:val="20"/>
              <w:szCs w:val="20"/>
              <w:lang w:val="en-TT" w:eastAsia="ar-SA"/>
            </w:rPr>
            <w:t>)</w:t>
          </w:r>
        </w:p>
      </w:tc>
    </w:tr>
  </w:tbl>
  <w:p w:rsidR="003112F6" w:rsidRDefault="00311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1D6"/>
    <w:multiLevelType w:val="hybridMultilevel"/>
    <w:tmpl w:val="8C38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57A1B"/>
    <w:multiLevelType w:val="hybridMultilevel"/>
    <w:tmpl w:val="6E0ADA5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C1559"/>
    <w:multiLevelType w:val="hybridMultilevel"/>
    <w:tmpl w:val="6B1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A1881"/>
    <w:multiLevelType w:val="hybridMultilevel"/>
    <w:tmpl w:val="A59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F7674"/>
    <w:multiLevelType w:val="hybridMultilevel"/>
    <w:tmpl w:val="348E8DB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E8458A"/>
    <w:multiLevelType w:val="hybridMultilevel"/>
    <w:tmpl w:val="F41425A0"/>
    <w:lvl w:ilvl="0" w:tplc="B6BE4EAE">
      <w:start w:val="1"/>
      <w:numFmt w:val="bullet"/>
      <w:lvlText w:val=""/>
      <w:lvlJc w:val="left"/>
      <w:pPr>
        <w:tabs>
          <w:tab w:val="num" w:pos="720"/>
        </w:tabs>
        <w:ind w:left="720" w:hanging="360"/>
      </w:pPr>
      <w:rPr>
        <w:rFonts w:ascii="Wingdings" w:hAnsi="Wingdings" w:hint="default"/>
      </w:rPr>
    </w:lvl>
    <w:lvl w:ilvl="1" w:tplc="DD3E22F2">
      <w:start w:val="711"/>
      <w:numFmt w:val="bullet"/>
      <w:lvlText w:val=""/>
      <w:lvlJc w:val="left"/>
      <w:pPr>
        <w:tabs>
          <w:tab w:val="num" w:pos="1440"/>
        </w:tabs>
        <w:ind w:left="1440" w:hanging="360"/>
      </w:pPr>
      <w:rPr>
        <w:rFonts w:ascii="Wingdings" w:hAnsi="Wingdings" w:hint="default"/>
      </w:rPr>
    </w:lvl>
    <w:lvl w:ilvl="2" w:tplc="18305164" w:tentative="1">
      <w:start w:val="1"/>
      <w:numFmt w:val="bullet"/>
      <w:lvlText w:val=""/>
      <w:lvlJc w:val="left"/>
      <w:pPr>
        <w:tabs>
          <w:tab w:val="num" w:pos="2160"/>
        </w:tabs>
        <w:ind w:left="2160" w:hanging="360"/>
      </w:pPr>
      <w:rPr>
        <w:rFonts w:ascii="Wingdings" w:hAnsi="Wingdings" w:hint="default"/>
      </w:rPr>
    </w:lvl>
    <w:lvl w:ilvl="3" w:tplc="C26E6F22" w:tentative="1">
      <w:start w:val="1"/>
      <w:numFmt w:val="bullet"/>
      <w:lvlText w:val=""/>
      <w:lvlJc w:val="left"/>
      <w:pPr>
        <w:tabs>
          <w:tab w:val="num" w:pos="2880"/>
        </w:tabs>
        <w:ind w:left="2880" w:hanging="360"/>
      </w:pPr>
      <w:rPr>
        <w:rFonts w:ascii="Wingdings" w:hAnsi="Wingdings" w:hint="default"/>
      </w:rPr>
    </w:lvl>
    <w:lvl w:ilvl="4" w:tplc="0C78D38E" w:tentative="1">
      <w:start w:val="1"/>
      <w:numFmt w:val="bullet"/>
      <w:lvlText w:val=""/>
      <w:lvlJc w:val="left"/>
      <w:pPr>
        <w:tabs>
          <w:tab w:val="num" w:pos="3600"/>
        </w:tabs>
        <w:ind w:left="3600" w:hanging="360"/>
      </w:pPr>
      <w:rPr>
        <w:rFonts w:ascii="Wingdings" w:hAnsi="Wingdings" w:hint="default"/>
      </w:rPr>
    </w:lvl>
    <w:lvl w:ilvl="5" w:tplc="66785EFC" w:tentative="1">
      <w:start w:val="1"/>
      <w:numFmt w:val="bullet"/>
      <w:lvlText w:val=""/>
      <w:lvlJc w:val="left"/>
      <w:pPr>
        <w:tabs>
          <w:tab w:val="num" w:pos="4320"/>
        </w:tabs>
        <w:ind w:left="4320" w:hanging="360"/>
      </w:pPr>
      <w:rPr>
        <w:rFonts w:ascii="Wingdings" w:hAnsi="Wingdings" w:hint="default"/>
      </w:rPr>
    </w:lvl>
    <w:lvl w:ilvl="6" w:tplc="81B8D960" w:tentative="1">
      <w:start w:val="1"/>
      <w:numFmt w:val="bullet"/>
      <w:lvlText w:val=""/>
      <w:lvlJc w:val="left"/>
      <w:pPr>
        <w:tabs>
          <w:tab w:val="num" w:pos="5040"/>
        </w:tabs>
        <w:ind w:left="5040" w:hanging="360"/>
      </w:pPr>
      <w:rPr>
        <w:rFonts w:ascii="Wingdings" w:hAnsi="Wingdings" w:hint="default"/>
      </w:rPr>
    </w:lvl>
    <w:lvl w:ilvl="7" w:tplc="BD806B52" w:tentative="1">
      <w:start w:val="1"/>
      <w:numFmt w:val="bullet"/>
      <w:lvlText w:val=""/>
      <w:lvlJc w:val="left"/>
      <w:pPr>
        <w:tabs>
          <w:tab w:val="num" w:pos="5760"/>
        </w:tabs>
        <w:ind w:left="5760" w:hanging="360"/>
      </w:pPr>
      <w:rPr>
        <w:rFonts w:ascii="Wingdings" w:hAnsi="Wingdings" w:hint="default"/>
      </w:rPr>
    </w:lvl>
    <w:lvl w:ilvl="8" w:tplc="C6567A1A" w:tentative="1">
      <w:start w:val="1"/>
      <w:numFmt w:val="bullet"/>
      <w:lvlText w:val=""/>
      <w:lvlJc w:val="left"/>
      <w:pPr>
        <w:tabs>
          <w:tab w:val="num" w:pos="6480"/>
        </w:tabs>
        <w:ind w:left="6480" w:hanging="360"/>
      </w:pPr>
      <w:rPr>
        <w:rFonts w:ascii="Wingdings" w:hAnsi="Wingdings" w:hint="default"/>
      </w:rPr>
    </w:lvl>
  </w:abstractNum>
  <w:abstractNum w:abstractNumId="6">
    <w:nsid w:val="37903F4E"/>
    <w:multiLevelType w:val="hybridMultilevel"/>
    <w:tmpl w:val="C298DD1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379B6719"/>
    <w:multiLevelType w:val="hybridMultilevel"/>
    <w:tmpl w:val="5118827C"/>
    <w:lvl w:ilvl="0" w:tplc="92DA5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64791A"/>
    <w:multiLevelType w:val="hybridMultilevel"/>
    <w:tmpl w:val="5CE084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3583881"/>
    <w:multiLevelType w:val="hybridMultilevel"/>
    <w:tmpl w:val="A2762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AA038A"/>
    <w:multiLevelType w:val="hybridMultilevel"/>
    <w:tmpl w:val="D5FE13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455B046E"/>
    <w:multiLevelType w:val="hybridMultilevel"/>
    <w:tmpl w:val="254ADF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45CA26C3"/>
    <w:multiLevelType w:val="hybridMultilevel"/>
    <w:tmpl w:val="906294F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4C43B9"/>
    <w:multiLevelType w:val="hybridMultilevel"/>
    <w:tmpl w:val="B46619D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4A36B4"/>
    <w:multiLevelType w:val="hybridMultilevel"/>
    <w:tmpl w:val="8E689A9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B55524"/>
    <w:multiLevelType w:val="hybridMultilevel"/>
    <w:tmpl w:val="FC40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700851"/>
    <w:multiLevelType w:val="hybridMultilevel"/>
    <w:tmpl w:val="F81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D34E5E"/>
    <w:multiLevelType w:val="multilevel"/>
    <w:tmpl w:val="42C01A92"/>
    <w:lvl w:ilvl="0">
      <w:start w:val="1"/>
      <w:numFmt w:val="decimal"/>
      <w:lvlText w:val="%1."/>
      <w:lvlJc w:val="left"/>
      <w:pPr>
        <w:ind w:left="2260" w:hanging="1125"/>
      </w:pPr>
      <w:rPr>
        <w:rFonts w:hint="default"/>
      </w:rPr>
    </w:lvl>
    <w:lvl w:ilvl="1">
      <w:start w:val="1"/>
      <w:numFmt w:val="decimal"/>
      <w:isLgl/>
      <w:lvlText w:val="%1.%2"/>
      <w:lvlJc w:val="left"/>
      <w:pPr>
        <w:ind w:left="1690" w:hanging="55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855" w:hanging="72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215" w:hanging="108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575" w:hanging="1440"/>
      </w:pPr>
      <w:rPr>
        <w:rFonts w:hint="default"/>
      </w:rPr>
    </w:lvl>
  </w:abstractNum>
  <w:abstractNum w:abstractNumId="18">
    <w:nsid w:val="5E1A5467"/>
    <w:multiLevelType w:val="multilevel"/>
    <w:tmpl w:val="6DCE05E8"/>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6FB0245"/>
    <w:multiLevelType w:val="hybridMultilevel"/>
    <w:tmpl w:val="76BEEB7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68CC19EB"/>
    <w:multiLevelType w:val="hybridMultilevel"/>
    <w:tmpl w:val="3BDA75B8"/>
    <w:lvl w:ilvl="0" w:tplc="97AE7C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88480E"/>
    <w:multiLevelType w:val="hybridMultilevel"/>
    <w:tmpl w:val="D9F635F4"/>
    <w:lvl w:ilvl="0" w:tplc="0809000F">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B9D2289"/>
    <w:multiLevelType w:val="hybridMultilevel"/>
    <w:tmpl w:val="5290C7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DD7EBE"/>
    <w:multiLevelType w:val="hybridMultilevel"/>
    <w:tmpl w:val="1660CB70"/>
    <w:lvl w:ilvl="0" w:tplc="0409000F">
      <w:start w:val="1"/>
      <w:numFmt w:val="decimal"/>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4">
    <w:nsid w:val="7AA4391E"/>
    <w:multiLevelType w:val="hybridMultilevel"/>
    <w:tmpl w:val="EBE8AEE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6"/>
  </w:num>
  <w:num w:numId="4">
    <w:abstractNumId w:val="11"/>
  </w:num>
  <w:num w:numId="5">
    <w:abstractNumId w:val="0"/>
  </w:num>
  <w:num w:numId="6">
    <w:abstractNumId w:val="13"/>
  </w:num>
  <w:num w:numId="7">
    <w:abstractNumId w:val="5"/>
  </w:num>
  <w:num w:numId="8">
    <w:abstractNumId w:val="12"/>
  </w:num>
  <w:num w:numId="9">
    <w:abstractNumId w:val="1"/>
  </w:num>
  <w:num w:numId="10">
    <w:abstractNumId w:val="22"/>
  </w:num>
  <w:num w:numId="11">
    <w:abstractNumId w:val="15"/>
  </w:num>
  <w:num w:numId="12">
    <w:abstractNumId w:val="20"/>
  </w:num>
  <w:num w:numId="13">
    <w:abstractNumId w:val="7"/>
  </w:num>
  <w:num w:numId="14">
    <w:abstractNumId w:val="10"/>
  </w:num>
  <w:num w:numId="15">
    <w:abstractNumId w:val="8"/>
  </w:num>
  <w:num w:numId="16">
    <w:abstractNumId w:val="19"/>
  </w:num>
  <w:num w:numId="17">
    <w:abstractNumId w:val="2"/>
  </w:num>
  <w:num w:numId="18">
    <w:abstractNumId w:val="18"/>
  </w:num>
  <w:num w:numId="19">
    <w:abstractNumId w:val="23"/>
  </w:num>
  <w:num w:numId="20">
    <w:abstractNumId w:val="24"/>
  </w:num>
  <w:num w:numId="21">
    <w:abstractNumId w:val="14"/>
  </w:num>
  <w:num w:numId="22">
    <w:abstractNumId w:val="4"/>
  </w:num>
  <w:num w:numId="23">
    <w:abstractNumId w:val="17"/>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64EE"/>
    <w:rsid w:val="0001033B"/>
    <w:rsid w:val="0001423F"/>
    <w:rsid w:val="00017FE9"/>
    <w:rsid w:val="000238BA"/>
    <w:rsid w:val="00045929"/>
    <w:rsid w:val="00045D27"/>
    <w:rsid w:val="00051C83"/>
    <w:rsid w:val="00081A77"/>
    <w:rsid w:val="000950B5"/>
    <w:rsid w:val="000A1128"/>
    <w:rsid w:val="000A1FC8"/>
    <w:rsid w:val="000B7673"/>
    <w:rsid w:val="000C613B"/>
    <w:rsid w:val="000D18F5"/>
    <w:rsid w:val="000F2B3C"/>
    <w:rsid w:val="0010645E"/>
    <w:rsid w:val="00133420"/>
    <w:rsid w:val="001438A2"/>
    <w:rsid w:val="0017295E"/>
    <w:rsid w:val="001842A6"/>
    <w:rsid w:val="00186746"/>
    <w:rsid w:val="001A2878"/>
    <w:rsid w:val="001B36E6"/>
    <w:rsid w:val="001C6B56"/>
    <w:rsid w:val="001D4900"/>
    <w:rsid w:val="001D6862"/>
    <w:rsid w:val="001E5BB5"/>
    <w:rsid w:val="00203752"/>
    <w:rsid w:val="00215412"/>
    <w:rsid w:val="00231A60"/>
    <w:rsid w:val="00232343"/>
    <w:rsid w:val="00233999"/>
    <w:rsid w:val="00233D38"/>
    <w:rsid w:val="00240B3B"/>
    <w:rsid w:val="00257C34"/>
    <w:rsid w:val="0026275E"/>
    <w:rsid w:val="00276AB2"/>
    <w:rsid w:val="002876EF"/>
    <w:rsid w:val="002925FE"/>
    <w:rsid w:val="002963BF"/>
    <w:rsid w:val="002D26A8"/>
    <w:rsid w:val="002F72EB"/>
    <w:rsid w:val="003074B0"/>
    <w:rsid w:val="003112F6"/>
    <w:rsid w:val="00314D32"/>
    <w:rsid w:val="00323AF6"/>
    <w:rsid w:val="00326463"/>
    <w:rsid w:val="00335B81"/>
    <w:rsid w:val="00353F75"/>
    <w:rsid w:val="003661A1"/>
    <w:rsid w:val="003768C2"/>
    <w:rsid w:val="003866D6"/>
    <w:rsid w:val="00386A19"/>
    <w:rsid w:val="003A6831"/>
    <w:rsid w:val="003C2176"/>
    <w:rsid w:val="003C2C20"/>
    <w:rsid w:val="003F4C24"/>
    <w:rsid w:val="00402F98"/>
    <w:rsid w:val="00407A41"/>
    <w:rsid w:val="00407CA5"/>
    <w:rsid w:val="004761B2"/>
    <w:rsid w:val="00482CDC"/>
    <w:rsid w:val="00495922"/>
    <w:rsid w:val="004A094A"/>
    <w:rsid w:val="004D184E"/>
    <w:rsid w:val="004D3860"/>
    <w:rsid w:val="004E0B5C"/>
    <w:rsid w:val="004E63E8"/>
    <w:rsid w:val="005112EA"/>
    <w:rsid w:val="005167A3"/>
    <w:rsid w:val="00521C12"/>
    <w:rsid w:val="00554A45"/>
    <w:rsid w:val="00555020"/>
    <w:rsid w:val="00573438"/>
    <w:rsid w:val="00577566"/>
    <w:rsid w:val="005B1BBB"/>
    <w:rsid w:val="005C35E6"/>
    <w:rsid w:val="005F53B4"/>
    <w:rsid w:val="006038F2"/>
    <w:rsid w:val="006145C2"/>
    <w:rsid w:val="00625545"/>
    <w:rsid w:val="00647280"/>
    <w:rsid w:val="00650C71"/>
    <w:rsid w:val="00677D7B"/>
    <w:rsid w:val="006A5DF4"/>
    <w:rsid w:val="006D5809"/>
    <w:rsid w:val="006E69B3"/>
    <w:rsid w:val="006F274C"/>
    <w:rsid w:val="0072395B"/>
    <w:rsid w:val="00723A62"/>
    <w:rsid w:val="007776D4"/>
    <w:rsid w:val="007A7EE1"/>
    <w:rsid w:val="007C420A"/>
    <w:rsid w:val="007D104C"/>
    <w:rsid w:val="007D1205"/>
    <w:rsid w:val="007D7243"/>
    <w:rsid w:val="007E3033"/>
    <w:rsid w:val="007E3146"/>
    <w:rsid w:val="00811641"/>
    <w:rsid w:val="00822499"/>
    <w:rsid w:val="00824BAF"/>
    <w:rsid w:val="00840386"/>
    <w:rsid w:val="00845058"/>
    <w:rsid w:val="00856D31"/>
    <w:rsid w:val="00880078"/>
    <w:rsid w:val="008C1A66"/>
    <w:rsid w:val="008C75C9"/>
    <w:rsid w:val="008D229B"/>
    <w:rsid w:val="008E0D9F"/>
    <w:rsid w:val="008E37FA"/>
    <w:rsid w:val="00902F2E"/>
    <w:rsid w:val="00902FE0"/>
    <w:rsid w:val="00913A32"/>
    <w:rsid w:val="009250B9"/>
    <w:rsid w:val="00933544"/>
    <w:rsid w:val="00936C3A"/>
    <w:rsid w:val="00945736"/>
    <w:rsid w:val="00965BF6"/>
    <w:rsid w:val="00981D85"/>
    <w:rsid w:val="009A2F0E"/>
    <w:rsid w:val="009A3794"/>
    <w:rsid w:val="009D5E3C"/>
    <w:rsid w:val="009E1BC2"/>
    <w:rsid w:val="00A1516A"/>
    <w:rsid w:val="00A22C89"/>
    <w:rsid w:val="00A766AD"/>
    <w:rsid w:val="00AA3765"/>
    <w:rsid w:val="00AC7E47"/>
    <w:rsid w:val="00AD2537"/>
    <w:rsid w:val="00AD3013"/>
    <w:rsid w:val="00AE6DA2"/>
    <w:rsid w:val="00AF0F4A"/>
    <w:rsid w:val="00B10AD5"/>
    <w:rsid w:val="00B13B68"/>
    <w:rsid w:val="00B504FA"/>
    <w:rsid w:val="00B52855"/>
    <w:rsid w:val="00B67CBD"/>
    <w:rsid w:val="00B86743"/>
    <w:rsid w:val="00B97793"/>
    <w:rsid w:val="00BA4C71"/>
    <w:rsid w:val="00BA6866"/>
    <w:rsid w:val="00BB0EF0"/>
    <w:rsid w:val="00BB4BA2"/>
    <w:rsid w:val="00BC4FC2"/>
    <w:rsid w:val="00BC5741"/>
    <w:rsid w:val="00BF1E67"/>
    <w:rsid w:val="00C001D0"/>
    <w:rsid w:val="00C102D6"/>
    <w:rsid w:val="00C20B16"/>
    <w:rsid w:val="00C406B6"/>
    <w:rsid w:val="00C47384"/>
    <w:rsid w:val="00C7437C"/>
    <w:rsid w:val="00C8073A"/>
    <w:rsid w:val="00CA4637"/>
    <w:rsid w:val="00CB1294"/>
    <w:rsid w:val="00CB29A2"/>
    <w:rsid w:val="00CB4344"/>
    <w:rsid w:val="00CF4049"/>
    <w:rsid w:val="00D214B8"/>
    <w:rsid w:val="00D26E95"/>
    <w:rsid w:val="00D330DC"/>
    <w:rsid w:val="00D364EE"/>
    <w:rsid w:val="00D37B57"/>
    <w:rsid w:val="00D50842"/>
    <w:rsid w:val="00D661E4"/>
    <w:rsid w:val="00D90B73"/>
    <w:rsid w:val="00DB008F"/>
    <w:rsid w:val="00DD3360"/>
    <w:rsid w:val="00DE1496"/>
    <w:rsid w:val="00DE43DA"/>
    <w:rsid w:val="00DF2996"/>
    <w:rsid w:val="00E251EC"/>
    <w:rsid w:val="00E7356C"/>
    <w:rsid w:val="00E75740"/>
    <w:rsid w:val="00E75E8D"/>
    <w:rsid w:val="00E81AF9"/>
    <w:rsid w:val="00E924E8"/>
    <w:rsid w:val="00EC280E"/>
    <w:rsid w:val="00EC6FBC"/>
    <w:rsid w:val="00ED4303"/>
    <w:rsid w:val="00EE075D"/>
    <w:rsid w:val="00EF24EC"/>
    <w:rsid w:val="00F05A28"/>
    <w:rsid w:val="00F05DCB"/>
    <w:rsid w:val="00F23195"/>
    <w:rsid w:val="00F80FB7"/>
    <w:rsid w:val="00F84291"/>
    <w:rsid w:val="00F8622D"/>
    <w:rsid w:val="00FA23F8"/>
    <w:rsid w:val="00FB0263"/>
    <w:rsid w:val="00FB7D2F"/>
    <w:rsid w:val="00FC661E"/>
    <w:rsid w:val="00FE41A8"/>
    <w:rsid w:val="00FE723C"/>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paragraph" w:styleId="Heading1">
    <w:name w:val="heading 1"/>
    <w:aliases w:val="Table_G"/>
    <w:basedOn w:val="Normal"/>
    <w:next w:val="Normal"/>
    <w:link w:val="Heading1Char"/>
    <w:qFormat/>
    <w:rsid w:val="009250B9"/>
    <w:pPr>
      <w:suppressAutoHyphens/>
      <w:spacing w:after="0" w:line="240" w:lineRule="auto"/>
      <w:ind w:left="1134"/>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aliases w:val="6_G"/>
    <w:basedOn w:val="Normal"/>
    <w:link w:val="HeaderChar"/>
    <w:unhideWhenUsed/>
    <w:rsid w:val="00495922"/>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 w:type="paragraph" w:customStyle="1" w:styleId="SingleTxtG">
    <w:name w:val="_ Single Txt_G"/>
    <w:basedOn w:val="Normal"/>
    <w:uiPriority w:val="99"/>
    <w:rsid w:val="006E69B3"/>
    <w:pPr>
      <w:suppressAutoHyphens/>
      <w:ind w:left="1134" w:right="1134"/>
      <w:jc w:val="both"/>
    </w:pPr>
    <w:rPr>
      <w:rFonts w:ascii="Times New Roman" w:eastAsia="MS Mincho" w:hAnsi="Times New Roman" w:cs="Times New Roman"/>
      <w:sz w:val="20"/>
      <w:szCs w:val="20"/>
    </w:rPr>
  </w:style>
  <w:style w:type="paragraph" w:customStyle="1" w:styleId="Paragrafoelenco1">
    <w:name w:val="Paragrafo elenco1"/>
    <w:basedOn w:val="Normal"/>
    <w:uiPriority w:val="99"/>
    <w:rsid w:val="006E69B3"/>
    <w:pPr>
      <w:spacing w:after="0" w:line="240" w:lineRule="auto"/>
      <w:ind w:left="720"/>
    </w:pPr>
    <w:rPr>
      <w:rFonts w:ascii="Times New Roman" w:eastAsia="MS Mincho" w:hAnsi="Times New Roman" w:cs="Times New Roman"/>
      <w:sz w:val="24"/>
      <w:szCs w:val="24"/>
    </w:rPr>
  </w:style>
  <w:style w:type="character" w:customStyle="1" w:styleId="Heading1Char">
    <w:name w:val="Heading 1 Char"/>
    <w:aliases w:val="Table_G Char"/>
    <w:basedOn w:val="DefaultParagraphFont"/>
    <w:link w:val="Heading1"/>
    <w:rsid w:val="009250B9"/>
    <w:rPr>
      <w:rFonts w:ascii="Times New Roman" w:eastAsia="Times New Roman" w:hAnsi="Times New Roman" w:cs="Times New Roman"/>
      <w:sz w:val="20"/>
      <w:szCs w:val="20"/>
    </w:rPr>
  </w:style>
  <w:style w:type="paragraph" w:customStyle="1" w:styleId="HChG">
    <w:name w:val="_ H _Ch_G"/>
    <w:basedOn w:val="Normal"/>
    <w:next w:val="Normal"/>
    <w:rsid w:val="009250B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PlainText">
    <w:name w:val="Plain Text"/>
    <w:basedOn w:val="Normal"/>
    <w:link w:val="PlainTextChar"/>
    <w:rsid w:val="009250B9"/>
    <w:pPr>
      <w:suppressAutoHyphens/>
      <w:spacing w:after="0"/>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9250B9"/>
    <w:rPr>
      <w:rFonts w:ascii="Times New Roman" w:eastAsia="Times New Roman" w:hAnsi="Times New Roman" w:cs="Courier New"/>
      <w:sz w:val="20"/>
      <w:szCs w:val="20"/>
    </w:rPr>
  </w:style>
  <w:style w:type="paragraph" w:styleId="NormalWeb">
    <w:name w:val="Normal (Web)"/>
    <w:basedOn w:val="Normal"/>
    <w:uiPriority w:val="99"/>
    <w:semiHidden/>
    <w:unhideWhenUsed/>
    <w:rsid w:val="009250B9"/>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H23G">
    <w:name w:val="_ H_2/3_G"/>
    <w:basedOn w:val="Normal"/>
    <w:next w:val="Normal"/>
    <w:rsid w:val="00FE41A8"/>
    <w:pPr>
      <w:keepNext/>
      <w:keepLines/>
      <w:tabs>
        <w:tab w:val="right" w:pos="851"/>
      </w:tabs>
      <w:suppressAutoHyphens/>
      <w:spacing w:before="240" w:line="240" w:lineRule="exact"/>
      <w:ind w:left="1134" w:right="1134" w:hanging="1134"/>
    </w:pPr>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iPriority w:val="99"/>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2725">
      <w:bodyDiv w:val="1"/>
      <w:marLeft w:val="0"/>
      <w:marRight w:val="0"/>
      <w:marTop w:val="0"/>
      <w:marBottom w:val="0"/>
      <w:divBdr>
        <w:top w:val="none" w:sz="0" w:space="0" w:color="auto"/>
        <w:left w:val="none" w:sz="0" w:space="0" w:color="auto"/>
        <w:bottom w:val="none" w:sz="0" w:space="0" w:color="auto"/>
        <w:right w:val="none" w:sz="0" w:space="0" w:color="auto"/>
      </w:divBdr>
    </w:div>
    <w:div w:id="1595361713">
      <w:bodyDiv w:val="1"/>
      <w:marLeft w:val="0"/>
      <w:marRight w:val="0"/>
      <w:marTop w:val="0"/>
      <w:marBottom w:val="0"/>
      <w:divBdr>
        <w:top w:val="none" w:sz="0" w:space="0" w:color="auto"/>
        <w:left w:val="none" w:sz="0" w:space="0" w:color="auto"/>
        <w:bottom w:val="none" w:sz="0" w:space="0" w:color="auto"/>
        <w:right w:val="none" w:sz="0" w:space="0" w:color="auto"/>
      </w:divBdr>
      <w:divsChild>
        <w:div w:id="1563976883">
          <w:marLeft w:val="288"/>
          <w:marRight w:val="0"/>
          <w:marTop w:val="115"/>
          <w:marBottom w:val="0"/>
          <w:divBdr>
            <w:top w:val="none" w:sz="0" w:space="0" w:color="auto"/>
            <w:left w:val="none" w:sz="0" w:space="0" w:color="auto"/>
            <w:bottom w:val="none" w:sz="0" w:space="0" w:color="auto"/>
            <w:right w:val="none" w:sz="0" w:space="0" w:color="auto"/>
          </w:divBdr>
        </w:div>
        <w:div w:id="1570924232">
          <w:marLeft w:val="288"/>
          <w:marRight w:val="0"/>
          <w:marTop w:val="115"/>
          <w:marBottom w:val="0"/>
          <w:divBdr>
            <w:top w:val="none" w:sz="0" w:space="0" w:color="auto"/>
            <w:left w:val="none" w:sz="0" w:space="0" w:color="auto"/>
            <w:bottom w:val="none" w:sz="0" w:space="0" w:color="auto"/>
            <w:right w:val="none" w:sz="0" w:space="0" w:color="auto"/>
          </w:divBdr>
        </w:div>
        <w:div w:id="644553942">
          <w:marLeft w:val="288"/>
          <w:marRight w:val="0"/>
          <w:marTop w:val="115"/>
          <w:marBottom w:val="0"/>
          <w:divBdr>
            <w:top w:val="none" w:sz="0" w:space="0" w:color="auto"/>
            <w:left w:val="none" w:sz="0" w:space="0" w:color="auto"/>
            <w:bottom w:val="none" w:sz="0" w:space="0" w:color="auto"/>
            <w:right w:val="none" w:sz="0" w:space="0" w:color="auto"/>
          </w:divBdr>
        </w:div>
        <w:div w:id="1011377514">
          <w:marLeft w:val="288"/>
          <w:marRight w:val="0"/>
          <w:marTop w:val="115"/>
          <w:marBottom w:val="0"/>
          <w:divBdr>
            <w:top w:val="none" w:sz="0" w:space="0" w:color="auto"/>
            <w:left w:val="none" w:sz="0" w:space="0" w:color="auto"/>
            <w:bottom w:val="none" w:sz="0" w:space="0" w:color="auto"/>
            <w:right w:val="none" w:sz="0" w:space="0" w:color="auto"/>
          </w:divBdr>
        </w:div>
        <w:div w:id="896168800">
          <w:marLeft w:val="288"/>
          <w:marRight w:val="0"/>
          <w:marTop w:val="115"/>
          <w:marBottom w:val="0"/>
          <w:divBdr>
            <w:top w:val="none" w:sz="0" w:space="0" w:color="auto"/>
            <w:left w:val="none" w:sz="0" w:space="0" w:color="auto"/>
            <w:bottom w:val="none" w:sz="0" w:space="0" w:color="auto"/>
            <w:right w:val="none" w:sz="0" w:space="0" w:color="auto"/>
          </w:divBdr>
        </w:div>
        <w:div w:id="1632437423">
          <w:marLeft w:val="288"/>
          <w:marRight w:val="0"/>
          <w:marTop w:val="115"/>
          <w:marBottom w:val="0"/>
          <w:divBdr>
            <w:top w:val="none" w:sz="0" w:space="0" w:color="auto"/>
            <w:left w:val="none" w:sz="0" w:space="0" w:color="auto"/>
            <w:bottom w:val="none" w:sz="0" w:space="0" w:color="auto"/>
            <w:right w:val="none" w:sz="0" w:space="0" w:color="auto"/>
          </w:divBdr>
        </w:div>
        <w:div w:id="1088767809">
          <w:marLeft w:val="547"/>
          <w:marRight w:val="0"/>
          <w:marTop w:val="106"/>
          <w:marBottom w:val="0"/>
          <w:divBdr>
            <w:top w:val="none" w:sz="0" w:space="0" w:color="auto"/>
            <w:left w:val="none" w:sz="0" w:space="0" w:color="auto"/>
            <w:bottom w:val="none" w:sz="0" w:space="0" w:color="auto"/>
            <w:right w:val="none" w:sz="0" w:space="0" w:color="auto"/>
          </w:divBdr>
        </w:div>
        <w:div w:id="770322674">
          <w:marLeft w:val="547"/>
          <w:marRight w:val="0"/>
          <w:marTop w:val="106"/>
          <w:marBottom w:val="0"/>
          <w:divBdr>
            <w:top w:val="none" w:sz="0" w:space="0" w:color="auto"/>
            <w:left w:val="none" w:sz="0" w:space="0" w:color="auto"/>
            <w:bottom w:val="none" w:sz="0" w:space="0" w:color="auto"/>
            <w:right w:val="none" w:sz="0" w:space="0" w:color="auto"/>
          </w:divBdr>
        </w:div>
        <w:div w:id="100408985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529</Words>
  <Characters>3020</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draperoffice</dc:creator>
  <cp:lastModifiedBy>Konstantin Glukhenkiy</cp:lastModifiedBy>
  <cp:revision>7</cp:revision>
  <dcterms:created xsi:type="dcterms:W3CDTF">2017-03-24T07:48:00Z</dcterms:created>
  <dcterms:modified xsi:type="dcterms:W3CDTF">2017-03-30T08:08:00Z</dcterms:modified>
</cp:coreProperties>
</file>