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045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045EC" w:rsidP="00B045EC">
            <w:pPr>
              <w:jc w:val="right"/>
            </w:pPr>
            <w:r w:rsidRPr="00B045EC">
              <w:rPr>
                <w:sz w:val="40"/>
              </w:rPr>
              <w:t>ECE</w:t>
            </w:r>
            <w:r>
              <w:t>/TRANS/WP.29/GRE/2017/8</w:t>
            </w:r>
          </w:p>
        </w:tc>
      </w:tr>
      <w:tr w:rsidR="002D5AAC" w:rsidRPr="00B045E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045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045EC" w:rsidRDefault="00B045EC" w:rsidP="00B045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2017</w:t>
            </w:r>
          </w:p>
          <w:p w:rsidR="00B045EC" w:rsidRDefault="00B045EC" w:rsidP="00B045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045EC" w:rsidRPr="008D53B6" w:rsidRDefault="00B045EC" w:rsidP="00B045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91B23" w:rsidRPr="00C91B23" w:rsidRDefault="00C91B23" w:rsidP="00C91B23">
      <w:pPr>
        <w:spacing w:before="120"/>
        <w:rPr>
          <w:sz w:val="28"/>
          <w:szCs w:val="28"/>
        </w:rPr>
      </w:pPr>
      <w:r w:rsidRPr="00C91B23">
        <w:rPr>
          <w:sz w:val="28"/>
          <w:szCs w:val="28"/>
        </w:rPr>
        <w:t>Комитет по внутреннему транспорту</w:t>
      </w:r>
    </w:p>
    <w:p w:rsidR="00C91B23" w:rsidRPr="00C91B23" w:rsidRDefault="00C91B23" w:rsidP="00C91B23">
      <w:pPr>
        <w:spacing w:before="120"/>
        <w:rPr>
          <w:b/>
          <w:bCs/>
          <w:sz w:val="24"/>
          <w:szCs w:val="24"/>
        </w:rPr>
      </w:pPr>
      <w:r w:rsidRPr="00C91B23">
        <w:rPr>
          <w:b/>
          <w:bCs/>
          <w:sz w:val="24"/>
          <w:szCs w:val="24"/>
        </w:rPr>
        <w:t xml:space="preserve">Всемирный форум для согласования </w:t>
      </w:r>
      <w:r>
        <w:rPr>
          <w:b/>
          <w:bCs/>
          <w:sz w:val="24"/>
          <w:szCs w:val="24"/>
        </w:rPr>
        <w:br/>
      </w:r>
      <w:r w:rsidRPr="00C91B23">
        <w:rPr>
          <w:b/>
          <w:bCs/>
          <w:sz w:val="24"/>
          <w:szCs w:val="24"/>
        </w:rPr>
        <w:t>правил в области транспортных средств</w:t>
      </w:r>
    </w:p>
    <w:p w:rsidR="00C91B23" w:rsidRPr="00C91B23" w:rsidRDefault="00C91B23" w:rsidP="00C91B23">
      <w:pPr>
        <w:spacing w:before="120"/>
        <w:rPr>
          <w:b/>
          <w:bCs/>
        </w:rPr>
      </w:pPr>
      <w:r w:rsidRPr="00C91B23">
        <w:rPr>
          <w:b/>
          <w:bCs/>
        </w:rPr>
        <w:t xml:space="preserve">Рабочая группа по вопросам освещения </w:t>
      </w:r>
      <w:r w:rsidR="00910B1B">
        <w:rPr>
          <w:b/>
          <w:bCs/>
        </w:rPr>
        <w:br/>
      </w:r>
      <w:r w:rsidRPr="00C91B23">
        <w:rPr>
          <w:b/>
          <w:bCs/>
        </w:rPr>
        <w:t>и световой сигнализации</w:t>
      </w:r>
    </w:p>
    <w:p w:rsidR="00C91B23" w:rsidRPr="00C91B23" w:rsidRDefault="00C91B23" w:rsidP="00C91B23">
      <w:pPr>
        <w:spacing w:before="120"/>
        <w:rPr>
          <w:b/>
          <w:bCs/>
        </w:rPr>
      </w:pPr>
      <w:r w:rsidRPr="00C91B23">
        <w:rPr>
          <w:b/>
          <w:bCs/>
        </w:rPr>
        <w:t>Семьдесят восьмая сессия</w:t>
      </w:r>
    </w:p>
    <w:p w:rsidR="00C91B23" w:rsidRPr="00C91B23" w:rsidRDefault="00C91B23" w:rsidP="00C91B23">
      <w:r w:rsidRPr="00C91B23">
        <w:t>Женева, 24–27 октября 2017 года</w:t>
      </w:r>
    </w:p>
    <w:p w:rsidR="00C91B23" w:rsidRPr="00C91B23" w:rsidRDefault="00C91B23" w:rsidP="00C91B23">
      <w:pPr>
        <w:rPr>
          <w:b/>
          <w:bCs/>
        </w:rPr>
      </w:pPr>
      <w:r w:rsidRPr="00C91B23">
        <w:t>Пункт 1 предварительной повестки дня</w:t>
      </w:r>
    </w:p>
    <w:p w:rsidR="00C91B23" w:rsidRPr="00C91B23" w:rsidRDefault="00C91B23" w:rsidP="00C91B23">
      <w:pPr>
        <w:rPr>
          <w:b/>
        </w:rPr>
      </w:pPr>
      <w:r w:rsidRPr="00C91B23">
        <w:rPr>
          <w:b/>
          <w:bCs/>
        </w:rPr>
        <w:t>Утверждение повестки дня</w:t>
      </w:r>
    </w:p>
    <w:p w:rsidR="00C91B23" w:rsidRPr="00C91B23" w:rsidRDefault="00C91B23" w:rsidP="00C91B23">
      <w:pPr>
        <w:pStyle w:val="HChGR"/>
      </w:pPr>
      <w:bookmarkStart w:id="1" w:name="OLE_LINK2"/>
      <w:r w:rsidRPr="00C91B23">
        <w:tab/>
      </w:r>
      <w:r w:rsidRPr="00C91B23">
        <w:tab/>
        <w:t>Аннотированная предварительная повестка дня семьдесят восьмой сессии</w:t>
      </w:r>
      <w:r w:rsidRPr="00C91B2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91B23">
        <w:rPr>
          <w:b w:val="0"/>
          <w:sz w:val="20"/>
        </w:rPr>
        <w:t xml:space="preserve"> </w:t>
      </w:r>
      <w:r w:rsidRPr="00C91B2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C91B23">
        <w:t xml:space="preserve">, </w:t>
      </w:r>
      <w:bookmarkEnd w:id="1"/>
    </w:p>
    <w:p w:rsidR="00C91B23" w:rsidRPr="00C91B23" w:rsidRDefault="00C91B23" w:rsidP="00C91B23">
      <w:pPr>
        <w:pStyle w:val="SingleTxtGR"/>
      </w:pPr>
      <w:r w:rsidRPr="00C91B23">
        <w:t>которая состоится во Дворце Наций в Женеве, начнется в 09 ч. 30 м. 24 октября 2017 года и завершится в 12 ч. 30 м. 27 октября 2017 года</w:t>
      </w:r>
    </w:p>
    <w:p w:rsidR="00C91B23" w:rsidRPr="00C91B23" w:rsidRDefault="00C91B23" w:rsidP="00C91B23">
      <w:pPr>
        <w:pStyle w:val="HChGR"/>
      </w:pPr>
      <w:r w:rsidRPr="00C91B23">
        <w:tab/>
        <w:t>I.</w:t>
      </w:r>
      <w:r w:rsidRPr="00C91B23">
        <w:tab/>
        <w:t>Предварительная повестка дня</w:t>
      </w:r>
    </w:p>
    <w:p w:rsidR="00C91B23" w:rsidRPr="00C91B23" w:rsidRDefault="00C91B23" w:rsidP="00C91B23">
      <w:pPr>
        <w:pStyle w:val="SingleTxtGR"/>
      </w:pPr>
      <w:r w:rsidRPr="00C91B23">
        <w:t>1.</w:t>
      </w:r>
      <w:r w:rsidRPr="00C91B23">
        <w:tab/>
        <w:t>Утверждение повестки дня.</w:t>
      </w:r>
    </w:p>
    <w:p w:rsidR="00C91B23" w:rsidRPr="00C91B23" w:rsidRDefault="00C91B23" w:rsidP="00C91B23">
      <w:pPr>
        <w:pStyle w:val="SingleTxtGR"/>
      </w:pPr>
      <w:r w:rsidRPr="00C91B23">
        <w:t>2.</w:t>
      </w:r>
      <w:r w:rsidRPr="00C91B23">
        <w:tab/>
        <w:t>Соглашение 1998 года − глобальные технические правила: разработка.</w:t>
      </w:r>
    </w:p>
    <w:p w:rsidR="00C91B23" w:rsidRPr="00C91B23" w:rsidRDefault="00C91B23" w:rsidP="00C91B23">
      <w:pPr>
        <w:pStyle w:val="SingleTxtGR"/>
      </w:pPr>
      <w:r w:rsidRPr="00C91B23">
        <w:t>3.</w:t>
      </w:r>
      <w:r w:rsidRPr="00C91B23">
        <w:tab/>
        <w:t>Соглашение 1997 года – предписания: разработка.</w:t>
      </w:r>
    </w:p>
    <w:p w:rsidR="00C91B23" w:rsidRPr="00C91B23" w:rsidRDefault="00C91B23" w:rsidP="00C91B23">
      <w:pPr>
        <w:pStyle w:val="SingleTxtGR"/>
      </w:pPr>
      <w:r w:rsidRPr="00C91B23">
        <w:lastRenderedPageBreak/>
        <w:t>4.</w:t>
      </w:r>
      <w:r w:rsidRPr="00C91B23">
        <w:tab/>
        <w:t>Упрощение правил, касающихся освещения и световой сигнализации.</w:t>
      </w:r>
    </w:p>
    <w:p w:rsidR="00C91B23" w:rsidRPr="00C91B23" w:rsidRDefault="00C91B23" w:rsidP="00C40AA0">
      <w:pPr>
        <w:pStyle w:val="SingleTxtGR"/>
        <w:ind w:left="1701" w:hanging="567"/>
      </w:pPr>
      <w:r w:rsidRPr="00C91B23">
        <w:t>5.</w:t>
      </w:r>
      <w:r w:rsidRPr="00C91B23">
        <w:tab/>
        <w:t>Правила № 37 (лампы накаливания), 99 (газоразрядные источники света), 128 (</w:t>
      </w:r>
      <w:r w:rsidRPr="00910B1B">
        <w:t>источники света на светоизлучающих диодах</w:t>
      </w:r>
      <w:r w:rsidRPr="00C91B23">
        <w:t>) и Сводная резолюция по общей спецификации для категорий источников света.</w:t>
      </w:r>
    </w:p>
    <w:p w:rsidR="00C91B23" w:rsidRPr="00C91B23" w:rsidRDefault="00C91B23" w:rsidP="00C40AA0">
      <w:pPr>
        <w:pStyle w:val="SingleTxtGR"/>
        <w:ind w:left="1701" w:hanging="567"/>
      </w:pPr>
      <w:r w:rsidRPr="00C91B23">
        <w:t>6.</w:t>
      </w:r>
      <w:r w:rsidRPr="00C91B23">
        <w:tab/>
        <w:t>Правила № 48 (установка устройств освещения и световой сигнализ</w:t>
      </w:r>
      <w:r w:rsidRPr="00C91B23">
        <w:t>а</w:t>
      </w:r>
      <w:r w:rsidRPr="00C91B23">
        <w:t>ции):</w:t>
      </w:r>
    </w:p>
    <w:p w:rsidR="00C91B23" w:rsidRPr="00C91B23" w:rsidRDefault="00C91B23" w:rsidP="00C40AA0">
      <w:pPr>
        <w:pStyle w:val="SingleTxtGR"/>
        <w:ind w:left="1701" w:hanging="567"/>
      </w:pPr>
      <w:r w:rsidRPr="00C91B23">
        <w:tab/>
        <w:t>a)</w:t>
      </w:r>
      <w:r w:rsidRPr="00C91B23">
        <w:tab/>
        <w:t>предложения по поправкам к поправкам серии 05 и 06;</w:t>
      </w:r>
    </w:p>
    <w:p w:rsidR="00C91B23" w:rsidRPr="00C91B23" w:rsidRDefault="00C91B23" w:rsidP="00C40AA0">
      <w:pPr>
        <w:pStyle w:val="SingleTxtGR"/>
        <w:ind w:left="1701" w:hanging="567"/>
      </w:pPr>
      <w:r w:rsidRPr="00C91B23">
        <w:tab/>
        <w:t>b)</w:t>
      </w:r>
      <w:r w:rsidRPr="00C91B23">
        <w:tab/>
        <w:t>прочие предложения по поправкам к Правилам № 48.</w:t>
      </w:r>
    </w:p>
    <w:p w:rsidR="00C91B23" w:rsidRPr="00C91B23" w:rsidRDefault="00C91B23" w:rsidP="00C40AA0">
      <w:pPr>
        <w:pStyle w:val="SingleTxtGR"/>
        <w:ind w:left="1701" w:hanging="567"/>
      </w:pPr>
      <w:r w:rsidRPr="00C91B23">
        <w:t>7.</w:t>
      </w:r>
      <w:r w:rsidRPr="00C91B23">
        <w:tab/>
        <w:t>Другие правила:</w:t>
      </w:r>
    </w:p>
    <w:p w:rsidR="00C91B23" w:rsidRPr="00C91B23" w:rsidRDefault="00C40AA0" w:rsidP="00C40AA0">
      <w:pPr>
        <w:pStyle w:val="SingleTxtGR"/>
        <w:ind w:left="1701" w:hanging="567"/>
      </w:pPr>
      <w:r>
        <w:tab/>
      </w:r>
      <w:r w:rsidR="00C91B23" w:rsidRPr="00C91B23">
        <w:t>a)</w:t>
      </w:r>
      <w:r w:rsidR="00C91B23" w:rsidRPr="00C91B23">
        <w:tab/>
        <w:t>Правила № 10 (электромагнитная совместимость);</w:t>
      </w:r>
    </w:p>
    <w:p w:rsidR="00C91B23" w:rsidRPr="00C91B23" w:rsidRDefault="00C40AA0" w:rsidP="00C40AA0">
      <w:pPr>
        <w:pStyle w:val="SingleTxtGR"/>
        <w:ind w:left="2268" w:hanging="1134"/>
      </w:pPr>
      <w:r>
        <w:tab/>
      </w:r>
      <w:r w:rsidR="00C91B23" w:rsidRPr="00C91B23">
        <w:t>b)</w:t>
      </w:r>
      <w:r w:rsidR="00C91B23" w:rsidRPr="00C91B23">
        <w:tab/>
        <w:t>Правила № 53 (установка устройств освещения и световой сигн</w:t>
      </w:r>
      <w:r w:rsidR="00C91B23" w:rsidRPr="00C91B23">
        <w:t>а</w:t>
      </w:r>
      <w:r w:rsidR="00C91B23" w:rsidRPr="00C91B23">
        <w:t>лизации для транспортных средств категории L</w:t>
      </w:r>
      <w:r w:rsidR="00C91B23" w:rsidRPr="00C91B23">
        <w:rPr>
          <w:vertAlign w:val="subscript"/>
        </w:rPr>
        <w:t>3</w:t>
      </w:r>
      <w:r w:rsidR="00C91B23" w:rsidRPr="00C91B23">
        <w:t>)</w:t>
      </w:r>
      <w:r w:rsidR="00910B1B">
        <w:t>.</w:t>
      </w:r>
    </w:p>
    <w:p w:rsidR="00C91B23" w:rsidRPr="00C91B23" w:rsidRDefault="00C91B23" w:rsidP="00C91B23">
      <w:pPr>
        <w:pStyle w:val="SingleTxtGR"/>
      </w:pPr>
      <w:r w:rsidRPr="00C91B23">
        <w:t>8.</w:t>
      </w:r>
      <w:r w:rsidRPr="00C91B23">
        <w:tab/>
        <w:t>Прочие вопросы:</w:t>
      </w:r>
    </w:p>
    <w:p w:rsidR="00C91B23" w:rsidRPr="00C91B23" w:rsidRDefault="00C91B23" w:rsidP="00C91B23">
      <w:pPr>
        <w:pStyle w:val="SingleTxtGR"/>
      </w:pPr>
      <w:r w:rsidRPr="00C91B23">
        <w:tab/>
        <w:t>a)</w:t>
      </w:r>
      <w:r w:rsidRPr="00C91B23">
        <w:tab/>
        <w:t>поправки к Конвенции о дорожном движении (Вена, 1968 год);</w:t>
      </w:r>
    </w:p>
    <w:p w:rsidR="00C91B23" w:rsidRPr="00C91B23" w:rsidRDefault="00C91B23" w:rsidP="00C40AA0">
      <w:pPr>
        <w:pStyle w:val="SingleTxtGR"/>
        <w:ind w:left="2268" w:hanging="1134"/>
      </w:pPr>
      <w:r w:rsidRPr="00C91B23">
        <w:tab/>
        <w:t>b)</w:t>
      </w:r>
      <w:r w:rsidRPr="00C91B23">
        <w:tab/>
        <w:t>Десятилетие действий по обеспечению безопасности дорожного движения на 2011−2020 годы;</w:t>
      </w:r>
    </w:p>
    <w:p w:rsidR="00C91B23" w:rsidRPr="00C91B23" w:rsidRDefault="00C91B23" w:rsidP="00C40AA0">
      <w:pPr>
        <w:pStyle w:val="SingleTxtGR"/>
        <w:ind w:left="2268" w:hanging="1134"/>
      </w:pPr>
      <w:r w:rsidRPr="00C91B23">
        <w:tab/>
        <w:t>c)</w:t>
      </w:r>
      <w:r w:rsidRPr="00C91B23">
        <w:tab/>
        <w:t>разработка международной системы официального утверждения типа комплектного транспортного средства;</w:t>
      </w:r>
    </w:p>
    <w:p w:rsidR="00C91B23" w:rsidRPr="00C91B23" w:rsidRDefault="00C91B23" w:rsidP="00C91B23">
      <w:pPr>
        <w:pStyle w:val="SingleTxtGR"/>
      </w:pPr>
      <w:r w:rsidRPr="00C91B23">
        <w:tab/>
        <w:t>d)</w:t>
      </w:r>
      <w:r w:rsidRPr="00C91B23">
        <w:tab/>
        <w:t>паразитный свет и обесцвечивание.</w:t>
      </w:r>
    </w:p>
    <w:p w:rsidR="00C91B23" w:rsidRPr="00C91B23" w:rsidRDefault="00C91B23" w:rsidP="00C91B23">
      <w:pPr>
        <w:pStyle w:val="SingleTxtGR"/>
      </w:pPr>
      <w:r w:rsidRPr="00C91B23">
        <w:t>9.</w:t>
      </w:r>
      <w:r w:rsidRPr="00C91B23">
        <w:tab/>
        <w:t>Новые вопросы и позднее представление документов.</w:t>
      </w:r>
    </w:p>
    <w:p w:rsidR="00C91B23" w:rsidRPr="00C91B23" w:rsidRDefault="00C91B23" w:rsidP="00C91B23">
      <w:pPr>
        <w:pStyle w:val="SingleTxtGR"/>
      </w:pPr>
      <w:r w:rsidRPr="00C91B23">
        <w:t>10.</w:t>
      </w:r>
      <w:r w:rsidRPr="00C91B23">
        <w:tab/>
        <w:t>Направления будущей работы GRE.</w:t>
      </w:r>
    </w:p>
    <w:p w:rsidR="00C91B23" w:rsidRPr="00C91B23" w:rsidRDefault="00C91B23" w:rsidP="00C91B23">
      <w:pPr>
        <w:pStyle w:val="SingleTxtGR"/>
      </w:pPr>
      <w:r w:rsidRPr="00C91B23">
        <w:t>11.</w:t>
      </w:r>
      <w:r w:rsidRPr="00C91B23">
        <w:tab/>
        <w:t xml:space="preserve">Предварительная повестка </w:t>
      </w:r>
      <w:r w:rsidR="00910B1B">
        <w:t xml:space="preserve">дня </w:t>
      </w:r>
      <w:r w:rsidRPr="00C91B23">
        <w:t xml:space="preserve">следующей сессии. </w:t>
      </w:r>
    </w:p>
    <w:p w:rsidR="00C91B23" w:rsidRPr="00C91B23" w:rsidRDefault="00C91B23" w:rsidP="00C91B23">
      <w:pPr>
        <w:pStyle w:val="SingleTxtGR"/>
      </w:pPr>
      <w:r w:rsidRPr="00C91B23">
        <w:t>12.</w:t>
      </w:r>
      <w:r w:rsidRPr="00C91B23">
        <w:tab/>
        <w:t>Выборы должностных лиц.</w:t>
      </w:r>
    </w:p>
    <w:p w:rsidR="00C91B23" w:rsidRPr="00C91B23" w:rsidRDefault="00C91B23" w:rsidP="00C40AA0">
      <w:pPr>
        <w:pStyle w:val="HChGR"/>
      </w:pPr>
      <w:r w:rsidRPr="00C91B23">
        <w:tab/>
        <w:t>II.</w:t>
      </w:r>
      <w:r w:rsidRPr="00C91B23">
        <w:tab/>
        <w:t>Aннотации</w:t>
      </w:r>
    </w:p>
    <w:p w:rsidR="00C91B23" w:rsidRPr="00C91B23" w:rsidRDefault="00C91B23" w:rsidP="00C40AA0">
      <w:pPr>
        <w:pStyle w:val="H1GR"/>
      </w:pPr>
      <w:r w:rsidRPr="00C91B23">
        <w:tab/>
        <w:t>1.</w:t>
      </w:r>
      <w:r w:rsidRPr="00C91B23">
        <w:tab/>
        <w:t>Утверждение повестки дня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</w:t>
      </w:r>
      <w:r w:rsidR="00C91B23" w:rsidRPr="00C91B23">
        <w:t>о</w:t>
      </w:r>
      <w:r w:rsidR="00C91B23" w:rsidRPr="00C91B23">
        <w:t>вестки дня является ее утверждение.</w:t>
      </w:r>
    </w:p>
    <w:p w:rsidR="00C91B23" w:rsidRPr="00C91B23" w:rsidRDefault="00C91B23" w:rsidP="00C91B23">
      <w:pPr>
        <w:pStyle w:val="SingleTxtGR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 xml:space="preserve"> </w:t>
      </w:r>
      <w:r w:rsidRPr="00C91B23">
        <w:tab/>
        <w:t>ECE/TRANS/WP.29/GRE/2017/8</w:t>
      </w:r>
    </w:p>
    <w:p w:rsidR="00C91B23" w:rsidRPr="00C91B23" w:rsidRDefault="00C91B23" w:rsidP="00C40AA0">
      <w:pPr>
        <w:pStyle w:val="H1GR"/>
      </w:pPr>
      <w:r w:rsidRPr="00C91B23">
        <w:tab/>
        <w:t>2.</w:t>
      </w:r>
      <w:r w:rsidRPr="00C91B23">
        <w:tab/>
        <w:t>Соглашение 1998 года − глобальные технические правила: разработка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Рабочая группа по вопросам освещения и световой сигнализации (GRE), возможно, пожелает возобновить рассмотрение этого вопроса в ожидании н</w:t>
      </w:r>
      <w:r w:rsidR="00C91B23" w:rsidRPr="00C91B23">
        <w:t>о</w:t>
      </w:r>
      <w:r w:rsidR="00C91B23" w:rsidRPr="00C91B23">
        <w:t>вых предложений и спонсоров для разработки глобальных технических правил.</w:t>
      </w:r>
    </w:p>
    <w:p w:rsidR="00C91B23" w:rsidRPr="00C91B23" w:rsidRDefault="00C91B23" w:rsidP="00C91B23">
      <w:pPr>
        <w:pStyle w:val="SingleTxtGR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 xml:space="preserve"> </w:t>
      </w:r>
      <w:r w:rsidRPr="00C91B23">
        <w:tab/>
        <w:t>ECE/TRANS/WP.29/GRE/71, пункт 5</w:t>
      </w:r>
    </w:p>
    <w:p w:rsidR="00C91B23" w:rsidRPr="00C91B23" w:rsidRDefault="00C91B23" w:rsidP="00C40AA0">
      <w:pPr>
        <w:pStyle w:val="H1GR"/>
      </w:pPr>
      <w:r w:rsidRPr="00C91B23">
        <w:tab/>
        <w:t>3.</w:t>
      </w:r>
      <w:r w:rsidRPr="00C91B23">
        <w:tab/>
        <w:t>Соглашение 1997 года – предписания: разработка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GRE будет проинформирована о поправках к предписаниям № 1 и 2, пр</w:t>
      </w:r>
      <w:r w:rsidR="00C91B23" w:rsidRPr="00C91B23">
        <w:t>и</w:t>
      </w:r>
      <w:r w:rsidR="00C91B23" w:rsidRPr="00C91B23">
        <w:t>нятых в июне 2017 года.</w:t>
      </w:r>
    </w:p>
    <w:p w:rsidR="00C91B23" w:rsidRPr="00C91B23" w:rsidRDefault="00C91B23" w:rsidP="00C91B23">
      <w:pPr>
        <w:pStyle w:val="SingleTxtGR"/>
        <w:rPr>
          <w:lang w:val="en-GB"/>
        </w:rPr>
      </w:pPr>
      <w:r w:rsidRPr="00C40AA0">
        <w:rPr>
          <w:b/>
          <w:bCs/>
        </w:rPr>
        <w:t>Документация</w:t>
      </w:r>
      <w:r w:rsidRPr="00C40AA0">
        <w:rPr>
          <w:b/>
          <w:lang w:val="en-US"/>
        </w:rPr>
        <w:t>:</w:t>
      </w:r>
      <w:r w:rsidRPr="00C91B23">
        <w:rPr>
          <w:lang w:val="en-US"/>
        </w:rPr>
        <w:t xml:space="preserve"> </w:t>
      </w:r>
      <w:r w:rsidRPr="00C91B23">
        <w:rPr>
          <w:lang w:val="en-US"/>
        </w:rPr>
        <w:tab/>
        <w:t xml:space="preserve">ECE/TRANS/WP.29/2017/90, ECE/TRANS/WP.29/2017/91 </w:t>
      </w:r>
    </w:p>
    <w:p w:rsidR="00C91B23" w:rsidRPr="00C91B23" w:rsidRDefault="00C91B23" w:rsidP="00C40AA0">
      <w:pPr>
        <w:pStyle w:val="H1GR"/>
      </w:pPr>
      <w:r w:rsidRPr="00C91B23">
        <w:rPr>
          <w:lang w:val="en-US"/>
        </w:rPr>
        <w:lastRenderedPageBreak/>
        <w:tab/>
      </w:r>
      <w:r w:rsidRPr="00C91B23">
        <w:t>4.</w:t>
      </w:r>
      <w:r w:rsidRPr="00C91B23">
        <w:tab/>
        <w:t>Упрощение правил, касающихся освещения и световой сигнализации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GRE будет проинформирована о ходе работ</w:t>
      </w:r>
      <w:r>
        <w:t>ы неофициальной рабочей группы «</w:t>
      </w:r>
      <w:r w:rsidR="00C91B23" w:rsidRPr="00C91B23">
        <w:t>Упрощение правил, касающихся устройств освещения и световой си</w:t>
      </w:r>
      <w:r w:rsidR="00C91B23" w:rsidRPr="00C91B23">
        <w:t>г</w:t>
      </w:r>
      <w:r w:rsidR="00C91B23" w:rsidRPr="00C91B23">
        <w:t>нализации</w:t>
      </w:r>
      <w:r>
        <w:t>»</w:t>
      </w:r>
      <w:r w:rsidR="00C91B23" w:rsidRPr="00C91B23">
        <w:t xml:space="preserve"> (НРГ по УПО) по подготовке трех новых упрощенных правил, к</w:t>
      </w:r>
      <w:r w:rsidR="00C91B23" w:rsidRPr="00C91B23">
        <w:t>а</w:t>
      </w:r>
      <w:r w:rsidR="00C91B23" w:rsidRPr="00C91B23">
        <w:t>сающихся устройств световой сигнализации (УСС), устройств освещения дор</w:t>
      </w:r>
      <w:r w:rsidR="00C91B23" w:rsidRPr="00C91B23">
        <w:t>о</w:t>
      </w:r>
      <w:r w:rsidR="00C91B23" w:rsidRPr="00C91B23">
        <w:t>ги (УОД) и светоотражающих устройств (СОУ). GRE рассмотрит проект правил по УСС, подготовленный НРГ по УПО.</w:t>
      </w:r>
    </w:p>
    <w:p w:rsidR="00C91B23" w:rsidRPr="00C91B23" w:rsidRDefault="00C91B23" w:rsidP="00C91B23">
      <w:pPr>
        <w:pStyle w:val="SingleTxtGR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 xml:space="preserve"> </w:t>
      </w:r>
      <w:r w:rsidRPr="00C91B23">
        <w:tab/>
        <w:t>ECE/TRANS/WP.29/GRE/2017/9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Кроме того, НРГ по УПО подготовила проект поправок к Правилам № 48, в котором сгруппированы определения существующих правил и приведены ссылки на новые упрощенные правила.</w:t>
      </w:r>
    </w:p>
    <w:p w:rsidR="00C91B23" w:rsidRPr="00C91B23" w:rsidRDefault="00C91B23" w:rsidP="00C40AA0">
      <w:pPr>
        <w:pStyle w:val="SingleTxtGR"/>
        <w:ind w:left="2835" w:hanging="1701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 xml:space="preserve"> </w:t>
      </w:r>
      <w:r w:rsidRPr="00C91B23">
        <w:tab/>
        <w:t>ECE/TRANS/WP.29/GRE/2017/10, ECE/TRANS/WP.29/GRE/2017/11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GRE обсудит также новые переходные положения правил № 3, 4, 6, 7, 19, 23, 27, 38, 50, 69, 70, 77, 87, 91, 98, 104, 112, 113, 119 и 123, подготовленные НРГ по УПО в связи с введением новых упрощенных правил.</w:t>
      </w:r>
    </w:p>
    <w:p w:rsidR="00C91B23" w:rsidRPr="00C91B23" w:rsidRDefault="00C91B23" w:rsidP="00C91B23">
      <w:pPr>
        <w:pStyle w:val="SingleTxtGR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 xml:space="preserve"> </w:t>
      </w:r>
      <w:r w:rsidRPr="00C91B23">
        <w:tab/>
        <w:t>ECE/TRANS/WP.29/GRE/2017/13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Наконец, GRE, возможно, пожелает рассмотреть предложения, предста</w:t>
      </w:r>
      <w:r w:rsidR="00C91B23" w:rsidRPr="00C91B23">
        <w:t>в</w:t>
      </w:r>
      <w:r w:rsidR="00C91B23" w:rsidRPr="00C91B23">
        <w:t>ленные экспертом от Международной группы экспертов по вопросам автом</w:t>
      </w:r>
      <w:r w:rsidR="00C91B23" w:rsidRPr="00C91B23">
        <w:t>о</w:t>
      </w:r>
      <w:r w:rsidR="00C91B23" w:rsidRPr="00C91B23">
        <w:t>бильного освещения и световой сигнализации (БРГ) в целях введения</w:t>
      </w:r>
      <w:r w:rsidR="00C91B23" w:rsidRPr="00C91B23">
        <w:rPr>
          <w:i/>
          <w:iCs/>
        </w:rPr>
        <w:t xml:space="preserve"> </w:t>
      </w:r>
      <w:r w:rsidR="00C91B23" w:rsidRPr="00C91B23">
        <w:t>альтерн</w:t>
      </w:r>
      <w:r w:rsidR="00C91B23" w:rsidRPr="00C91B23">
        <w:t>а</w:t>
      </w:r>
      <w:r w:rsidR="00C91B23" w:rsidRPr="00C91B23">
        <w:t xml:space="preserve">тивных светоизлучающих диодов (СИД) и сменных источников света в новых правилах по УСС и УОД. </w:t>
      </w:r>
    </w:p>
    <w:p w:rsidR="00C91B23" w:rsidRPr="00C91B23" w:rsidRDefault="00C91B23" w:rsidP="00C40AA0">
      <w:pPr>
        <w:pStyle w:val="SingleTxtGR"/>
        <w:ind w:left="2835" w:hanging="1701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ab/>
        <w:t>ECE/TRANS/WP.29/GRE/2017/14, ECE/TRANS/WP.29/GRE/2017/15</w:t>
      </w:r>
    </w:p>
    <w:p w:rsidR="00C91B23" w:rsidRPr="00C91B23" w:rsidRDefault="00C91B23" w:rsidP="00C40AA0">
      <w:pPr>
        <w:pStyle w:val="H1GR"/>
      </w:pPr>
      <w:r w:rsidRPr="00C91B23">
        <w:tab/>
        <w:t>5.</w:t>
      </w:r>
      <w:r w:rsidRPr="00C91B23">
        <w:tab/>
        <w:t>Правила № 37 (лампы накаливания), 99 (газоразрядные источники света), 128 (источники света на светоизлучающих диодах) и Сводная резолюция по</w:t>
      </w:r>
      <w:r w:rsidR="00C40AA0">
        <w:t xml:space="preserve"> общей спецификации для </w:t>
      </w:r>
      <w:r w:rsidRPr="00C91B23">
        <w:t>категорий источников света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GRE рассмотрит предложение по поправкам к Правилам № 37, которое было представлено экспертом от БРГ и направлено на исправление ошибки и согласование одного из терминов с Правилами № 128.</w:t>
      </w:r>
    </w:p>
    <w:p w:rsidR="00C91B23" w:rsidRPr="00C91B23" w:rsidRDefault="00C91B23" w:rsidP="00C91B23">
      <w:pPr>
        <w:pStyle w:val="SingleTxtGR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ab/>
        <w:t>ECE/TRANS/WP.29/GRE/2017/19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GRE предлагается рассмотреть проект поправок к Сводной резолюции по общей спецификации для категорий источников света (СР.5) (ECE/TRANS/</w:t>
      </w:r>
      <w:r>
        <w:br/>
      </w:r>
      <w:r w:rsidR="00C91B23" w:rsidRPr="00C91B23">
        <w:t>WP.29/2016/111), который был подготовлен экспертом от БРГ в целях исправл</w:t>
      </w:r>
      <w:r w:rsidR="00C91B23" w:rsidRPr="00C91B23">
        <w:t>е</w:t>
      </w:r>
      <w:r w:rsidR="00C91B23" w:rsidRPr="00C91B23">
        <w:t>ния и изменения некоторых спецификаций.</w:t>
      </w:r>
    </w:p>
    <w:p w:rsidR="00C91B23" w:rsidRPr="00C91B23" w:rsidRDefault="00C91B23" w:rsidP="00C91B23">
      <w:pPr>
        <w:pStyle w:val="SingleTxtGR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ab/>
        <w:t>ECE/TRANS/WP.29/GRE/2017/18</w:t>
      </w:r>
    </w:p>
    <w:p w:rsidR="00C91B23" w:rsidRPr="00C91B23" w:rsidRDefault="00C40AA0" w:rsidP="00C91B23">
      <w:pPr>
        <w:pStyle w:val="SingleTxtGR"/>
      </w:pPr>
      <w:r>
        <w:tab/>
      </w:r>
      <w:r w:rsidR="00C91B23" w:rsidRPr="00C91B23">
        <w:t>GRE, возможно, пожелает также рассмотреть предложения по поправкам к Правилам № 128 и к Сводной резолюции (СР.5), подготовленные экспертом от БРГ и предусматривающие введение предписаний и технических требований для испытаний и новых категорий альтернативных источников света на СИД. Эти предложения представлены вместе с общими поправками к правилам № 48, 53, 74 и 86, содержащими требования об альтернативных светодиодных исто</w:t>
      </w:r>
      <w:r w:rsidR="00C91B23" w:rsidRPr="00C91B23">
        <w:t>ч</w:t>
      </w:r>
      <w:r w:rsidR="00C91B23" w:rsidRPr="00C91B23">
        <w:t>никах света.</w:t>
      </w:r>
    </w:p>
    <w:p w:rsidR="00C91B23" w:rsidRPr="00C91B23" w:rsidRDefault="00C91B23" w:rsidP="00C40AA0">
      <w:pPr>
        <w:pStyle w:val="SingleTxtGR"/>
        <w:ind w:left="2835" w:hanging="1701"/>
      </w:pPr>
      <w:r w:rsidRPr="00C40AA0">
        <w:rPr>
          <w:b/>
          <w:bCs/>
        </w:rPr>
        <w:t>Документация</w:t>
      </w:r>
      <w:r w:rsidRPr="00C40AA0">
        <w:rPr>
          <w:b/>
        </w:rPr>
        <w:t>:</w:t>
      </w:r>
      <w:r w:rsidRPr="00C91B23">
        <w:tab/>
        <w:t xml:space="preserve">ECE/TRANS/WP.29/GRE/2017/17, ECE/TRANS/WP.29/GRE/2017/21, ECE/TRANS/WP.29/GRE/2017/22, </w:t>
      </w:r>
      <w:r w:rsidR="008A5C6A">
        <w:br/>
      </w:r>
      <w:r w:rsidRPr="00C91B23">
        <w:t xml:space="preserve">неофициальный документ GRE-78-02 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GRE, возможно, пожелает обсудить предложения по поправкам к Прав</w:t>
      </w:r>
      <w:r w:rsidR="00C91B23" w:rsidRPr="00C91B23">
        <w:t>и</w:t>
      </w:r>
      <w:r w:rsidR="00C91B23" w:rsidRPr="00C91B23">
        <w:t>лам № 128 и к Сводной резолюции (СР.5), подготовленные экспертом от БРГ и предусматривающие введение предписаний и технических требований для и</w:t>
      </w:r>
      <w:r w:rsidR="00C91B23" w:rsidRPr="00C91B23">
        <w:t>с</w:t>
      </w:r>
      <w:r w:rsidR="00C91B23" w:rsidRPr="00C91B23">
        <w:t xml:space="preserve">пытаний и новой категории светодиодных источников света для переднего освещения. </w:t>
      </w:r>
    </w:p>
    <w:p w:rsidR="00C91B23" w:rsidRPr="00C91B23" w:rsidRDefault="00C91B23" w:rsidP="008A5C6A">
      <w:pPr>
        <w:pStyle w:val="SingleTxtGR"/>
        <w:ind w:left="2835" w:hanging="1701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ab/>
        <w:t>ECE/TRANS/WP.29/GRE/2017/16, ECE/TRANS/WP.29/GRE/2017/20</w:t>
      </w:r>
    </w:p>
    <w:p w:rsidR="00C91B23" w:rsidRPr="00C91B23" w:rsidRDefault="00C91B23" w:rsidP="008A5C6A">
      <w:pPr>
        <w:pStyle w:val="H1GR"/>
      </w:pPr>
      <w:r w:rsidRPr="00C91B23">
        <w:tab/>
        <w:t>6.</w:t>
      </w:r>
      <w:r w:rsidRPr="00C91B23">
        <w:tab/>
        <w:t>Правила № 48 (установка устройств освещения и световой сигнализации)</w:t>
      </w:r>
    </w:p>
    <w:p w:rsidR="00C91B23" w:rsidRPr="00C91B23" w:rsidRDefault="00C91B23" w:rsidP="008A5C6A">
      <w:pPr>
        <w:pStyle w:val="H23GR"/>
      </w:pPr>
      <w:r w:rsidRPr="00C91B23">
        <w:tab/>
        <w:t>a)</w:t>
      </w:r>
      <w:r w:rsidRPr="00C91B23">
        <w:tab/>
        <w:t xml:space="preserve">Предложения по поправкам к поправкам серии 05 и 06 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 xml:space="preserve">GRE рассмотрит предложения, подготовленные экспертами от Италии и Чешской Республики при поддержке целевой группы по вопросу о включении фар (ЦГ-ВФ) для исправления и уточнения требований, касающихся дневных ходовых огней (ДХО) в сочетании с задними габаритными огнями. 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ab/>
        <w:t xml:space="preserve">ECE/TRANS/WP.29/GRE/2017/23 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GRE, возможно, пожелает рассмотреть предложение эксперта от БРГ, направленное на согласование требований в отношении включения объедине</w:t>
      </w:r>
      <w:r w:rsidR="00C91B23" w:rsidRPr="00C91B23">
        <w:t>н</w:t>
      </w:r>
      <w:r w:rsidR="00C91B23" w:rsidRPr="00C91B23">
        <w:t>ных боковых и габаритных огней.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ab/>
        <w:t xml:space="preserve">ECE/TRANS/WP.29/GRE/2016/24 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GRE, возможно, пожелает продолжить рассмотрение предложений по п</w:t>
      </w:r>
      <w:r w:rsidR="00C91B23" w:rsidRPr="00C91B23">
        <w:t>о</w:t>
      </w:r>
      <w:r w:rsidR="00C91B23" w:rsidRPr="00C91B23">
        <w:t>правкам, касающимся внешних индикатор</w:t>
      </w:r>
      <w:r>
        <w:t>ов, предусмотренных правил</w:t>
      </w:r>
      <w:r>
        <w:t>а</w:t>
      </w:r>
      <w:r>
        <w:t>ми № </w:t>
      </w:r>
      <w:r w:rsidR="00C91B23" w:rsidRPr="00C91B23">
        <w:t xml:space="preserve">97 и 116. 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ab/>
        <w:t xml:space="preserve">ECE/TRANS/WP.29/GRE/77, пункт 18 </w:t>
      </w:r>
    </w:p>
    <w:p w:rsidR="00C91B23" w:rsidRPr="00C91B23" w:rsidRDefault="00C91B23" w:rsidP="008A5C6A">
      <w:pPr>
        <w:pStyle w:val="H23GR"/>
      </w:pPr>
      <w:r w:rsidRPr="00C91B23">
        <w:tab/>
        <w:t>b)</w:t>
      </w:r>
      <w:r w:rsidRPr="00C91B23">
        <w:tab/>
        <w:t>Прочие предложения по поправкам к Правилам № 48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 будет проинформирована о деятельности неофициальной рабочей группы по вопросам видимости, ослепления и регулировки фар (НРГ по ВОРФ), а также о проектах предложений, подготовленных НРГ по ВОРФ, если таковые будут предст</w:t>
      </w:r>
      <w:r>
        <w:t>а</w:t>
      </w:r>
      <w:r w:rsidR="00C91B23" w:rsidRPr="00C91B23">
        <w:t>влены. GRE, возможно, пожелает продлить мандат НРГ по ВОРФ.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 xml:space="preserve">: </w:t>
      </w:r>
      <w:r w:rsidRPr="00C91B23">
        <w:tab/>
        <w:t xml:space="preserve">ECE/TRANS/WP.29/GRE/76, пункт 21 и приложение III </w:t>
      </w:r>
    </w:p>
    <w:p w:rsidR="00C91B23" w:rsidRPr="00C91B23" w:rsidRDefault="00C91B23" w:rsidP="008A5C6A">
      <w:pPr>
        <w:pStyle w:val="H1GR"/>
      </w:pPr>
      <w:r w:rsidRPr="00C91B23">
        <w:tab/>
        <w:t>7.</w:t>
      </w:r>
      <w:r w:rsidRPr="00C91B23">
        <w:tab/>
        <w:t>Другие правила</w:t>
      </w:r>
    </w:p>
    <w:p w:rsidR="00C91B23" w:rsidRPr="00C91B23" w:rsidRDefault="00C91B23" w:rsidP="008A5C6A">
      <w:pPr>
        <w:pStyle w:val="H23GR"/>
      </w:pPr>
      <w:r w:rsidRPr="00C91B23">
        <w:tab/>
        <w:t>a)</w:t>
      </w:r>
      <w:r w:rsidRPr="00C91B23">
        <w:tab/>
        <w:t>Правила № 10 (электромагнитная совместимость)</w:t>
      </w:r>
    </w:p>
    <w:p w:rsidR="00C91B23" w:rsidRPr="00C91B23" w:rsidRDefault="008A5C6A" w:rsidP="00C91B23">
      <w:pPr>
        <w:pStyle w:val="SingleTxtGR"/>
        <w:rPr>
          <w:bCs/>
        </w:rPr>
      </w:pPr>
      <w:r>
        <w:tab/>
      </w:r>
      <w:r w:rsidR="00C91B23" w:rsidRPr="00C91B23">
        <w:rPr>
          <w:bCs/>
        </w:rPr>
        <w:t>GRE будет проинформирована о деятельности целевой группы по эле</w:t>
      </w:r>
      <w:r w:rsidR="00C91B23" w:rsidRPr="00C91B23">
        <w:rPr>
          <w:bCs/>
        </w:rPr>
        <w:t>к</w:t>
      </w:r>
      <w:r w:rsidR="00C91B23" w:rsidRPr="00C91B23">
        <w:rPr>
          <w:bCs/>
        </w:rPr>
        <w:t>тромагнитной совместимости (ЦГ по ЭМС) и рассмотрит предложения по п</w:t>
      </w:r>
      <w:r w:rsidR="00C91B23" w:rsidRPr="00C91B23">
        <w:rPr>
          <w:bCs/>
        </w:rPr>
        <w:t>о</w:t>
      </w:r>
      <w:r w:rsidR="00C91B23" w:rsidRPr="00C91B23">
        <w:rPr>
          <w:bCs/>
        </w:rPr>
        <w:t>правкам, подготовленные ЦГ по ЭМС.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 xml:space="preserve"> </w:t>
      </w:r>
      <w:r w:rsidRPr="00C91B23">
        <w:tab/>
        <w:t xml:space="preserve">ECE/TRANS/WP.29/GRE/2017/12 </w:t>
      </w:r>
      <w:r w:rsidRPr="00C91B23">
        <w:tab/>
        <w:t xml:space="preserve"> </w:t>
      </w:r>
    </w:p>
    <w:p w:rsidR="00C91B23" w:rsidRPr="00C91B23" w:rsidRDefault="00C91B23" w:rsidP="008A5C6A">
      <w:pPr>
        <w:pStyle w:val="H23GR"/>
      </w:pPr>
      <w:r w:rsidRPr="00C91B23">
        <w:tab/>
        <w:t>b)</w:t>
      </w:r>
      <w:r w:rsidRPr="00C91B23">
        <w:tab/>
        <w:t>Правила № 53 (установка устройств освещения и световой сигнализации для транспортных средств категории L</w:t>
      </w:r>
      <w:r w:rsidRPr="00910B1B">
        <w:rPr>
          <w:vertAlign w:val="subscript"/>
        </w:rPr>
        <w:t>3</w:t>
      </w:r>
      <w:r w:rsidRPr="00C91B23">
        <w:t>)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GRE, возможно, пожелает рассмотреть</w:t>
      </w:r>
      <w:r>
        <w:t xml:space="preserve"> предложение по поправкам с</w:t>
      </w:r>
      <w:r>
        <w:t>е</w:t>
      </w:r>
      <w:r>
        <w:t>рии </w:t>
      </w:r>
      <w:r w:rsidR="00C91B23" w:rsidRPr="00C91B23">
        <w:t>03 к Правилам № 53, подготовленное экспертом от Японии, относительно нового требования, касающегося автоматического переключения дневного х</w:t>
      </w:r>
      <w:r w:rsidR="00C91B23" w:rsidRPr="00C91B23">
        <w:t>о</w:t>
      </w:r>
      <w:r w:rsidR="00C91B23" w:rsidRPr="00C91B23">
        <w:t xml:space="preserve">дового огня на головную фару. 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 xml:space="preserve"> </w:t>
      </w:r>
      <w:r w:rsidRPr="00C91B23">
        <w:tab/>
        <w:t xml:space="preserve">ECE/TRANS/WP.29/GRE/77, пункты 24 и 25 </w:t>
      </w:r>
      <w:r w:rsidRPr="00C91B23">
        <w:tab/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GRE, возможно, пожелает также рассмотреть предложение эксперта от Индии о передних габаритных огнях, которое не обсуждалось на предыдущей сессии из-за нехватки времени.</w:t>
      </w:r>
    </w:p>
    <w:p w:rsidR="00C91B23" w:rsidRPr="00C91B23" w:rsidRDefault="00C91B23" w:rsidP="008A5C6A">
      <w:pPr>
        <w:pStyle w:val="SingleTxtGR"/>
        <w:ind w:left="2835" w:hanging="1701"/>
        <w:jc w:val="left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 xml:space="preserve"> </w:t>
      </w:r>
      <w:r w:rsidRPr="00C91B23">
        <w:tab/>
        <w:t xml:space="preserve">ECE/TRANS/WP.29/GRE/77, пункт 26, </w:t>
      </w:r>
      <w:r w:rsidR="008A5C6A">
        <w:br/>
      </w:r>
      <w:r w:rsidRPr="00C91B23">
        <w:t xml:space="preserve">неофициальный документ GRE-77-08 </w:t>
      </w:r>
      <w:r w:rsidRPr="00C91B23">
        <w:tab/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 рассмотрит предложение эксперта от Международной ассоциации заводов-изготовителей мотоциклов (МАЗМ), предусматривающее возможность использования иных способов активации огней торможения и согласование п</w:t>
      </w:r>
      <w:r w:rsidR="00C91B23" w:rsidRPr="00C91B23">
        <w:t>о</w:t>
      </w:r>
      <w:r w:rsidR="00C91B23" w:rsidRPr="00C91B23">
        <w:t>ложения, касающегося огней торможения, с требованиями, применимыми для четырехколесных транспортных средств.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 xml:space="preserve"> </w:t>
      </w:r>
      <w:r w:rsidRPr="00C91B23">
        <w:tab/>
        <w:t>ECE/TRANS/WP.29/GRE/2017/25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GRE, возможно, пожелает рассмотреть предложение эксперта от МАЗМ, направленное на согласование текста Правил № 53 с Правилами № 48 и и</w:t>
      </w:r>
      <w:r w:rsidR="00C91B23" w:rsidRPr="00C91B23">
        <w:t>с</w:t>
      </w:r>
      <w:r w:rsidR="00C91B23" w:rsidRPr="00C91B23">
        <w:t xml:space="preserve">правление ошибки, сделанной в процессе внесения предыдущих поправок. 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 xml:space="preserve"> </w:t>
      </w:r>
      <w:r w:rsidRPr="00C91B23">
        <w:tab/>
        <w:t>ECE/TRANS/WP.29/GRE/2017/26</w:t>
      </w:r>
    </w:p>
    <w:p w:rsidR="00C91B23" w:rsidRPr="00C91B23" w:rsidRDefault="00C91B23" w:rsidP="00C91B23">
      <w:pPr>
        <w:pStyle w:val="SingleTxtGR"/>
      </w:pPr>
      <w:r w:rsidRPr="00C91B23">
        <w:tab/>
        <w:t>GRE, возможно, пожелает рассмотреть предложение эксперта от МАЗМ, призванное уточнить, что указатели поворота могут включаться для проверки состояния транспортного средства при выключенном двигателе.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 xml:space="preserve"> </w:t>
      </w:r>
      <w:r w:rsidRPr="00C91B23">
        <w:tab/>
        <w:t>ECE/TRANS/WP.29/GRE/2017/27</w:t>
      </w:r>
    </w:p>
    <w:p w:rsidR="00C91B23" w:rsidRPr="00C91B23" w:rsidRDefault="00C91B23" w:rsidP="008A5C6A">
      <w:pPr>
        <w:pStyle w:val="H1GR"/>
      </w:pPr>
      <w:r w:rsidRPr="00C91B23">
        <w:tab/>
        <w:t>8.</w:t>
      </w:r>
      <w:r w:rsidRPr="00C91B23">
        <w:tab/>
        <w:t>Прочие вопросы</w:t>
      </w:r>
    </w:p>
    <w:p w:rsidR="00C91B23" w:rsidRPr="00C91B23" w:rsidRDefault="00C91B23" w:rsidP="008A5C6A">
      <w:pPr>
        <w:pStyle w:val="H23GR"/>
      </w:pPr>
      <w:r w:rsidRPr="00C91B23">
        <w:tab/>
        <w:t>a)</w:t>
      </w:r>
      <w:r w:rsidRPr="00C91B23">
        <w:tab/>
        <w:t>Поправки к Конвенции о дорожном движении (Вена, 1968 год)</w:t>
      </w:r>
    </w:p>
    <w:p w:rsidR="00C91B23" w:rsidRPr="00C91B23" w:rsidRDefault="00C91B23" w:rsidP="00C91B23">
      <w:pPr>
        <w:pStyle w:val="SingleTxtGR"/>
      </w:pPr>
      <w:r w:rsidRPr="00C91B23">
        <w:tab/>
        <w:t>GRE будет проинформирована об итогах обсуждения, проведенного Гл</w:t>
      </w:r>
      <w:r w:rsidRPr="00C91B23">
        <w:t>о</w:t>
      </w:r>
      <w:r w:rsidRPr="00C91B23">
        <w:t>бальным форумом по безопасности дорожного движения (WP.1) на его сессии в сентябре 2017 года.</w:t>
      </w:r>
    </w:p>
    <w:p w:rsidR="00C91B23" w:rsidRPr="00C91B23" w:rsidRDefault="00C91B23" w:rsidP="008A5C6A">
      <w:pPr>
        <w:pStyle w:val="H23GR"/>
      </w:pPr>
      <w:r w:rsidRPr="00C91B23">
        <w:tab/>
        <w:t>b)</w:t>
      </w:r>
      <w:r w:rsidRPr="00C91B23">
        <w:tab/>
        <w:t>Десятилетие действий по обеспечению безопасности дорожного движения на 2011−2020 годы</w:t>
      </w:r>
    </w:p>
    <w:p w:rsidR="00C91B23" w:rsidRPr="00C91B23" w:rsidRDefault="00C91B23" w:rsidP="00C91B23">
      <w:pPr>
        <w:pStyle w:val="SingleTxtGR"/>
        <w:rPr>
          <w:rFonts w:eastAsia="MS Mincho"/>
        </w:rPr>
      </w:pPr>
      <w:r w:rsidRPr="00C91B23"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</w:t>
      </w:r>
      <w:r w:rsidRPr="00C91B23">
        <w:t>е</w:t>
      </w:r>
      <w:r w:rsidRPr="00C91B23">
        <w:t>щения и световой сигнализации.</w:t>
      </w:r>
    </w:p>
    <w:p w:rsidR="00C91B23" w:rsidRPr="00C91B23" w:rsidRDefault="00C91B23" w:rsidP="008A5C6A">
      <w:pPr>
        <w:pStyle w:val="H23GR"/>
      </w:pPr>
      <w:r w:rsidRPr="00C91B23">
        <w:tab/>
        <w:t>c)</w:t>
      </w:r>
      <w:r w:rsidRPr="00C91B23">
        <w:tab/>
        <w:t>Разработка международной системы официального утверждения типа комплектного транспортного средства</w:t>
      </w:r>
    </w:p>
    <w:p w:rsidR="00C91B23" w:rsidRPr="00C91B23" w:rsidRDefault="00C91B23" w:rsidP="00C91B23">
      <w:pPr>
        <w:pStyle w:val="SingleTxtGR"/>
        <w:rPr>
          <w:rFonts w:eastAsia="MS Mincho"/>
        </w:rPr>
      </w:pPr>
      <w:r w:rsidRPr="00C91B23">
        <w:tab/>
        <w:t>GRE, возможно, заслушает устное сообщение специального представит</w:t>
      </w:r>
      <w:r w:rsidRPr="00C91B23">
        <w:t>е</w:t>
      </w:r>
      <w:r w:rsidRPr="00C91B23">
        <w:t xml:space="preserve">ля GRE о деятельности, связанной с международной системой официального утверждения типа комплектного транспортного средства (МОУТКТС), и о всех необходимых последующих шагах. </w:t>
      </w:r>
    </w:p>
    <w:p w:rsidR="00C91B23" w:rsidRPr="00C91B23" w:rsidRDefault="008A5C6A" w:rsidP="00C91B23">
      <w:pPr>
        <w:pStyle w:val="SingleTxtGR"/>
        <w:rPr>
          <w:rFonts w:eastAsia="MS Mincho"/>
        </w:rPr>
      </w:pPr>
      <w:r>
        <w:tab/>
      </w:r>
      <w:r w:rsidR="00C91B23" w:rsidRPr="00C91B23">
        <w:t>GRE будет также проинформирована о разработке электронной базы да</w:t>
      </w:r>
      <w:r w:rsidR="00C91B23" w:rsidRPr="00C91B23">
        <w:t>н</w:t>
      </w:r>
      <w:r w:rsidR="00C91B23" w:rsidRPr="00C91B23">
        <w:t>ных для обмена документацией об официальном утверждении типа (ДЕТА).</w:t>
      </w:r>
    </w:p>
    <w:p w:rsidR="00C91B23" w:rsidRPr="00C91B23" w:rsidRDefault="00C91B23" w:rsidP="008A5C6A">
      <w:pPr>
        <w:pStyle w:val="H23GR"/>
      </w:pPr>
      <w:r w:rsidRPr="00C91B23">
        <w:tab/>
        <w:t>d)</w:t>
      </w:r>
      <w:r w:rsidRPr="00C91B23">
        <w:tab/>
        <w:t>Паразитный свет и обесцвечивание</w:t>
      </w:r>
    </w:p>
    <w:p w:rsidR="00C91B23" w:rsidRPr="00C91B23" w:rsidRDefault="00C91B23" w:rsidP="00C91B23">
      <w:pPr>
        <w:pStyle w:val="SingleTxtGR"/>
      </w:pPr>
      <w:r w:rsidRPr="00C91B23">
        <w:tab/>
        <w:t>GRE, возможно, пожелает заслушать информацию о ходе исследования по этому вопросу, проводимого в Германии.</w:t>
      </w:r>
    </w:p>
    <w:p w:rsidR="00C91B23" w:rsidRPr="00C91B23" w:rsidRDefault="00C91B23" w:rsidP="00C91B23">
      <w:pPr>
        <w:pStyle w:val="SingleTxtGR"/>
      </w:pPr>
      <w:r w:rsidRPr="008A5C6A">
        <w:rPr>
          <w:b/>
          <w:bCs/>
        </w:rPr>
        <w:t>Документация</w:t>
      </w:r>
      <w:r w:rsidRPr="008A5C6A">
        <w:rPr>
          <w:b/>
        </w:rPr>
        <w:t>:</w:t>
      </w:r>
      <w:r w:rsidRPr="00C91B23">
        <w:t xml:space="preserve"> </w:t>
      </w:r>
      <w:r w:rsidRPr="00C91B23">
        <w:tab/>
        <w:t>неофициальный документ GRE-75-16</w:t>
      </w:r>
    </w:p>
    <w:p w:rsidR="00C91B23" w:rsidRPr="00C91B23" w:rsidRDefault="00C91B23" w:rsidP="008A5C6A">
      <w:pPr>
        <w:pStyle w:val="H1GR"/>
      </w:pPr>
      <w:r w:rsidRPr="00C91B23">
        <w:tab/>
        <w:t>9.</w:t>
      </w:r>
      <w:r w:rsidRPr="00C91B23">
        <w:tab/>
        <w:t>Новые вопросы и позднее представление документов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По просьбе июньской сессии WP.29 2017 года GRЕ предлагается ра</w:t>
      </w:r>
      <w:r w:rsidR="00C91B23" w:rsidRPr="00C91B23">
        <w:t>с</w:t>
      </w:r>
      <w:r w:rsidR="00C91B23" w:rsidRPr="00C91B23">
        <w:t>смотреть проект общих руководящих принципов, касающихся регламентиру</w:t>
      </w:r>
      <w:r w:rsidR="00C91B23" w:rsidRPr="00C91B23">
        <w:t>ю</w:t>
      </w:r>
      <w:r w:rsidR="00C91B23" w:rsidRPr="00C91B23">
        <w:t>щих процедур и переходных положений ООН в правилах ООН. Этот документ, как ожидается, будет принят WP.29 на его сессии в ноябре 2017 года после вступления в силу в сентябре 2017 года Пересмотра 3 Соглашения 1958 года.</w:t>
      </w:r>
    </w:p>
    <w:p w:rsidR="00C91B23" w:rsidRPr="00C91B23" w:rsidRDefault="00C91B23" w:rsidP="00C91B23">
      <w:pPr>
        <w:pStyle w:val="SingleTxtGR"/>
        <w:rPr>
          <w:lang w:val="en-GB"/>
        </w:rPr>
      </w:pPr>
      <w:r w:rsidRPr="008A5C6A">
        <w:rPr>
          <w:b/>
          <w:bCs/>
        </w:rPr>
        <w:t>Документация</w:t>
      </w:r>
      <w:r w:rsidRPr="008A5C6A">
        <w:rPr>
          <w:b/>
          <w:lang w:val="en-US"/>
        </w:rPr>
        <w:t>:</w:t>
      </w:r>
      <w:r w:rsidRPr="00C91B23">
        <w:rPr>
          <w:lang w:val="en-US"/>
        </w:rPr>
        <w:tab/>
        <w:t>ECE/TRANS/WP.29/2017/67, ECE/TRANS/WP.29/2017/107</w:t>
      </w:r>
    </w:p>
    <w:p w:rsidR="00C91B23" w:rsidRPr="00C91B23" w:rsidRDefault="008A5C6A" w:rsidP="00C91B23">
      <w:pPr>
        <w:pStyle w:val="SingleTxtGR"/>
      </w:pPr>
      <w:r>
        <w:tab/>
      </w:r>
      <w:r w:rsidR="00C91B23" w:rsidRPr="00C91B23">
        <w:t>GRE рассмотрит также новые вопросы и/или документы, которые могут быть представлены после выпуска аннотированной предварительной повестки дня.</w:t>
      </w:r>
    </w:p>
    <w:p w:rsidR="00C91B23" w:rsidRPr="00C91B23" w:rsidRDefault="00C91B23" w:rsidP="008A5C6A">
      <w:pPr>
        <w:pStyle w:val="H1GR"/>
      </w:pPr>
      <w:r w:rsidRPr="00C91B23">
        <w:tab/>
        <w:t>10.</w:t>
      </w:r>
      <w:r w:rsidRPr="00C91B23">
        <w:tab/>
        <w:t>Направления будущей работы GRE</w:t>
      </w:r>
      <w:r w:rsidRPr="00C91B23">
        <w:tab/>
      </w:r>
    </w:p>
    <w:p w:rsidR="00C91B23" w:rsidRPr="00C91B23" w:rsidRDefault="008A5C6A" w:rsidP="00C91B23">
      <w:pPr>
        <w:pStyle w:val="SingleTxtGR"/>
        <w:rPr>
          <w:bCs/>
        </w:rPr>
      </w:pPr>
      <w:r>
        <w:tab/>
      </w:r>
      <w:r w:rsidR="00C91B23" w:rsidRPr="00C91B23">
        <w:rPr>
          <w:bCs/>
        </w:rPr>
        <w:t>GRE, возможно, пожелает заслушать информацию о деятельности цел</w:t>
      </w:r>
      <w:r w:rsidR="00C91B23" w:rsidRPr="00C91B23">
        <w:rPr>
          <w:bCs/>
        </w:rPr>
        <w:t>е</w:t>
      </w:r>
      <w:r w:rsidR="00C91B23" w:rsidRPr="00C91B23">
        <w:rPr>
          <w:bCs/>
        </w:rPr>
        <w:t xml:space="preserve">вых групп БРГ и при необходимости дать соответствующие указания. </w:t>
      </w:r>
    </w:p>
    <w:p w:rsidR="00C91B23" w:rsidRPr="00C91B23" w:rsidRDefault="00C91B23" w:rsidP="008A5C6A">
      <w:pPr>
        <w:pStyle w:val="H1GR"/>
      </w:pPr>
      <w:r w:rsidRPr="00C91B23">
        <w:tab/>
        <w:t>11.</w:t>
      </w:r>
      <w:r w:rsidRPr="00C91B23">
        <w:tab/>
        <w:t xml:space="preserve">Предварительная повестка </w:t>
      </w:r>
      <w:r w:rsidR="00910B1B">
        <w:t xml:space="preserve">дня </w:t>
      </w:r>
      <w:r w:rsidRPr="00C91B23">
        <w:t>следующей сессии</w:t>
      </w:r>
    </w:p>
    <w:p w:rsidR="00C91B23" w:rsidRPr="00C91B23" w:rsidRDefault="00C91B23" w:rsidP="00C91B23">
      <w:pPr>
        <w:pStyle w:val="SingleTxtGR"/>
      </w:pPr>
      <w:r w:rsidRPr="00C91B23">
        <w:tab/>
        <w:t>GRE, возможно, пожелает дать указания по предварительной повестке дня следующей сессии.</w:t>
      </w:r>
    </w:p>
    <w:p w:rsidR="00C91B23" w:rsidRPr="00C91B23" w:rsidRDefault="00C91B23" w:rsidP="008A5C6A">
      <w:pPr>
        <w:pStyle w:val="H1GR"/>
      </w:pPr>
      <w:r w:rsidRPr="00C91B23">
        <w:tab/>
        <w:t>12.</w:t>
      </w:r>
      <w:r w:rsidRPr="00C91B23">
        <w:tab/>
        <w:t>Выборы должностных лиц</w:t>
      </w:r>
    </w:p>
    <w:p w:rsidR="00C91B23" w:rsidRPr="00C91B23" w:rsidRDefault="00C91B23" w:rsidP="00C91B23">
      <w:pPr>
        <w:pStyle w:val="SingleTxtGR"/>
      </w:pPr>
      <w:r w:rsidRPr="00C91B23">
        <w:tab/>
        <w:t>В соответствии с правилом 37 правил процедуры (TRANS/WP.29/690, Amend.1 и Amend.2) GRE изберет Председателя и заместителя Председателя для сессий, запланированных на 2018 год.</w:t>
      </w:r>
    </w:p>
    <w:p w:rsidR="00E12C5F" w:rsidRPr="00C91B23" w:rsidRDefault="00C91B23" w:rsidP="00C91B2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91B23" w:rsidSect="00B045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25" w:rsidRPr="00A312BC" w:rsidRDefault="00AF0925" w:rsidP="00A312BC"/>
  </w:endnote>
  <w:endnote w:type="continuationSeparator" w:id="0">
    <w:p w:rsidR="00AF0925" w:rsidRPr="00A312BC" w:rsidRDefault="00AF09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EC" w:rsidRPr="00B045EC" w:rsidRDefault="00B045EC">
    <w:pPr>
      <w:pStyle w:val="Footer"/>
    </w:pPr>
    <w:r w:rsidRPr="00B045EC">
      <w:rPr>
        <w:b/>
        <w:sz w:val="18"/>
      </w:rPr>
      <w:fldChar w:fldCharType="begin"/>
    </w:r>
    <w:r w:rsidRPr="00B045EC">
      <w:rPr>
        <w:b/>
        <w:sz w:val="18"/>
      </w:rPr>
      <w:instrText xml:space="preserve"> PAGE  \* MERGEFORMAT </w:instrText>
    </w:r>
    <w:r w:rsidRPr="00B045EC">
      <w:rPr>
        <w:b/>
        <w:sz w:val="18"/>
      </w:rPr>
      <w:fldChar w:fldCharType="separate"/>
    </w:r>
    <w:r w:rsidR="000C7721">
      <w:rPr>
        <w:b/>
        <w:noProof/>
        <w:sz w:val="18"/>
      </w:rPr>
      <w:t>6</w:t>
    </w:r>
    <w:r w:rsidRPr="00B045EC">
      <w:rPr>
        <w:b/>
        <w:sz w:val="18"/>
      </w:rPr>
      <w:fldChar w:fldCharType="end"/>
    </w:r>
    <w:r>
      <w:rPr>
        <w:b/>
        <w:sz w:val="18"/>
      </w:rPr>
      <w:tab/>
    </w:r>
    <w:r>
      <w:t>GE.17-13295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EC" w:rsidRPr="00B045EC" w:rsidRDefault="00B045EC" w:rsidP="00B045E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GE.17-13295</w:t>
    </w:r>
    <w:r>
      <w:tab/>
    </w:r>
    <w:r w:rsidRPr="00B045EC">
      <w:rPr>
        <w:b/>
        <w:sz w:val="18"/>
      </w:rPr>
      <w:fldChar w:fldCharType="begin"/>
    </w:r>
    <w:r w:rsidRPr="00B045EC">
      <w:rPr>
        <w:b/>
        <w:sz w:val="18"/>
      </w:rPr>
      <w:instrText xml:space="preserve"> PAGE  \* MERGEFORMAT </w:instrText>
    </w:r>
    <w:r w:rsidRPr="00B045EC">
      <w:rPr>
        <w:b/>
        <w:sz w:val="18"/>
      </w:rPr>
      <w:fldChar w:fldCharType="separate"/>
    </w:r>
    <w:r w:rsidR="000C7721">
      <w:rPr>
        <w:b/>
        <w:noProof/>
        <w:sz w:val="18"/>
      </w:rPr>
      <w:t>5</w:t>
    </w:r>
    <w:r w:rsidRPr="00B045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045EC" w:rsidRDefault="00B045EC" w:rsidP="00B045E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17-13295  (R)</w:t>
    </w:r>
    <w:r w:rsidR="005A29BB">
      <w:t xml:space="preserve">  150817  160817</w:t>
    </w:r>
    <w:r>
      <w:br/>
    </w:r>
    <w:r w:rsidRPr="00B045EC">
      <w:rPr>
        <w:rFonts w:ascii="C39T30Lfz" w:hAnsi="C39T30Lfz"/>
        <w:spacing w:val="0"/>
        <w:w w:val="100"/>
        <w:sz w:val="56"/>
      </w:rPr>
      <w:t></w:t>
    </w:r>
    <w:r w:rsidRPr="00B045EC">
      <w:rPr>
        <w:rFonts w:ascii="C39T30Lfz" w:hAnsi="C39T30Lfz"/>
        <w:spacing w:val="0"/>
        <w:w w:val="100"/>
        <w:sz w:val="56"/>
      </w:rPr>
      <w:t></w:t>
    </w:r>
    <w:r w:rsidRPr="00B045EC">
      <w:rPr>
        <w:rFonts w:ascii="C39T30Lfz" w:hAnsi="C39T30Lfz"/>
        <w:spacing w:val="0"/>
        <w:w w:val="100"/>
        <w:sz w:val="56"/>
      </w:rPr>
      <w:t></w:t>
    </w:r>
    <w:r w:rsidRPr="00B045EC">
      <w:rPr>
        <w:rFonts w:ascii="C39T30Lfz" w:hAnsi="C39T30Lfz"/>
        <w:spacing w:val="0"/>
        <w:w w:val="100"/>
        <w:sz w:val="56"/>
      </w:rPr>
      <w:t></w:t>
    </w:r>
    <w:r w:rsidRPr="00B045EC">
      <w:rPr>
        <w:rFonts w:ascii="C39T30Lfz" w:hAnsi="C39T30Lfz"/>
        <w:spacing w:val="0"/>
        <w:w w:val="100"/>
        <w:sz w:val="56"/>
      </w:rPr>
      <w:t></w:t>
    </w:r>
    <w:r w:rsidRPr="00B045EC">
      <w:rPr>
        <w:rFonts w:ascii="C39T30Lfz" w:hAnsi="C39T30Lfz"/>
        <w:spacing w:val="0"/>
        <w:w w:val="100"/>
        <w:sz w:val="56"/>
      </w:rPr>
      <w:t></w:t>
    </w:r>
    <w:r w:rsidRPr="00B045EC">
      <w:rPr>
        <w:rFonts w:ascii="C39T30Lfz" w:hAnsi="C39T30Lfz"/>
        <w:spacing w:val="0"/>
        <w:w w:val="100"/>
        <w:sz w:val="56"/>
      </w:rPr>
      <w:t></w:t>
    </w:r>
    <w:r w:rsidRPr="00B045EC">
      <w:rPr>
        <w:rFonts w:ascii="C39T30Lfz" w:hAnsi="C39T30Lfz"/>
        <w:spacing w:val="0"/>
        <w:w w:val="100"/>
        <w:sz w:val="56"/>
      </w:rPr>
      <w:t></w:t>
    </w:r>
    <w:r w:rsidRPr="00B045E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7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25" w:rsidRPr="001075E9" w:rsidRDefault="00AF09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25" w:rsidRDefault="00AF09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1B23" w:rsidRPr="00C91B23" w:rsidRDefault="00C91B23">
      <w:pPr>
        <w:pStyle w:val="FootnoteText"/>
        <w:rPr>
          <w:sz w:val="20"/>
          <w:lang w:val="ru-RU"/>
        </w:rPr>
      </w:pPr>
      <w:r>
        <w:tab/>
      </w:r>
      <w:r w:rsidRPr="00C91B23">
        <w:rPr>
          <w:rStyle w:val="FootnoteReference"/>
          <w:sz w:val="20"/>
          <w:vertAlign w:val="baseline"/>
          <w:lang w:val="ru-RU"/>
        </w:rPr>
        <w:t>*</w:t>
      </w:r>
      <w:r w:rsidRPr="00C91B23">
        <w:rPr>
          <w:rStyle w:val="FootnoteReference"/>
          <w:vertAlign w:val="baseline"/>
          <w:lang w:val="ru-RU"/>
        </w:rPr>
        <w:tab/>
      </w:r>
      <w:r w:rsidRPr="00C91B23">
        <w:rPr>
          <w:lang w:val="ru-RU"/>
        </w:rPr>
        <w:t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Pr="00C91B23">
          <w:rPr>
            <w:rStyle w:val="Hyperlink"/>
            <w:color w:val="000000" w:themeColor="text1"/>
            <w:lang w:val="ru-RU"/>
          </w:rPr>
          <w:t>www.unece.org/trans/main/wp/wp29wgs/wp29gre/</w:t>
        </w:r>
        <w:r w:rsidRPr="00C91B23">
          <w:rPr>
            <w:rStyle w:val="Hyperlink"/>
            <w:color w:val="000000" w:themeColor="text1"/>
            <w:lang w:val="ru-RU"/>
          </w:rPr>
          <w:br/>
          <w:t>greage.html</w:t>
        </w:r>
      </w:hyperlink>
      <w:r w:rsidRPr="00C91B23"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Pr="00C91B23">
          <w:rPr>
            <w:rStyle w:val="Hyperlink"/>
            <w:color w:val="000000" w:themeColor="text1"/>
            <w:lang w:val="ru-RU"/>
          </w:rPr>
          <w:t>gre@unece.org</w:t>
        </w:r>
      </w:hyperlink>
      <w:r w:rsidRPr="00C91B23">
        <w:rPr>
          <w:lang w:val="ru-RU"/>
        </w:rPr>
        <w:t>) или по факсу (+41 22 917 00</w:t>
      </w:r>
      <w:r>
        <w:rPr>
          <w:lang w:val="ru-RU"/>
        </w:rPr>
        <w:t xml:space="preserve"> 39). В ходе сессии официальные </w:t>
      </w:r>
      <w:r w:rsidRPr="00C91B23">
        <w:rPr>
          <w:lang w:val="ru-RU"/>
        </w:rPr>
        <w:t xml:space="preserve">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C91B23">
          <w:rPr>
            <w:rStyle w:val="Hyperlink"/>
            <w:color w:val="000000" w:themeColor="text1"/>
            <w:lang w:val="ru-RU"/>
          </w:rPr>
          <w:t>documents.un.org/</w:t>
        </w:r>
      </w:hyperlink>
      <w:r w:rsidRPr="00C91B23">
        <w:rPr>
          <w:lang w:val="ru-RU"/>
        </w:rPr>
        <w:t>.</w:t>
      </w:r>
    </w:p>
  </w:footnote>
  <w:footnote w:id="2">
    <w:p w:rsidR="00C91B23" w:rsidRPr="00C91B23" w:rsidRDefault="00C91B23">
      <w:pPr>
        <w:pStyle w:val="FootnoteText"/>
        <w:rPr>
          <w:sz w:val="20"/>
          <w:lang w:val="ru-RU"/>
        </w:rPr>
      </w:pPr>
      <w:r w:rsidRPr="005A29BB">
        <w:rPr>
          <w:lang w:val="ru-RU"/>
        </w:rPr>
        <w:tab/>
      </w:r>
      <w:r w:rsidRPr="00C91B23">
        <w:rPr>
          <w:rStyle w:val="FootnoteReference"/>
          <w:sz w:val="20"/>
          <w:vertAlign w:val="baseline"/>
          <w:lang w:val="ru-RU"/>
        </w:rPr>
        <w:t>**</w:t>
      </w:r>
      <w:r w:rsidRPr="00C91B23">
        <w:rPr>
          <w:rStyle w:val="FootnoteReference"/>
          <w:vertAlign w:val="baseline"/>
          <w:lang w:val="ru-RU"/>
        </w:rPr>
        <w:tab/>
      </w:r>
      <w:r w:rsidRPr="00C91B23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Pr="00C91B23">
          <w:rPr>
            <w:rStyle w:val="Hyperlink"/>
            <w:color w:val="000000" w:themeColor="text1"/>
            <w:lang w:val="ru-RU"/>
          </w:rPr>
          <w:t>https://www2.unece.org/uncdb/app/ext/meeting-registration?id=PwORwk</w:t>
        </w:r>
      </w:hyperlink>
      <w:r w:rsidRPr="00C91B23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Pr="00C91B23">
          <w:rPr>
            <w:rStyle w:val="Hyperlink"/>
            <w:color w:val="000000" w:themeColor="text1"/>
            <w:lang w:val="ru-RU"/>
          </w:rPr>
          <w:t>www.unece.org/meetings/practical.htm</w:t>
        </w:r>
      </w:hyperlink>
      <w:r w:rsidRPr="00C91B2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EC" w:rsidRPr="00B045EC" w:rsidRDefault="000C77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2DC3">
      <w:t>ECE/TRANS/WP.29/GRE/2017/8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EC" w:rsidRPr="00B045EC" w:rsidRDefault="000C7721" w:rsidP="00B045E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2DC3">
      <w:t>ECE/TRANS/WP.29/GRE/2017/8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25"/>
    <w:rsid w:val="00033EE1"/>
    <w:rsid w:val="00042B72"/>
    <w:rsid w:val="000558BD"/>
    <w:rsid w:val="000B57E7"/>
    <w:rsid w:val="000B6373"/>
    <w:rsid w:val="000C7721"/>
    <w:rsid w:val="000D10AD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2B1F"/>
    <w:rsid w:val="00526683"/>
    <w:rsid w:val="005639C1"/>
    <w:rsid w:val="005709E0"/>
    <w:rsid w:val="00572E19"/>
    <w:rsid w:val="005961C8"/>
    <w:rsid w:val="005966F1"/>
    <w:rsid w:val="005A29BB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2DC3"/>
    <w:rsid w:val="00806737"/>
    <w:rsid w:val="00825F8D"/>
    <w:rsid w:val="00834B71"/>
    <w:rsid w:val="0086445C"/>
    <w:rsid w:val="00894693"/>
    <w:rsid w:val="008A08D7"/>
    <w:rsid w:val="008A37C8"/>
    <w:rsid w:val="008A5C6A"/>
    <w:rsid w:val="008B6909"/>
    <w:rsid w:val="008D53B6"/>
    <w:rsid w:val="008F7609"/>
    <w:rsid w:val="00906890"/>
    <w:rsid w:val="00910B1B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F0925"/>
    <w:rsid w:val="00B045E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0AA0"/>
    <w:rsid w:val="00C60F0C"/>
    <w:rsid w:val="00C805C9"/>
    <w:rsid w:val="00C91B23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66D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uments.un.org/" TargetMode="External"/><Relationship Id="rId2" Type="http://schemas.openxmlformats.org/officeDocument/2006/relationships/hyperlink" Target="mailto:gre@unece.org" TargetMode="External"/><Relationship Id="rId1" Type="http://schemas.openxmlformats.org/officeDocument/2006/relationships/hyperlink" Target="http://www.unece.org/trans/main/wp/wp29wgs/wp29gre/gre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www2.unece.org/uncdb/app/ext/meeting-registration?id=PwORw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9556</Characters>
  <Application>Microsoft Office Word</Application>
  <DocSecurity>4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ECE/TRANS/WP.29/GRE/2017/8</vt:lpstr>
      <vt:lpstr>ECE/TRANS/WP.29/GRE/2017/8</vt:lpstr>
      <vt:lpstr>A/</vt:lpstr>
    </vt:vector>
  </TitlesOfParts>
  <Company>DCM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ECE/TRANS/WP.29/GRE/2017/8</dc:title>
  <dc:creator>Anna PETELINA</dc:creator>
  <cp:lastModifiedBy>Benedicte Boudol</cp:lastModifiedBy>
  <cp:revision>2</cp:revision>
  <cp:lastPrinted>2017-08-16T07:08:00Z</cp:lastPrinted>
  <dcterms:created xsi:type="dcterms:W3CDTF">2017-08-18T08:20:00Z</dcterms:created>
  <dcterms:modified xsi:type="dcterms:W3CDTF">2017-08-18T08:20:00Z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