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8A43AA"/>
        </w:tc>
        <w:tc>
          <w:tcPr>
            <w:tcW w:w="2268" w:type="dxa"/>
            <w:tcBorders>
              <w:bottom w:val="single" w:sz="4" w:space="0" w:color="auto"/>
            </w:tcBorders>
            <w:vAlign w:val="bottom"/>
          </w:tcPr>
          <w:p w:rsidR="00F35BAF" w:rsidRPr="00DB58B5" w:rsidRDefault="00F35BAF" w:rsidP="00EF4F5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A43AA" w:rsidP="008A43AA">
            <w:pPr>
              <w:jc w:val="right"/>
            </w:pPr>
            <w:r w:rsidRPr="008A43AA">
              <w:rPr>
                <w:sz w:val="40"/>
              </w:rPr>
              <w:t>ECE</w:t>
            </w:r>
            <w:r>
              <w:t>/TRANS/WP.29/GRE/2017/7</w:t>
            </w:r>
          </w:p>
        </w:tc>
      </w:tr>
      <w:tr w:rsidR="00F35BAF" w:rsidRPr="00DB58B5" w:rsidTr="00EF4F51">
        <w:trPr>
          <w:trHeight w:hRule="exact" w:val="2835"/>
        </w:trPr>
        <w:tc>
          <w:tcPr>
            <w:tcW w:w="1276" w:type="dxa"/>
            <w:tcBorders>
              <w:top w:val="single" w:sz="4" w:space="0" w:color="auto"/>
              <w:bottom w:val="single" w:sz="12" w:space="0" w:color="auto"/>
            </w:tcBorders>
          </w:tcPr>
          <w:p w:rsidR="00F35BAF" w:rsidRPr="00DB58B5" w:rsidRDefault="00F35BAF" w:rsidP="00EF4F51">
            <w:pPr>
              <w:spacing w:before="120"/>
              <w:jc w:val="center"/>
            </w:pPr>
            <w:r>
              <w:rPr>
                <w:noProof/>
                <w:lang w:eastAsia="fr-CH"/>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EF4F5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A43AA" w:rsidP="00EF4F51">
            <w:pPr>
              <w:spacing w:before="240"/>
            </w:pPr>
            <w:proofErr w:type="spellStart"/>
            <w:r>
              <w:t>Distr</w:t>
            </w:r>
            <w:proofErr w:type="spellEnd"/>
            <w:r>
              <w:t>. générale</w:t>
            </w:r>
          </w:p>
          <w:p w:rsidR="008A43AA" w:rsidRDefault="008A43AA" w:rsidP="008A43AA">
            <w:pPr>
              <w:spacing w:line="240" w:lineRule="exact"/>
            </w:pPr>
            <w:r>
              <w:t>10 février 2017</w:t>
            </w:r>
          </w:p>
          <w:p w:rsidR="008A43AA" w:rsidRDefault="008A43AA" w:rsidP="008A43AA">
            <w:pPr>
              <w:spacing w:line="240" w:lineRule="exact"/>
            </w:pPr>
            <w:r>
              <w:t>Français</w:t>
            </w:r>
          </w:p>
          <w:p w:rsidR="008A43AA" w:rsidRPr="00DB58B5" w:rsidRDefault="008A43AA" w:rsidP="008A43A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C52275">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8A43AA" w:rsidRDefault="008A43AA" w:rsidP="00AF0CB5">
      <w:pPr>
        <w:spacing w:before="120"/>
        <w:rPr>
          <w:b/>
          <w:sz w:val="24"/>
          <w:szCs w:val="24"/>
        </w:rPr>
      </w:pPr>
      <w:r w:rsidRPr="00685843">
        <w:rPr>
          <w:b/>
          <w:sz w:val="24"/>
          <w:szCs w:val="24"/>
        </w:rPr>
        <w:t>Forum mondial de l</w:t>
      </w:r>
      <w:r w:rsidR="00C52275">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A43AA" w:rsidRDefault="008A43AA" w:rsidP="00257168">
      <w:pPr>
        <w:spacing w:before="120" w:after="120" w:line="240" w:lineRule="exact"/>
        <w:rPr>
          <w:b/>
        </w:rPr>
      </w:pPr>
      <w:r>
        <w:rPr>
          <w:b/>
        </w:rPr>
        <w:t>Groupe de travail de l</w:t>
      </w:r>
      <w:r w:rsidR="00C52275">
        <w:rPr>
          <w:b/>
        </w:rPr>
        <w:t>’</w:t>
      </w:r>
      <w:r>
        <w:rPr>
          <w:b/>
        </w:rPr>
        <w:t>éclairage et de la signalisation lumineuse</w:t>
      </w:r>
    </w:p>
    <w:p w:rsidR="008A43AA" w:rsidRDefault="008A43AA" w:rsidP="00257168">
      <w:pPr>
        <w:spacing w:before="120" w:line="240" w:lineRule="exact"/>
        <w:rPr>
          <w:b/>
        </w:rPr>
      </w:pPr>
      <w:r w:rsidRPr="008A43AA">
        <w:rPr>
          <w:b/>
          <w:lang w:val="fr-FR"/>
        </w:rPr>
        <w:t>Soixante-dix-septième</w:t>
      </w:r>
      <w:r>
        <w:rPr>
          <w:b/>
        </w:rPr>
        <w:t xml:space="preserve"> session</w:t>
      </w:r>
    </w:p>
    <w:p w:rsidR="008A43AA" w:rsidRDefault="008A43AA" w:rsidP="00257168">
      <w:pPr>
        <w:spacing w:line="240" w:lineRule="exact"/>
      </w:pPr>
      <w:r>
        <w:t xml:space="preserve">Genève, </w:t>
      </w:r>
      <w:r w:rsidRPr="008A43AA">
        <w:rPr>
          <w:lang w:val="fr-FR"/>
        </w:rPr>
        <w:t>4-7</w:t>
      </w:r>
      <w:r>
        <w:rPr>
          <w:lang w:val="fr-FR"/>
        </w:rPr>
        <w:t> </w:t>
      </w:r>
      <w:r w:rsidRPr="008A43AA">
        <w:rPr>
          <w:lang w:val="fr-FR"/>
        </w:rPr>
        <w:t>avril 2017</w:t>
      </w:r>
    </w:p>
    <w:p w:rsidR="008A43AA" w:rsidRDefault="008A43AA" w:rsidP="00257168">
      <w:pPr>
        <w:spacing w:line="240" w:lineRule="exact"/>
      </w:pPr>
      <w:r>
        <w:t xml:space="preserve">Point </w:t>
      </w:r>
      <w:r w:rsidRPr="008A43AA">
        <w:rPr>
          <w:lang w:val="fr-FR"/>
        </w:rPr>
        <w:t>8 c) de l</w:t>
      </w:r>
      <w:r w:rsidR="00C52275">
        <w:rPr>
          <w:lang w:val="fr-FR"/>
        </w:rPr>
        <w:t>’</w:t>
      </w:r>
      <w:r w:rsidRPr="008A43AA">
        <w:rPr>
          <w:lang w:val="fr-FR"/>
        </w:rPr>
        <w:t>ordre du jour provisoire</w:t>
      </w:r>
    </w:p>
    <w:p w:rsidR="008A43AA" w:rsidRPr="00C52275" w:rsidRDefault="008A43AA" w:rsidP="00C52275">
      <w:pPr>
        <w:rPr>
          <w:b/>
          <w:bCs/>
        </w:rPr>
      </w:pPr>
      <w:r w:rsidRPr="00C52275">
        <w:rPr>
          <w:b/>
          <w:lang w:val="fr-FR"/>
        </w:rPr>
        <w:t>Questions diverses</w:t>
      </w:r>
      <w:r w:rsidR="0014239B">
        <w:rPr>
          <w:b/>
          <w:lang w:val="fr-FR"/>
        </w:rPr>
        <w:t> </w:t>
      </w:r>
      <w:r w:rsidRPr="00C52275">
        <w:rPr>
          <w:b/>
          <w:lang w:val="fr-FR"/>
        </w:rPr>
        <w:t xml:space="preserve">: </w:t>
      </w:r>
    </w:p>
    <w:p w:rsidR="008A43AA" w:rsidRPr="00C52275" w:rsidRDefault="008A43AA" w:rsidP="00C52275">
      <w:pPr>
        <w:rPr>
          <w:b/>
          <w:bCs/>
        </w:rPr>
      </w:pPr>
      <w:r w:rsidRPr="00C52275">
        <w:rPr>
          <w:b/>
          <w:lang w:val="fr-FR"/>
        </w:rPr>
        <w:t>Mise au point d</w:t>
      </w:r>
      <w:r w:rsidR="00C52275">
        <w:rPr>
          <w:b/>
          <w:lang w:val="fr-FR"/>
        </w:rPr>
        <w:t>’</w:t>
      </w:r>
      <w:r w:rsidRPr="00C52275">
        <w:rPr>
          <w:b/>
          <w:lang w:val="fr-FR"/>
        </w:rPr>
        <w:t>une homo</w:t>
      </w:r>
      <w:r w:rsidR="00C52275">
        <w:rPr>
          <w:b/>
          <w:lang w:val="fr-FR"/>
        </w:rPr>
        <w:t>logation de type internationale</w:t>
      </w:r>
      <w:r w:rsidR="00C52275">
        <w:rPr>
          <w:b/>
          <w:lang w:val="fr-FR"/>
        </w:rPr>
        <w:br/>
      </w:r>
      <w:r w:rsidRPr="00C52275">
        <w:rPr>
          <w:b/>
          <w:lang w:val="fr-FR"/>
        </w:rPr>
        <w:t>de l</w:t>
      </w:r>
      <w:r w:rsidR="00C52275">
        <w:rPr>
          <w:b/>
          <w:lang w:val="fr-FR"/>
        </w:rPr>
        <w:t>’</w:t>
      </w:r>
      <w:r w:rsidRPr="00C52275">
        <w:rPr>
          <w:b/>
          <w:lang w:val="fr-FR"/>
        </w:rPr>
        <w:t xml:space="preserve">ensemble du véhicule </w:t>
      </w:r>
    </w:p>
    <w:p w:rsidR="008A43AA" w:rsidRPr="008A43AA" w:rsidRDefault="008A43AA" w:rsidP="00C52275">
      <w:pPr>
        <w:pStyle w:val="HChG"/>
      </w:pPr>
      <w:r w:rsidRPr="008A43AA">
        <w:rPr>
          <w:lang w:val="fr-FR"/>
        </w:rPr>
        <w:tab/>
      </w:r>
      <w:r w:rsidRPr="008A43AA">
        <w:rPr>
          <w:lang w:val="fr-FR"/>
        </w:rPr>
        <w:tab/>
        <w:t>Propositions d</w:t>
      </w:r>
      <w:r w:rsidR="00C52275">
        <w:rPr>
          <w:lang w:val="fr-FR"/>
        </w:rPr>
        <w:t>’</w:t>
      </w:r>
      <w:r w:rsidRPr="008A43AA">
        <w:rPr>
          <w:lang w:val="fr-FR"/>
        </w:rPr>
        <w:t>amendements aux Règlements n</w:t>
      </w:r>
      <w:r w:rsidRPr="008A43AA">
        <w:rPr>
          <w:vertAlign w:val="superscript"/>
          <w:lang w:val="fr-FR"/>
        </w:rPr>
        <w:t>os</w:t>
      </w:r>
      <w:r w:rsidR="00C52275">
        <w:rPr>
          <w:lang w:val="fr-FR"/>
        </w:rPr>
        <w:t> 4, 6, 7,</w:t>
      </w:r>
      <w:r w:rsidR="00C52275">
        <w:rPr>
          <w:lang w:val="fr-FR"/>
        </w:rPr>
        <w:br/>
      </w:r>
      <w:r w:rsidRPr="008A43AA">
        <w:rPr>
          <w:lang w:val="fr-FR"/>
        </w:rPr>
        <w:t xml:space="preserve">19, 23, 38, 48, 50, 77, 87, 91, 98, 112, 113, 119 et 123 </w:t>
      </w:r>
    </w:p>
    <w:p w:rsidR="008A43AA" w:rsidRPr="008A43AA" w:rsidRDefault="00C52275" w:rsidP="00C52275">
      <w:pPr>
        <w:pStyle w:val="H1G"/>
      </w:pPr>
      <w:r>
        <w:rPr>
          <w:lang w:val="fr-FR"/>
        </w:rPr>
        <w:tab/>
      </w:r>
      <w:r>
        <w:rPr>
          <w:lang w:val="fr-FR"/>
        </w:rPr>
        <w:tab/>
      </w:r>
      <w:r w:rsidR="008A43AA" w:rsidRPr="008A43AA">
        <w:rPr>
          <w:lang w:val="fr-FR"/>
        </w:rPr>
        <w:t>Communication de l</w:t>
      </w:r>
      <w:r>
        <w:rPr>
          <w:lang w:val="fr-FR"/>
        </w:rPr>
        <w:t>’</w:t>
      </w:r>
      <w:r w:rsidR="008A43AA" w:rsidRPr="008A43AA">
        <w:rPr>
          <w:lang w:val="fr-FR"/>
        </w:rPr>
        <w:t>expert de la Commission européenne</w:t>
      </w:r>
      <w:r w:rsidRPr="00C52275">
        <w:rPr>
          <w:rStyle w:val="Appelnotedebasdep"/>
          <w:b w:val="0"/>
          <w:sz w:val="20"/>
          <w:vertAlign w:val="baseline"/>
        </w:rPr>
        <w:footnoteReference w:customMarkFollows="1" w:id="2"/>
        <w:t>*</w:t>
      </w:r>
      <w:r w:rsidRPr="00C52275">
        <w:rPr>
          <w:b w:val="0"/>
          <w:position w:val="6"/>
          <w:sz w:val="20"/>
        </w:rPr>
        <w:t>,</w:t>
      </w:r>
      <w:r w:rsidRPr="00C52275">
        <w:rPr>
          <w:b w:val="0"/>
          <w:sz w:val="20"/>
        </w:rPr>
        <w:t xml:space="preserve"> </w:t>
      </w:r>
      <w:r w:rsidRPr="00C52275">
        <w:rPr>
          <w:rStyle w:val="Appelnotedebasdep"/>
          <w:b w:val="0"/>
          <w:sz w:val="20"/>
          <w:vertAlign w:val="baseline"/>
        </w:rPr>
        <w:footnoteReference w:customMarkFollows="1" w:id="3"/>
        <w:t>**</w:t>
      </w:r>
      <w:r w:rsidR="008A43AA" w:rsidRPr="008A43AA">
        <w:rPr>
          <w:vertAlign w:val="superscript"/>
          <w:lang w:val="fr-FR"/>
        </w:rPr>
        <w:t xml:space="preserve"> </w:t>
      </w:r>
    </w:p>
    <w:p w:rsidR="008A43AA" w:rsidRDefault="008A43AA" w:rsidP="00C52275">
      <w:pPr>
        <w:pStyle w:val="SingleTxtG"/>
        <w:ind w:firstLine="567"/>
        <w:rPr>
          <w:lang w:val="fr-FR"/>
        </w:rPr>
      </w:pPr>
      <w:r w:rsidRPr="008A43AA">
        <w:rPr>
          <w:lang w:val="fr-FR"/>
        </w:rPr>
        <w:t>Le texte reproduit ci-après a été établi par l</w:t>
      </w:r>
      <w:r w:rsidR="00C52275">
        <w:rPr>
          <w:lang w:val="fr-FR"/>
        </w:rPr>
        <w:t>’</w:t>
      </w:r>
      <w:r w:rsidRPr="008A43AA">
        <w:rPr>
          <w:lang w:val="fr-FR"/>
        </w:rPr>
        <w:t>expert de la Commission européenne afin de clarifier les prescriptions relatives aux sources lumineuses figurant dans les Règlements concernant l</w:t>
      </w:r>
      <w:r w:rsidR="00C52275">
        <w:rPr>
          <w:lang w:val="fr-FR"/>
        </w:rPr>
        <w:t>’</w:t>
      </w:r>
      <w:r w:rsidRPr="008A43AA">
        <w:rPr>
          <w:lang w:val="fr-FR"/>
        </w:rPr>
        <w:t>éclairage et la signalisation lumineuse énumérés à l</w:t>
      </w:r>
      <w:r w:rsidR="00C52275">
        <w:rPr>
          <w:lang w:val="fr-FR"/>
        </w:rPr>
        <w:t>’</w:t>
      </w:r>
      <w:r w:rsidRPr="008A43AA">
        <w:rPr>
          <w:lang w:val="fr-FR"/>
        </w:rPr>
        <w:t xml:space="preserve">annexe 4 du Règlement </w:t>
      </w:r>
      <w:r w:rsidR="00C52275" w:rsidRPr="00C52275">
        <w:rPr>
          <w:rFonts w:eastAsia="MS Mincho"/>
          <w:szCs w:val="22"/>
          <w:lang w:val="fr-FR"/>
        </w:rPr>
        <w:t>n</w:t>
      </w:r>
      <w:r w:rsidR="00C52275" w:rsidRPr="00C52275">
        <w:rPr>
          <w:rFonts w:eastAsia="MS Mincho"/>
          <w:szCs w:val="22"/>
          <w:vertAlign w:val="superscript"/>
          <w:lang w:val="fr-FR"/>
        </w:rPr>
        <w:t>o</w:t>
      </w:r>
      <w:r w:rsidR="00C52275">
        <w:rPr>
          <w:lang w:val="fr-FR"/>
        </w:rPr>
        <w:t> </w:t>
      </w:r>
      <w:r w:rsidRPr="008A43AA">
        <w:rPr>
          <w:lang w:val="fr-FR"/>
        </w:rPr>
        <w:t>0 relatif à l</w:t>
      </w:r>
      <w:r w:rsidR="00C52275">
        <w:rPr>
          <w:lang w:val="fr-FR"/>
        </w:rPr>
        <w:t>’</w:t>
      </w:r>
      <w:r w:rsidRPr="008A43AA">
        <w:rPr>
          <w:lang w:val="fr-FR"/>
        </w:rPr>
        <w:t>homologation de type internationale de l</w:t>
      </w:r>
      <w:r w:rsidR="00C52275">
        <w:rPr>
          <w:lang w:val="fr-FR"/>
        </w:rPr>
        <w:t>’</w:t>
      </w:r>
      <w:r w:rsidRPr="008A43AA">
        <w:rPr>
          <w:lang w:val="fr-FR"/>
        </w:rPr>
        <w:t>ensemble du véhicule (IWVTA). Les modifications qu</w:t>
      </w:r>
      <w:r w:rsidR="00C52275">
        <w:rPr>
          <w:lang w:val="fr-FR"/>
        </w:rPr>
        <w:t>’</w:t>
      </w:r>
      <w:r w:rsidRPr="008A43AA">
        <w:rPr>
          <w:lang w:val="fr-FR"/>
        </w:rPr>
        <w:t>il est proposé d</w:t>
      </w:r>
      <w:r w:rsidR="00C52275">
        <w:rPr>
          <w:lang w:val="fr-FR"/>
        </w:rPr>
        <w:t>’</w:t>
      </w:r>
      <w:r w:rsidRPr="008A43AA">
        <w:rPr>
          <w:lang w:val="fr-FR"/>
        </w:rPr>
        <w:t>apporter aux textes actuels sont signalées en caractères gras pour les ajouts o</w:t>
      </w:r>
      <w:r w:rsidR="0014239B">
        <w:rPr>
          <w:lang w:val="fr-FR"/>
        </w:rPr>
        <w:t>u biffés pour les suppressions.</w:t>
      </w:r>
    </w:p>
    <w:p w:rsidR="008A43AA" w:rsidRPr="008A43AA" w:rsidRDefault="008A43AA" w:rsidP="00C52275">
      <w:pPr>
        <w:pStyle w:val="HChG"/>
      </w:pPr>
      <w:r>
        <w:rPr>
          <w:lang w:val="fr-FR"/>
        </w:rPr>
        <w:br w:type="page"/>
      </w:r>
      <w:r w:rsidR="00C52275">
        <w:rPr>
          <w:lang w:val="fr-FR"/>
        </w:rPr>
        <w:lastRenderedPageBreak/>
        <w:tab/>
        <w:t>I.</w:t>
      </w:r>
      <w:r w:rsidR="00C52275">
        <w:rPr>
          <w:lang w:val="fr-FR"/>
        </w:rPr>
        <w:tab/>
      </w:r>
      <w:r w:rsidRPr="008A43AA">
        <w:rPr>
          <w:lang w:val="fr-FR"/>
        </w:rPr>
        <w:t>Propositions</w:t>
      </w:r>
    </w:p>
    <w:p w:rsidR="008A43AA" w:rsidRPr="008A43AA" w:rsidRDefault="00C52275" w:rsidP="00C52275">
      <w:pPr>
        <w:pStyle w:val="H1G"/>
      </w:pPr>
      <w:r>
        <w:rPr>
          <w:lang w:val="fr-FR"/>
        </w:rPr>
        <w:tab/>
      </w:r>
      <w:r w:rsidR="008A43AA" w:rsidRPr="008A43AA">
        <w:rPr>
          <w:lang w:val="fr-FR"/>
        </w:rPr>
        <w:t>A.</w:t>
      </w:r>
      <w:r w:rsidR="008A43AA" w:rsidRPr="008A43AA">
        <w:rPr>
          <w:lang w:val="fr-FR"/>
        </w:rPr>
        <w:tab/>
        <w:t xml:space="preserve">Proposition de complément 18 au Règlement </w:t>
      </w:r>
      <w:r w:rsidRPr="00C52275">
        <w:rPr>
          <w:rFonts w:eastAsia="MS Mincho"/>
          <w:szCs w:val="22"/>
          <w:lang w:val="fr-FR"/>
        </w:rPr>
        <w:t>n</w:t>
      </w:r>
      <w:r w:rsidRPr="00C52275">
        <w:rPr>
          <w:rFonts w:eastAsia="MS Mincho"/>
          <w:szCs w:val="22"/>
          <w:vertAlign w:val="superscript"/>
          <w:lang w:val="fr-FR"/>
        </w:rPr>
        <w:t>o</w:t>
      </w:r>
      <w:r>
        <w:rPr>
          <w:lang w:val="fr-FR"/>
        </w:rPr>
        <w:t> </w:t>
      </w:r>
      <w:r w:rsidR="008A43AA" w:rsidRPr="008A43AA">
        <w:rPr>
          <w:lang w:val="fr-FR"/>
        </w:rPr>
        <w:t>4 (Dispositifs d</w:t>
      </w:r>
      <w:r>
        <w:rPr>
          <w:lang w:val="fr-FR"/>
        </w:rPr>
        <w:t>’</w:t>
      </w:r>
      <w:r w:rsidR="008A43AA" w:rsidRPr="008A43AA">
        <w:rPr>
          <w:lang w:val="fr-FR"/>
        </w:rPr>
        <w:t>éclairage des plaques d</w:t>
      </w:r>
      <w:r>
        <w:rPr>
          <w:lang w:val="fr-FR"/>
        </w:rPr>
        <w:t>’</w:t>
      </w:r>
      <w:r w:rsidR="008A43AA" w:rsidRPr="008A43AA">
        <w:rPr>
          <w:lang w:val="fr-FR"/>
        </w:rPr>
        <w:t>immatriculation arrière)</w:t>
      </w:r>
    </w:p>
    <w:p w:rsidR="008A43AA" w:rsidRPr="008A43AA" w:rsidRDefault="008A43AA" w:rsidP="008A43AA">
      <w:pPr>
        <w:pStyle w:val="SingleTxtG"/>
      </w:pPr>
      <w:r w:rsidRPr="008A43AA">
        <w:rPr>
          <w:i/>
          <w:iCs/>
          <w:lang w:val="fr-FR"/>
        </w:rPr>
        <w:t>Paragraphe 4.1</w:t>
      </w:r>
      <w:r w:rsidRPr="00C52275">
        <w:rPr>
          <w:iCs/>
          <w:lang w:val="fr-FR"/>
        </w:rPr>
        <w:t>,</w:t>
      </w:r>
      <w:r w:rsidRPr="00C52275">
        <w:rPr>
          <w:lang w:val="fr-FR"/>
        </w:rPr>
        <w:t xml:space="preserve"> </w:t>
      </w:r>
      <w:r w:rsidRPr="008A43AA">
        <w:rPr>
          <w:lang w:val="fr-FR"/>
        </w:rPr>
        <w:t>modifier comme suit</w:t>
      </w:r>
      <w:r w:rsidR="00C52275">
        <w:rPr>
          <w:lang w:val="fr-FR"/>
        </w:rPr>
        <w:t> </w:t>
      </w:r>
      <w:r w:rsidRPr="008A43AA">
        <w:rPr>
          <w:lang w:val="fr-FR"/>
        </w:rPr>
        <w:t>:</w:t>
      </w:r>
    </w:p>
    <w:p w:rsidR="008A43AA" w:rsidRPr="008A43AA" w:rsidRDefault="00C52275" w:rsidP="00C52275">
      <w:pPr>
        <w:pStyle w:val="SingleTxtG"/>
        <w:ind w:left="2268" w:hanging="1134"/>
      </w:pPr>
      <w:r>
        <w:rPr>
          <w:lang w:val="fr-FR"/>
        </w:rPr>
        <w:t>« </w:t>
      </w:r>
      <w:r w:rsidR="008A43AA" w:rsidRPr="008A43AA">
        <w:rPr>
          <w:lang w:val="fr-FR"/>
        </w:rPr>
        <w:t>4.1</w:t>
      </w:r>
      <w:r w:rsidR="008A43AA" w:rsidRPr="008A43AA">
        <w:rPr>
          <w:lang w:val="fr-FR"/>
        </w:rPr>
        <w:tab/>
        <w:t>Lorsque les deux échantillons d</w:t>
      </w:r>
      <w:r>
        <w:rPr>
          <w:lang w:val="fr-FR"/>
        </w:rPr>
        <w:t>’</w:t>
      </w:r>
      <w:r w:rsidR="008A43AA" w:rsidRPr="008A43AA">
        <w:rPr>
          <w:lang w:val="fr-FR"/>
        </w:rPr>
        <w:t>un type de dispositif d</w:t>
      </w:r>
      <w:r>
        <w:rPr>
          <w:lang w:val="fr-FR"/>
        </w:rPr>
        <w:t>’</w:t>
      </w:r>
      <w:r w:rsidR="008A43AA" w:rsidRPr="008A43AA">
        <w:rPr>
          <w:lang w:val="fr-FR"/>
        </w:rPr>
        <w:t>éclairage présenté en exécution du paragraphe 2 ci-dessus satisfont aux prescriptions du présent Règlement, l</w:t>
      </w:r>
      <w:r>
        <w:rPr>
          <w:lang w:val="fr-FR"/>
        </w:rPr>
        <w:t>’</w:t>
      </w:r>
      <w:r w:rsidR="008A43AA" w:rsidRPr="008A43AA">
        <w:rPr>
          <w:lang w:val="fr-FR"/>
        </w:rPr>
        <w:t xml:space="preserve">homologation est accordée. </w:t>
      </w:r>
      <w:r w:rsidR="008A43AA" w:rsidRPr="008A43AA">
        <w:rPr>
          <w:b/>
          <w:bCs/>
          <w:lang w:val="fr-FR"/>
        </w:rPr>
        <w:t>Toutefois, si au moins une catégorie de sources lumineuses est prescrite au paragraphe 2, l</w:t>
      </w:r>
      <w:r>
        <w:rPr>
          <w:b/>
          <w:bCs/>
          <w:lang w:val="fr-FR"/>
        </w:rPr>
        <w:t>’</w:t>
      </w:r>
      <w:r w:rsidR="008A43AA" w:rsidRPr="008A43AA">
        <w:rPr>
          <w:b/>
          <w:bCs/>
          <w:lang w:val="fr-FR"/>
        </w:rPr>
        <w:t>homologation de ce type de dispositif d</w:t>
      </w:r>
      <w:r>
        <w:rPr>
          <w:b/>
          <w:bCs/>
          <w:lang w:val="fr-FR"/>
        </w:rPr>
        <w:t>’</w:t>
      </w:r>
      <w:r w:rsidR="008A43AA" w:rsidRPr="008A43AA">
        <w:rPr>
          <w:b/>
          <w:bCs/>
          <w:lang w:val="fr-FR"/>
        </w:rPr>
        <w:t>éclairage n</w:t>
      </w:r>
      <w:r>
        <w:rPr>
          <w:b/>
          <w:bCs/>
          <w:lang w:val="fr-FR"/>
        </w:rPr>
        <w:t>’</w:t>
      </w:r>
      <w:r w:rsidR="008A43AA" w:rsidRPr="008A43AA">
        <w:rPr>
          <w:b/>
          <w:bCs/>
          <w:lang w:val="fr-FR"/>
        </w:rPr>
        <w:t>est valable que si les échantillons présentés étaient équipés de sources lumineuses appartenant aux catégories prescrites.</w:t>
      </w:r>
      <w:r w:rsidRPr="00C52275">
        <w:rPr>
          <w:bCs/>
          <w:lang w:val="fr-FR"/>
        </w:rPr>
        <w:t> ».</w:t>
      </w:r>
    </w:p>
    <w:p w:rsidR="008A43AA" w:rsidRPr="008A43AA" w:rsidRDefault="00C52275" w:rsidP="00C52275">
      <w:pPr>
        <w:pStyle w:val="H1G"/>
      </w:pPr>
      <w:r>
        <w:rPr>
          <w:lang w:val="fr-FR"/>
        </w:rPr>
        <w:tab/>
      </w:r>
      <w:r w:rsidR="008A43AA" w:rsidRPr="008A43AA">
        <w:rPr>
          <w:lang w:val="fr-FR"/>
        </w:rPr>
        <w:t>B.</w:t>
      </w:r>
      <w:r w:rsidR="008A43AA" w:rsidRPr="008A43AA">
        <w:rPr>
          <w:lang w:val="fr-FR"/>
        </w:rPr>
        <w:tab/>
        <w:t>Proposition de complément 27 à la série 01 d</w:t>
      </w:r>
      <w:r>
        <w:rPr>
          <w:lang w:val="fr-FR"/>
        </w:rPr>
        <w:t>’</w:t>
      </w:r>
      <w:r w:rsidR="008A43AA" w:rsidRPr="008A43AA">
        <w:rPr>
          <w:lang w:val="fr-FR"/>
        </w:rPr>
        <w:t xml:space="preserve">amendements </w:t>
      </w:r>
      <w:r>
        <w:rPr>
          <w:lang w:val="fr-FR"/>
        </w:rPr>
        <w:br/>
      </w:r>
      <w:r w:rsidR="008A43AA" w:rsidRPr="008A43AA">
        <w:rPr>
          <w:lang w:val="fr-FR"/>
        </w:rPr>
        <w:t xml:space="preserve">au Règlement </w:t>
      </w:r>
      <w:r w:rsidRPr="00C52275">
        <w:rPr>
          <w:rFonts w:eastAsia="MS Mincho"/>
          <w:szCs w:val="22"/>
          <w:lang w:val="fr-FR"/>
        </w:rPr>
        <w:t>n</w:t>
      </w:r>
      <w:r w:rsidRPr="00C52275">
        <w:rPr>
          <w:rFonts w:eastAsia="MS Mincho"/>
          <w:szCs w:val="22"/>
          <w:vertAlign w:val="superscript"/>
          <w:lang w:val="fr-FR"/>
        </w:rPr>
        <w:t>o</w:t>
      </w:r>
      <w:r>
        <w:rPr>
          <w:lang w:val="fr-FR"/>
        </w:rPr>
        <w:t> </w:t>
      </w:r>
      <w:r w:rsidR="008A43AA" w:rsidRPr="008A43AA">
        <w:rPr>
          <w:lang w:val="fr-FR"/>
        </w:rPr>
        <w:t>6 (Feux indicateurs de direction</w:t>
      </w:r>
      <w:r>
        <w:rPr>
          <w:lang w:val="fr-FR"/>
        </w:rPr>
        <w:t>)</w:t>
      </w:r>
    </w:p>
    <w:p w:rsidR="008A43AA" w:rsidRPr="008A43AA" w:rsidRDefault="008A43AA" w:rsidP="008A43AA">
      <w:pPr>
        <w:pStyle w:val="SingleTxtG"/>
      </w:pPr>
      <w:r w:rsidRPr="008A43AA">
        <w:rPr>
          <w:i/>
          <w:iCs/>
          <w:lang w:val="fr-FR"/>
        </w:rPr>
        <w:t>Paragraphe 4.1.1</w:t>
      </w:r>
      <w:r w:rsidRPr="00C52275">
        <w:rPr>
          <w:iCs/>
          <w:lang w:val="fr-FR"/>
        </w:rPr>
        <w:t>,</w:t>
      </w:r>
      <w:r w:rsidRPr="00C52275">
        <w:rPr>
          <w:lang w:val="fr-FR"/>
        </w:rPr>
        <w:t xml:space="preserve"> </w:t>
      </w:r>
      <w:r w:rsidRPr="008A43AA">
        <w:rPr>
          <w:lang w:val="fr-FR"/>
        </w:rPr>
        <w:t>modifier comme suit</w:t>
      </w:r>
      <w:r w:rsidR="00C52275">
        <w:rPr>
          <w:lang w:val="fr-FR"/>
        </w:rPr>
        <w:t> </w:t>
      </w:r>
      <w:r w:rsidRPr="008A43AA">
        <w:rPr>
          <w:lang w:val="fr-FR"/>
        </w:rPr>
        <w:t>:</w:t>
      </w:r>
    </w:p>
    <w:p w:rsidR="008A43AA" w:rsidRPr="008A43AA" w:rsidRDefault="00C52275" w:rsidP="00C52275">
      <w:pPr>
        <w:pStyle w:val="SingleTxtG"/>
        <w:ind w:left="2268" w:hanging="1134"/>
        <w:rPr>
          <w:lang w:val="fr-FR"/>
        </w:rPr>
      </w:pPr>
      <w:r>
        <w:rPr>
          <w:lang w:val="fr-FR"/>
        </w:rPr>
        <w:t>« </w:t>
      </w:r>
      <w:r w:rsidR="008A43AA" w:rsidRPr="008A43AA">
        <w:rPr>
          <w:lang w:val="fr-FR"/>
        </w:rPr>
        <w:t>4.1.1</w:t>
      </w:r>
      <w:r w:rsidR="008A43AA" w:rsidRPr="008A43AA">
        <w:rPr>
          <w:lang w:val="fr-FR"/>
        </w:rPr>
        <w:tab/>
      </w:r>
      <w:r>
        <w:rPr>
          <w:lang w:val="fr-FR"/>
        </w:rPr>
        <w:tab/>
      </w:r>
      <w:r w:rsidR="008A43AA" w:rsidRPr="008A43AA">
        <w:rPr>
          <w:lang w:val="fr-FR"/>
        </w:rPr>
        <w:t>Si les deux dispositifs présentés à l</w:t>
      </w:r>
      <w:r>
        <w:rPr>
          <w:lang w:val="fr-FR"/>
        </w:rPr>
        <w:t>’</w:t>
      </w:r>
      <w:r w:rsidR="008A43AA" w:rsidRPr="008A43AA">
        <w:rPr>
          <w:lang w:val="fr-FR"/>
        </w:rPr>
        <w:t>homologation en application du paragraphe 2.2.4 ci-dessus satisfont aux prescriptions du présent Règlement, l</w:t>
      </w:r>
      <w:r>
        <w:rPr>
          <w:lang w:val="fr-FR"/>
        </w:rPr>
        <w:t>’</w:t>
      </w:r>
      <w:r w:rsidR="008A43AA" w:rsidRPr="008A43AA">
        <w:rPr>
          <w:lang w:val="fr-FR"/>
        </w:rPr>
        <w:t xml:space="preserve">homologation est accordée. </w:t>
      </w:r>
      <w:r w:rsidR="008A43AA" w:rsidRPr="008A43AA">
        <w:rPr>
          <w:b/>
          <w:bCs/>
          <w:lang w:val="fr-FR"/>
        </w:rPr>
        <w:t>Toutefois, si au moins une catégorie de sources lumineuses est prescrite au paragraphe 2.2.2, l</w:t>
      </w:r>
      <w:r>
        <w:rPr>
          <w:b/>
          <w:bCs/>
          <w:lang w:val="fr-FR"/>
        </w:rPr>
        <w:t>’</w:t>
      </w:r>
      <w:r w:rsidR="008A43AA" w:rsidRPr="008A43AA">
        <w:rPr>
          <w:b/>
          <w:bCs/>
          <w:lang w:val="fr-FR"/>
        </w:rPr>
        <w:t>homologation de ce type de dispositif n</w:t>
      </w:r>
      <w:r>
        <w:rPr>
          <w:b/>
          <w:bCs/>
          <w:lang w:val="fr-FR"/>
        </w:rPr>
        <w:t>’</w:t>
      </w:r>
      <w:r w:rsidR="008A43AA" w:rsidRPr="008A43AA">
        <w:rPr>
          <w:b/>
          <w:bCs/>
          <w:lang w:val="fr-FR"/>
        </w:rPr>
        <w:t>est valable que si les dispositifs présentés étaient équipés de sources lumineuses appartenant aux catégories prescrites.</w:t>
      </w:r>
    </w:p>
    <w:p w:rsidR="008A43AA" w:rsidRPr="008A43AA" w:rsidRDefault="008A43AA" w:rsidP="002544CD">
      <w:pPr>
        <w:pStyle w:val="SingleTxtG"/>
        <w:ind w:left="2268"/>
        <w:rPr>
          <w:b/>
          <w:lang w:val="fr-FR"/>
        </w:rPr>
      </w:pPr>
      <w:r w:rsidRPr="008A43AA">
        <w:rPr>
          <w:lang w:val="fr-FR"/>
        </w:rPr>
        <w:t>Tous les dispositifs d</w:t>
      </w:r>
      <w:r w:rsidR="00C52275">
        <w:rPr>
          <w:lang w:val="fr-FR"/>
        </w:rPr>
        <w:t>’</w:t>
      </w:r>
      <w:r w:rsidRPr="008A43AA">
        <w:rPr>
          <w:lang w:val="fr-FR"/>
        </w:rPr>
        <w:t>un système de feux interdépendants doivent être soumis à l</w:t>
      </w:r>
      <w:r w:rsidR="00C52275">
        <w:rPr>
          <w:lang w:val="fr-FR"/>
        </w:rPr>
        <w:t>’</w:t>
      </w:r>
      <w:r w:rsidRPr="008A43AA">
        <w:rPr>
          <w:lang w:val="fr-FR"/>
        </w:rPr>
        <w:t>homologation de type par le même demandeur.</w:t>
      </w:r>
      <w:r w:rsidR="00C52275">
        <w:rPr>
          <w:lang w:val="fr-FR"/>
        </w:rPr>
        <w:t> ».</w:t>
      </w:r>
    </w:p>
    <w:p w:rsidR="008A43AA" w:rsidRPr="008A43AA" w:rsidRDefault="002544CD" w:rsidP="002544CD">
      <w:pPr>
        <w:pStyle w:val="H1G"/>
      </w:pPr>
      <w:r>
        <w:rPr>
          <w:lang w:val="fr-FR"/>
        </w:rPr>
        <w:tab/>
      </w:r>
      <w:r w:rsidR="008A43AA" w:rsidRPr="008A43AA">
        <w:rPr>
          <w:lang w:val="fr-FR"/>
        </w:rPr>
        <w:t>C.</w:t>
      </w:r>
      <w:r w:rsidR="008A43AA" w:rsidRPr="008A43AA">
        <w:rPr>
          <w:lang w:val="fr-FR"/>
        </w:rPr>
        <w:tab/>
        <w:t>Proposition de complément 26 à la série 02 d</w:t>
      </w:r>
      <w:r w:rsidR="00C52275">
        <w:rPr>
          <w:lang w:val="fr-FR"/>
        </w:rPr>
        <w:t>’</w:t>
      </w:r>
      <w:r w:rsidR="008A43AA" w:rsidRPr="008A43AA">
        <w:rPr>
          <w:lang w:val="fr-FR"/>
        </w:rPr>
        <w:t xml:space="preserve">amendements </w:t>
      </w:r>
      <w:r>
        <w:rPr>
          <w:lang w:val="fr-FR"/>
        </w:rPr>
        <w:br/>
      </w:r>
      <w:r w:rsidR="008A43AA" w:rsidRPr="008A43AA">
        <w:rPr>
          <w:lang w:val="fr-FR"/>
        </w:rPr>
        <w:t xml:space="preserve">au Règlement </w:t>
      </w:r>
      <w:r w:rsidRPr="002544CD">
        <w:rPr>
          <w:rFonts w:eastAsia="MS Mincho"/>
          <w:szCs w:val="22"/>
          <w:lang w:val="fr-FR"/>
        </w:rPr>
        <w:t>n</w:t>
      </w:r>
      <w:r w:rsidRPr="002544CD">
        <w:rPr>
          <w:rFonts w:eastAsia="MS Mincho"/>
          <w:szCs w:val="22"/>
          <w:vertAlign w:val="superscript"/>
          <w:lang w:val="fr-FR"/>
        </w:rPr>
        <w:t>o</w:t>
      </w:r>
      <w:r>
        <w:rPr>
          <w:lang w:val="fr-FR"/>
        </w:rPr>
        <w:t> </w:t>
      </w:r>
      <w:r w:rsidR="008A43AA" w:rsidRPr="008A43AA">
        <w:rPr>
          <w:lang w:val="fr-FR"/>
        </w:rPr>
        <w:t xml:space="preserve">7 (Feux de position, feux-stop </w:t>
      </w:r>
      <w:r>
        <w:rPr>
          <w:lang w:val="fr-FR"/>
        </w:rPr>
        <w:br/>
      </w:r>
      <w:r w:rsidR="008A43AA" w:rsidRPr="008A43AA">
        <w:rPr>
          <w:lang w:val="fr-FR"/>
        </w:rPr>
        <w:t>et feux d</w:t>
      </w:r>
      <w:r w:rsidR="00C52275">
        <w:rPr>
          <w:lang w:val="fr-FR"/>
        </w:rPr>
        <w:t>’</w:t>
      </w:r>
      <w:r w:rsidR="008A43AA" w:rsidRPr="008A43AA">
        <w:rPr>
          <w:lang w:val="fr-FR"/>
        </w:rPr>
        <w:t xml:space="preserve">encombrement) </w:t>
      </w:r>
    </w:p>
    <w:p w:rsidR="008A43AA" w:rsidRPr="008A43AA" w:rsidRDefault="008A43AA" w:rsidP="008A43AA">
      <w:pPr>
        <w:pStyle w:val="SingleTxtG"/>
      </w:pPr>
      <w:r w:rsidRPr="008A43AA">
        <w:rPr>
          <w:i/>
          <w:iCs/>
          <w:lang w:val="fr-FR"/>
        </w:rPr>
        <w:t>Paragraphe 4.1.1</w:t>
      </w:r>
      <w:r w:rsidRPr="008A43AA">
        <w:rPr>
          <w:lang w:val="fr-FR"/>
        </w:rPr>
        <w:t>, modifier comme suit</w:t>
      </w:r>
      <w:r w:rsidR="002544CD">
        <w:rPr>
          <w:lang w:val="fr-FR"/>
        </w:rPr>
        <w:t> </w:t>
      </w:r>
      <w:r w:rsidRPr="008A43AA">
        <w:rPr>
          <w:lang w:val="fr-FR"/>
        </w:rPr>
        <w:t>:</w:t>
      </w:r>
    </w:p>
    <w:p w:rsidR="008A43AA" w:rsidRPr="008A43AA" w:rsidRDefault="002544CD" w:rsidP="00C52275">
      <w:pPr>
        <w:pStyle w:val="SingleTxtG"/>
        <w:ind w:left="2268" w:hanging="1134"/>
      </w:pPr>
      <w:r>
        <w:rPr>
          <w:lang w:val="fr-FR"/>
        </w:rPr>
        <w:t>« </w:t>
      </w:r>
      <w:r w:rsidR="008A43AA" w:rsidRPr="008A43AA">
        <w:rPr>
          <w:lang w:val="fr-FR"/>
        </w:rPr>
        <w:t>4.1.1</w:t>
      </w:r>
      <w:r w:rsidR="008A43AA" w:rsidRPr="008A43AA">
        <w:rPr>
          <w:lang w:val="fr-FR"/>
        </w:rPr>
        <w:tab/>
        <w:t>Si les deux dispositifs présentés en application du paragraphe 2.2.4 ci-dessus satisfont aux prescriptions du présent Règlement, l</w:t>
      </w:r>
      <w:r w:rsidR="00C52275">
        <w:rPr>
          <w:lang w:val="fr-FR"/>
        </w:rPr>
        <w:t>’</w:t>
      </w:r>
      <w:r w:rsidR="008A43AA" w:rsidRPr="008A43AA">
        <w:rPr>
          <w:lang w:val="fr-FR"/>
        </w:rPr>
        <w:t xml:space="preserve">homologation est accordée. </w:t>
      </w:r>
      <w:r w:rsidR="008A43AA" w:rsidRPr="008A43AA">
        <w:rPr>
          <w:b/>
          <w:bCs/>
          <w:lang w:val="fr-FR"/>
        </w:rPr>
        <w:t>Toutefois, si au moins une catégorie de sources lumineuses est prescrite au paragraphe 2.2.2, l</w:t>
      </w:r>
      <w:r w:rsidR="00C52275">
        <w:rPr>
          <w:b/>
          <w:bCs/>
          <w:lang w:val="fr-FR"/>
        </w:rPr>
        <w:t>’</w:t>
      </w:r>
      <w:r w:rsidR="008A43AA" w:rsidRPr="008A43AA">
        <w:rPr>
          <w:b/>
          <w:bCs/>
          <w:lang w:val="fr-FR"/>
        </w:rPr>
        <w:t>homologation de ce type de dispositif n</w:t>
      </w:r>
      <w:r w:rsidR="00C52275">
        <w:rPr>
          <w:b/>
          <w:bCs/>
          <w:lang w:val="fr-FR"/>
        </w:rPr>
        <w:t>’</w:t>
      </w:r>
      <w:r w:rsidR="008A43AA" w:rsidRPr="008A43AA">
        <w:rPr>
          <w:b/>
          <w:bCs/>
          <w:lang w:val="fr-FR"/>
        </w:rPr>
        <w:t>est valable que si les dispositifs présentés étaient équipés de sources lumineuses appartenant aux catégories prescrites.</w:t>
      </w:r>
    </w:p>
    <w:p w:rsidR="008A43AA" w:rsidRPr="008A43AA" w:rsidRDefault="008A43AA" w:rsidP="002544CD">
      <w:pPr>
        <w:pStyle w:val="SingleTxtG"/>
        <w:ind w:left="2268"/>
      </w:pPr>
      <w:r w:rsidRPr="008A43AA">
        <w:rPr>
          <w:lang w:val="fr-FR"/>
        </w:rPr>
        <w:t>Tous les dispositifs d</w:t>
      </w:r>
      <w:r w:rsidR="00C52275">
        <w:rPr>
          <w:lang w:val="fr-FR"/>
        </w:rPr>
        <w:t>’</w:t>
      </w:r>
      <w:r w:rsidRPr="008A43AA">
        <w:rPr>
          <w:lang w:val="fr-FR"/>
        </w:rPr>
        <w:t>un système de feux interdépendants doivent être soumis à l</w:t>
      </w:r>
      <w:r w:rsidR="00C52275">
        <w:rPr>
          <w:lang w:val="fr-FR"/>
        </w:rPr>
        <w:t>’</w:t>
      </w:r>
      <w:r w:rsidRPr="008A43AA">
        <w:rPr>
          <w:lang w:val="fr-FR"/>
        </w:rPr>
        <w:t>homologation de type par le même demandeur.</w:t>
      </w:r>
      <w:r w:rsidR="002544CD">
        <w:rPr>
          <w:lang w:val="fr-FR"/>
        </w:rPr>
        <w:t> ».</w:t>
      </w:r>
    </w:p>
    <w:p w:rsidR="008A43AA" w:rsidRPr="008A43AA" w:rsidRDefault="002544CD" w:rsidP="002544CD">
      <w:pPr>
        <w:pStyle w:val="H1G"/>
      </w:pPr>
      <w:r>
        <w:rPr>
          <w:lang w:val="fr-FR"/>
        </w:rPr>
        <w:tab/>
        <w:t>D.</w:t>
      </w:r>
      <w:r w:rsidR="008A43AA" w:rsidRPr="008A43AA">
        <w:rPr>
          <w:lang w:val="fr-FR"/>
        </w:rPr>
        <w:tab/>
        <w:t>Proposition de complément 9 à la série 04 d</w:t>
      </w:r>
      <w:r w:rsidR="00C52275">
        <w:rPr>
          <w:lang w:val="fr-FR"/>
        </w:rPr>
        <w:t>’</w:t>
      </w:r>
      <w:r w:rsidR="008A43AA" w:rsidRPr="008A43AA">
        <w:rPr>
          <w:lang w:val="fr-FR"/>
        </w:rPr>
        <w:t xml:space="preserve">amendements </w:t>
      </w:r>
      <w:r>
        <w:rPr>
          <w:lang w:val="fr-FR"/>
        </w:rPr>
        <w:br/>
      </w:r>
      <w:r w:rsidR="008A43AA" w:rsidRPr="008A43AA">
        <w:rPr>
          <w:lang w:val="fr-FR"/>
        </w:rPr>
        <w:t xml:space="preserve">au Règlement </w:t>
      </w:r>
      <w:r w:rsidRPr="002544CD">
        <w:rPr>
          <w:rFonts w:eastAsia="MS Mincho"/>
          <w:szCs w:val="22"/>
          <w:lang w:val="fr-FR"/>
        </w:rPr>
        <w:t>n</w:t>
      </w:r>
      <w:r w:rsidRPr="002544CD">
        <w:rPr>
          <w:rFonts w:eastAsia="MS Mincho"/>
          <w:szCs w:val="22"/>
          <w:vertAlign w:val="superscript"/>
          <w:lang w:val="fr-FR"/>
        </w:rPr>
        <w:t>o</w:t>
      </w:r>
      <w:r>
        <w:rPr>
          <w:lang w:val="fr-FR"/>
        </w:rPr>
        <w:t> </w:t>
      </w:r>
      <w:r w:rsidR="008A43AA" w:rsidRPr="008A43AA">
        <w:rPr>
          <w:lang w:val="fr-FR"/>
        </w:rPr>
        <w:t>19 (Feux de brouillard avant)</w:t>
      </w:r>
    </w:p>
    <w:p w:rsidR="008A43AA" w:rsidRPr="008A43AA" w:rsidRDefault="008A43AA" w:rsidP="008A43AA">
      <w:pPr>
        <w:pStyle w:val="SingleTxtG"/>
        <w:rPr>
          <w:i/>
        </w:rPr>
      </w:pPr>
      <w:r w:rsidRPr="008A43AA">
        <w:rPr>
          <w:i/>
          <w:lang w:val="fr-FR"/>
        </w:rPr>
        <w:t>Paragraphe 4.1.1</w:t>
      </w:r>
      <w:r w:rsidRPr="008A43AA">
        <w:rPr>
          <w:lang w:val="fr-FR"/>
        </w:rPr>
        <w:t>, modifier comme suit</w:t>
      </w:r>
      <w:r w:rsidR="002544CD">
        <w:rPr>
          <w:lang w:val="fr-FR"/>
        </w:rPr>
        <w:t> </w:t>
      </w:r>
      <w:r w:rsidRPr="008A43AA">
        <w:rPr>
          <w:lang w:val="fr-FR"/>
        </w:rPr>
        <w:t>:</w:t>
      </w:r>
    </w:p>
    <w:p w:rsidR="008A43AA" w:rsidRPr="008A43AA" w:rsidRDefault="002544CD" w:rsidP="002544CD">
      <w:pPr>
        <w:pStyle w:val="SingleTxtG"/>
        <w:ind w:left="2268" w:hanging="1134"/>
        <w:rPr>
          <w:lang w:val="fr-FR"/>
        </w:rPr>
      </w:pPr>
      <w:r>
        <w:rPr>
          <w:lang w:val="fr-FR"/>
        </w:rPr>
        <w:t>« </w:t>
      </w:r>
      <w:r w:rsidR="008A43AA" w:rsidRPr="008A43AA">
        <w:rPr>
          <w:lang w:val="fr-FR"/>
        </w:rPr>
        <w:t>4.1.1</w:t>
      </w:r>
      <w:r w:rsidR="008A43AA" w:rsidRPr="008A43AA">
        <w:rPr>
          <w:lang w:val="fr-FR"/>
        </w:rPr>
        <w:tab/>
        <w:t>Si tous les échantillons d</w:t>
      </w:r>
      <w:r w:rsidR="00C52275">
        <w:rPr>
          <w:lang w:val="fr-FR"/>
        </w:rPr>
        <w:t>’</w:t>
      </w:r>
      <w:r w:rsidR="008A43AA" w:rsidRPr="008A43AA">
        <w:rPr>
          <w:lang w:val="fr-FR"/>
        </w:rPr>
        <w:t>un type de feu de brouillard avant, présentés en application du paragraphe 2 du présent Règlement, satisfont aux prescriptions dudit Règlement, l</w:t>
      </w:r>
      <w:r w:rsidR="00C52275">
        <w:rPr>
          <w:lang w:val="fr-FR"/>
        </w:rPr>
        <w:t>’</w:t>
      </w:r>
      <w:r w:rsidR="008A43AA" w:rsidRPr="008A43AA">
        <w:rPr>
          <w:lang w:val="fr-FR"/>
        </w:rPr>
        <w:t xml:space="preserve">homologation est accordée. </w:t>
      </w:r>
      <w:r w:rsidR="008A43AA" w:rsidRPr="008A43AA">
        <w:rPr>
          <w:b/>
          <w:bCs/>
          <w:lang w:val="fr-FR"/>
        </w:rPr>
        <w:t>Toutefois, si au moins une catégorie de sources lumineuses est prescrite au paragraphe 2.4.1, l</w:t>
      </w:r>
      <w:r w:rsidR="00C52275">
        <w:rPr>
          <w:b/>
          <w:bCs/>
          <w:lang w:val="fr-FR"/>
        </w:rPr>
        <w:t>’</w:t>
      </w:r>
      <w:r w:rsidR="008A43AA" w:rsidRPr="008A43AA">
        <w:rPr>
          <w:b/>
          <w:bCs/>
          <w:lang w:val="fr-FR"/>
        </w:rPr>
        <w:t>homologation de ce type de feu de brouillard avant n</w:t>
      </w:r>
      <w:r w:rsidR="00C52275">
        <w:rPr>
          <w:b/>
          <w:bCs/>
          <w:lang w:val="fr-FR"/>
        </w:rPr>
        <w:t>’</w:t>
      </w:r>
      <w:r w:rsidR="008A43AA" w:rsidRPr="008A43AA">
        <w:rPr>
          <w:b/>
          <w:bCs/>
          <w:lang w:val="fr-FR"/>
        </w:rPr>
        <w:t>est valable que si les échantillons présentés étaient équipés de sources lumineuses appartenant aux catégories prescrites.</w:t>
      </w:r>
      <w:r w:rsidRPr="002544CD">
        <w:rPr>
          <w:bCs/>
          <w:lang w:val="fr-FR"/>
        </w:rPr>
        <w:t> ».</w:t>
      </w:r>
    </w:p>
    <w:p w:rsidR="008A43AA" w:rsidRPr="008A43AA" w:rsidRDefault="002544CD" w:rsidP="002544CD">
      <w:pPr>
        <w:pStyle w:val="H1G"/>
      </w:pPr>
      <w:bookmarkStart w:id="0" w:name="_GoBack"/>
      <w:bookmarkEnd w:id="0"/>
      <w:r>
        <w:rPr>
          <w:lang w:val="fr-FR"/>
        </w:rPr>
        <w:lastRenderedPageBreak/>
        <w:tab/>
      </w:r>
      <w:r w:rsidR="008A43AA" w:rsidRPr="008A43AA">
        <w:rPr>
          <w:lang w:val="fr-FR"/>
        </w:rPr>
        <w:t>E.</w:t>
      </w:r>
      <w:r w:rsidR="008A43AA" w:rsidRPr="008A43AA">
        <w:rPr>
          <w:lang w:val="fr-FR"/>
        </w:rPr>
        <w:tab/>
        <w:t xml:space="preserve">Proposition de complément 21 au Règlement </w:t>
      </w:r>
      <w:r w:rsidRPr="002544CD">
        <w:rPr>
          <w:rFonts w:eastAsia="MS Mincho"/>
          <w:szCs w:val="22"/>
          <w:lang w:val="fr-FR"/>
        </w:rPr>
        <w:t>n</w:t>
      </w:r>
      <w:r w:rsidRPr="002544CD">
        <w:rPr>
          <w:rFonts w:eastAsia="MS Mincho"/>
          <w:szCs w:val="22"/>
          <w:vertAlign w:val="superscript"/>
          <w:lang w:val="fr-FR"/>
        </w:rPr>
        <w:t>o</w:t>
      </w:r>
      <w:r>
        <w:rPr>
          <w:lang w:val="fr-FR"/>
        </w:rPr>
        <w:t> </w:t>
      </w:r>
      <w:r w:rsidR="008A43AA" w:rsidRPr="008A43AA">
        <w:rPr>
          <w:lang w:val="fr-FR"/>
        </w:rPr>
        <w:t xml:space="preserve">23 </w:t>
      </w:r>
      <w:r>
        <w:rPr>
          <w:lang w:val="fr-FR"/>
        </w:rPr>
        <w:br/>
      </w:r>
      <w:r w:rsidR="008A43AA" w:rsidRPr="008A43AA">
        <w:rPr>
          <w:lang w:val="fr-FR"/>
        </w:rPr>
        <w:t>(Feux de marche arrière et feux de manœuvre)</w:t>
      </w:r>
    </w:p>
    <w:p w:rsidR="008A43AA" w:rsidRPr="008A43AA" w:rsidRDefault="008A43AA" w:rsidP="008A43AA">
      <w:pPr>
        <w:pStyle w:val="SingleTxtG"/>
      </w:pPr>
      <w:r w:rsidRPr="008A43AA">
        <w:rPr>
          <w:i/>
          <w:iCs/>
          <w:lang w:val="fr-FR"/>
        </w:rPr>
        <w:t>Paragraphe 4,1</w:t>
      </w:r>
      <w:r w:rsidRPr="002544CD">
        <w:rPr>
          <w:iCs/>
          <w:lang w:val="fr-FR"/>
        </w:rPr>
        <w:t>,</w:t>
      </w:r>
      <w:r w:rsidRPr="008A43AA">
        <w:rPr>
          <w:lang w:val="fr-FR"/>
        </w:rPr>
        <w:t xml:space="preserve"> modifier comme suit</w:t>
      </w:r>
      <w:r w:rsidR="002544CD">
        <w:rPr>
          <w:lang w:val="fr-FR"/>
        </w:rPr>
        <w:t> </w:t>
      </w:r>
      <w:r w:rsidRPr="008A43AA">
        <w:rPr>
          <w:lang w:val="fr-FR"/>
        </w:rPr>
        <w:t>:</w:t>
      </w:r>
    </w:p>
    <w:p w:rsidR="008A43AA" w:rsidRPr="008A43AA" w:rsidRDefault="002544CD" w:rsidP="002544CD">
      <w:pPr>
        <w:pStyle w:val="SingleTxtG"/>
        <w:ind w:left="2268" w:hanging="1134"/>
      </w:pPr>
      <w:r>
        <w:rPr>
          <w:lang w:val="fr-FR"/>
        </w:rPr>
        <w:t>« </w:t>
      </w:r>
      <w:r w:rsidR="008A43AA" w:rsidRPr="008A43AA">
        <w:rPr>
          <w:lang w:val="fr-FR"/>
        </w:rPr>
        <w:t>4.1</w:t>
      </w:r>
      <w:r w:rsidR="008A43AA" w:rsidRPr="008A43AA">
        <w:rPr>
          <w:lang w:val="fr-FR"/>
        </w:rPr>
        <w:tab/>
        <w:t>Si les deux échantillons d</w:t>
      </w:r>
      <w:r w:rsidR="00C52275">
        <w:rPr>
          <w:lang w:val="fr-FR"/>
        </w:rPr>
        <w:t>’</w:t>
      </w:r>
      <w:r w:rsidR="008A43AA" w:rsidRPr="008A43AA">
        <w:rPr>
          <w:lang w:val="fr-FR"/>
        </w:rPr>
        <w:t>un type de feu de marche arrière ou de feu de manœuvre satisfont aux prescriptions du présent Règlement, l</w:t>
      </w:r>
      <w:r w:rsidR="00C52275">
        <w:rPr>
          <w:lang w:val="fr-FR"/>
        </w:rPr>
        <w:t>’</w:t>
      </w:r>
      <w:r w:rsidR="008A43AA" w:rsidRPr="008A43AA">
        <w:rPr>
          <w:lang w:val="fr-FR"/>
        </w:rPr>
        <w:t xml:space="preserve">homologation est accordée. </w:t>
      </w:r>
      <w:r w:rsidR="008A43AA" w:rsidRPr="008A43AA">
        <w:rPr>
          <w:b/>
          <w:bCs/>
          <w:lang w:val="fr-FR"/>
        </w:rPr>
        <w:t>Toutefois, si au moins une catégorie de sources lumineuses est prescrite au paragraphe 2.2.2, l</w:t>
      </w:r>
      <w:r w:rsidR="00C52275">
        <w:rPr>
          <w:b/>
          <w:bCs/>
          <w:lang w:val="fr-FR"/>
        </w:rPr>
        <w:t>’</w:t>
      </w:r>
      <w:r w:rsidR="008A43AA" w:rsidRPr="008A43AA">
        <w:rPr>
          <w:b/>
          <w:bCs/>
          <w:lang w:val="fr-FR"/>
        </w:rPr>
        <w:t>homologation de ce type de feu de marche arrière ou de feu de manœuvre n</w:t>
      </w:r>
      <w:r w:rsidR="00C52275">
        <w:rPr>
          <w:b/>
          <w:bCs/>
          <w:lang w:val="fr-FR"/>
        </w:rPr>
        <w:t>’</w:t>
      </w:r>
      <w:r w:rsidR="008A43AA" w:rsidRPr="008A43AA">
        <w:rPr>
          <w:b/>
          <w:bCs/>
          <w:lang w:val="fr-FR"/>
        </w:rPr>
        <w:t>est valable que si les échantillons présentés étaient équipés de sources lumineuses appartenant aux catégories prescrites.</w:t>
      </w:r>
      <w:r w:rsidRPr="002544CD">
        <w:rPr>
          <w:bCs/>
          <w:lang w:val="fr-FR"/>
        </w:rPr>
        <w:t> ».</w:t>
      </w:r>
    </w:p>
    <w:p w:rsidR="008A43AA" w:rsidRPr="008A43AA" w:rsidRDefault="002544CD" w:rsidP="002544CD">
      <w:pPr>
        <w:pStyle w:val="H1G"/>
      </w:pPr>
      <w:r>
        <w:rPr>
          <w:lang w:val="fr-FR"/>
        </w:rPr>
        <w:tab/>
      </w:r>
      <w:r w:rsidR="008A43AA" w:rsidRPr="008A43AA">
        <w:rPr>
          <w:lang w:val="fr-FR"/>
        </w:rPr>
        <w:t>F.</w:t>
      </w:r>
      <w:r w:rsidR="008A43AA" w:rsidRPr="008A43AA">
        <w:rPr>
          <w:lang w:val="fr-FR"/>
        </w:rPr>
        <w:tab/>
        <w:t xml:space="preserve">Proposition de complément 18 au Règlement </w:t>
      </w:r>
      <w:r w:rsidRPr="002544CD">
        <w:rPr>
          <w:rFonts w:eastAsia="MS Mincho"/>
          <w:szCs w:val="22"/>
          <w:lang w:val="fr-FR"/>
        </w:rPr>
        <w:t>n</w:t>
      </w:r>
      <w:r w:rsidRPr="002544CD">
        <w:rPr>
          <w:rFonts w:eastAsia="MS Mincho"/>
          <w:szCs w:val="22"/>
          <w:vertAlign w:val="superscript"/>
          <w:lang w:val="fr-FR"/>
        </w:rPr>
        <w:t>o</w:t>
      </w:r>
      <w:r>
        <w:rPr>
          <w:lang w:val="fr-FR"/>
        </w:rPr>
        <w:t> </w:t>
      </w:r>
      <w:r w:rsidR="008A43AA" w:rsidRPr="008A43AA">
        <w:rPr>
          <w:lang w:val="fr-FR"/>
        </w:rPr>
        <w:t xml:space="preserve">38 </w:t>
      </w:r>
      <w:r>
        <w:rPr>
          <w:lang w:val="fr-FR"/>
        </w:rPr>
        <w:br/>
      </w:r>
      <w:r w:rsidR="008A43AA" w:rsidRPr="008A43AA">
        <w:rPr>
          <w:lang w:val="fr-FR"/>
        </w:rPr>
        <w:t>(Feux de brouillard arrière</w:t>
      </w:r>
      <w:r>
        <w:rPr>
          <w:lang w:val="fr-FR"/>
        </w:rPr>
        <w:t>)</w:t>
      </w:r>
    </w:p>
    <w:p w:rsidR="008A43AA" w:rsidRPr="008A43AA" w:rsidRDefault="008A43AA" w:rsidP="008A43AA">
      <w:pPr>
        <w:pStyle w:val="SingleTxtG"/>
      </w:pPr>
      <w:r w:rsidRPr="008A43AA">
        <w:rPr>
          <w:i/>
          <w:iCs/>
          <w:lang w:val="fr-FR"/>
        </w:rPr>
        <w:t>Paragraphe 4</w:t>
      </w:r>
      <w:r w:rsidR="002544CD">
        <w:rPr>
          <w:i/>
          <w:iCs/>
          <w:lang w:val="fr-FR"/>
        </w:rPr>
        <w:t>.</w:t>
      </w:r>
      <w:r w:rsidRPr="008A43AA">
        <w:rPr>
          <w:i/>
          <w:iCs/>
          <w:lang w:val="fr-FR"/>
        </w:rPr>
        <w:t>1</w:t>
      </w:r>
      <w:r w:rsidRPr="008A43AA">
        <w:rPr>
          <w:lang w:val="fr-FR"/>
        </w:rPr>
        <w:t>, modifier comme suit</w:t>
      </w:r>
      <w:r w:rsidR="002544CD">
        <w:rPr>
          <w:lang w:val="fr-FR"/>
        </w:rPr>
        <w:t> </w:t>
      </w:r>
      <w:r w:rsidRPr="008A43AA">
        <w:rPr>
          <w:lang w:val="fr-FR"/>
        </w:rPr>
        <w:t>:</w:t>
      </w:r>
    </w:p>
    <w:p w:rsidR="008A43AA" w:rsidRPr="008A43AA" w:rsidRDefault="002544CD" w:rsidP="002544CD">
      <w:pPr>
        <w:pStyle w:val="SingleTxtG"/>
        <w:ind w:left="2268" w:hanging="1134"/>
        <w:rPr>
          <w:b/>
          <w:lang w:val="fr-FR"/>
        </w:rPr>
      </w:pPr>
      <w:r>
        <w:rPr>
          <w:lang w:val="fr-FR"/>
        </w:rPr>
        <w:t>« </w:t>
      </w:r>
      <w:r w:rsidR="008A43AA" w:rsidRPr="008A43AA">
        <w:rPr>
          <w:lang w:val="fr-FR"/>
        </w:rPr>
        <w:t>4.1</w:t>
      </w:r>
      <w:r w:rsidR="008A43AA" w:rsidRPr="008A43AA">
        <w:rPr>
          <w:lang w:val="fr-FR"/>
        </w:rPr>
        <w:tab/>
      </w:r>
      <w:r w:rsidR="008A43AA" w:rsidRPr="008A43AA">
        <w:rPr>
          <w:lang w:val="fr-FR"/>
        </w:rPr>
        <w:tab/>
        <w:t>Lorsque les deux échantillons d</w:t>
      </w:r>
      <w:r w:rsidR="00C52275">
        <w:rPr>
          <w:lang w:val="fr-FR"/>
        </w:rPr>
        <w:t>’</w:t>
      </w:r>
      <w:r w:rsidR="008A43AA" w:rsidRPr="008A43AA">
        <w:rPr>
          <w:lang w:val="fr-FR"/>
        </w:rPr>
        <w:t>un type de feu de brouillard arrière satisfont aux prescriptions du présent Règlement, l</w:t>
      </w:r>
      <w:r w:rsidR="00C52275">
        <w:rPr>
          <w:lang w:val="fr-FR"/>
        </w:rPr>
        <w:t>’</w:t>
      </w:r>
      <w:r w:rsidR="008A43AA" w:rsidRPr="008A43AA">
        <w:rPr>
          <w:lang w:val="fr-FR"/>
        </w:rPr>
        <w:t xml:space="preserve">homologation est accordée. </w:t>
      </w:r>
      <w:r w:rsidR="008A43AA" w:rsidRPr="008A43AA">
        <w:rPr>
          <w:b/>
          <w:bCs/>
          <w:lang w:val="fr-FR"/>
        </w:rPr>
        <w:t>Toutefois, si au moins une catégorie de sources lumineuses est prescrite au paragraphe 2.2.2, l</w:t>
      </w:r>
      <w:r w:rsidR="00C52275">
        <w:rPr>
          <w:b/>
          <w:bCs/>
          <w:lang w:val="fr-FR"/>
        </w:rPr>
        <w:t>’</w:t>
      </w:r>
      <w:r w:rsidR="008A43AA" w:rsidRPr="008A43AA">
        <w:rPr>
          <w:b/>
          <w:bCs/>
          <w:lang w:val="fr-FR"/>
        </w:rPr>
        <w:t>homologation de ce type de feu de brouillard arrière n</w:t>
      </w:r>
      <w:r w:rsidR="00C52275">
        <w:rPr>
          <w:b/>
          <w:bCs/>
          <w:lang w:val="fr-FR"/>
        </w:rPr>
        <w:t>’</w:t>
      </w:r>
      <w:r w:rsidR="008A43AA" w:rsidRPr="008A43AA">
        <w:rPr>
          <w:b/>
          <w:bCs/>
          <w:lang w:val="fr-FR"/>
        </w:rPr>
        <w:t>est valable que si les échantillons présentés étaient équipés de sources lumineuses appartenant aux catégories prescrites.</w:t>
      </w:r>
      <w:r w:rsidRPr="002544CD">
        <w:rPr>
          <w:bCs/>
          <w:lang w:val="fr-FR"/>
        </w:rPr>
        <w:t> ».</w:t>
      </w:r>
    </w:p>
    <w:p w:rsidR="008A43AA" w:rsidRPr="008A43AA" w:rsidRDefault="002544CD" w:rsidP="002544CD">
      <w:pPr>
        <w:pStyle w:val="H1G"/>
      </w:pPr>
      <w:r>
        <w:rPr>
          <w:lang w:val="fr-FR"/>
        </w:rPr>
        <w:tab/>
      </w:r>
      <w:r w:rsidR="008A43AA" w:rsidRPr="008A43AA">
        <w:rPr>
          <w:lang w:val="fr-FR"/>
        </w:rPr>
        <w:t>G.</w:t>
      </w:r>
      <w:r w:rsidR="008A43AA" w:rsidRPr="008A43AA">
        <w:rPr>
          <w:lang w:val="fr-FR"/>
        </w:rPr>
        <w:tab/>
        <w:t>Proposition de complément 9 à la série 06 d</w:t>
      </w:r>
      <w:r w:rsidR="00C52275">
        <w:rPr>
          <w:lang w:val="fr-FR"/>
        </w:rPr>
        <w:t>’</w:t>
      </w:r>
      <w:r w:rsidR="008A43AA" w:rsidRPr="008A43AA">
        <w:rPr>
          <w:lang w:val="fr-FR"/>
        </w:rPr>
        <w:t xml:space="preserve">amendements </w:t>
      </w:r>
      <w:r>
        <w:rPr>
          <w:lang w:val="fr-FR"/>
        </w:rPr>
        <w:br/>
      </w:r>
      <w:r w:rsidR="008A43AA" w:rsidRPr="008A43AA">
        <w:rPr>
          <w:lang w:val="fr-FR"/>
        </w:rPr>
        <w:t xml:space="preserve">au Règlement </w:t>
      </w:r>
      <w:r w:rsidRPr="002544CD">
        <w:rPr>
          <w:rFonts w:eastAsia="MS Mincho"/>
          <w:szCs w:val="22"/>
          <w:lang w:val="fr-FR"/>
        </w:rPr>
        <w:t>n</w:t>
      </w:r>
      <w:r w:rsidRPr="002544CD">
        <w:rPr>
          <w:rFonts w:eastAsia="MS Mincho"/>
          <w:szCs w:val="22"/>
          <w:vertAlign w:val="superscript"/>
          <w:lang w:val="fr-FR"/>
        </w:rPr>
        <w:t>o</w:t>
      </w:r>
      <w:r>
        <w:rPr>
          <w:lang w:val="fr-FR"/>
        </w:rPr>
        <w:t> </w:t>
      </w:r>
      <w:r w:rsidR="008A43AA" w:rsidRPr="008A43AA">
        <w:rPr>
          <w:lang w:val="fr-FR"/>
        </w:rPr>
        <w:t>48 (Installation des dispositifs d</w:t>
      </w:r>
      <w:r w:rsidR="00C52275">
        <w:rPr>
          <w:lang w:val="fr-FR"/>
        </w:rPr>
        <w:t>’</w:t>
      </w:r>
      <w:r w:rsidR="008A43AA" w:rsidRPr="008A43AA">
        <w:rPr>
          <w:lang w:val="fr-FR"/>
        </w:rPr>
        <w:t xml:space="preserve">éclairage </w:t>
      </w:r>
      <w:r>
        <w:rPr>
          <w:lang w:val="fr-FR"/>
        </w:rPr>
        <w:br/>
      </w:r>
      <w:r w:rsidR="008A43AA" w:rsidRPr="008A43AA">
        <w:rPr>
          <w:lang w:val="fr-FR"/>
        </w:rPr>
        <w:t>et de signalisation lumineuse)</w:t>
      </w:r>
    </w:p>
    <w:p w:rsidR="008A43AA" w:rsidRPr="008A43AA" w:rsidRDefault="008A43AA" w:rsidP="008A43AA">
      <w:pPr>
        <w:pStyle w:val="SingleTxtG"/>
      </w:pPr>
      <w:r w:rsidRPr="00EF4F51">
        <w:rPr>
          <w:i/>
          <w:lang w:val="fr-FR"/>
        </w:rPr>
        <w:t>Paragraphe 4</w:t>
      </w:r>
      <w:r w:rsidR="00EF4F51">
        <w:rPr>
          <w:i/>
          <w:lang w:val="fr-FR"/>
        </w:rPr>
        <w:t>.</w:t>
      </w:r>
      <w:r w:rsidRPr="00EF4F51">
        <w:rPr>
          <w:i/>
          <w:lang w:val="fr-FR"/>
        </w:rPr>
        <w:t>1</w:t>
      </w:r>
      <w:r w:rsidRPr="008A43AA">
        <w:rPr>
          <w:lang w:val="fr-FR"/>
        </w:rPr>
        <w:t>, modifier comme suit</w:t>
      </w:r>
      <w:r w:rsidR="00EF4F51">
        <w:rPr>
          <w:lang w:val="fr-FR"/>
        </w:rPr>
        <w:t> </w:t>
      </w:r>
      <w:r w:rsidRPr="008A43AA">
        <w:rPr>
          <w:lang w:val="fr-FR"/>
        </w:rPr>
        <w:t>:</w:t>
      </w:r>
    </w:p>
    <w:p w:rsidR="008A43AA" w:rsidRPr="008A43AA" w:rsidRDefault="00EF4F51" w:rsidP="002544CD">
      <w:pPr>
        <w:pStyle w:val="SingleTxtG"/>
        <w:ind w:left="2268" w:hanging="1134"/>
        <w:rPr>
          <w:lang w:val="fr-FR"/>
        </w:rPr>
      </w:pPr>
      <w:r>
        <w:rPr>
          <w:lang w:val="fr-FR"/>
        </w:rPr>
        <w:t>« </w:t>
      </w:r>
      <w:r w:rsidR="008A43AA" w:rsidRPr="008A43AA">
        <w:rPr>
          <w:lang w:val="fr-FR"/>
        </w:rPr>
        <w:t>4.1</w:t>
      </w:r>
      <w:r w:rsidR="008A43AA" w:rsidRPr="008A43AA">
        <w:rPr>
          <w:lang w:val="fr-FR"/>
        </w:rPr>
        <w:tab/>
        <w:t>Lorsque le type de véhicule présenté à l</w:t>
      </w:r>
      <w:r w:rsidR="00C52275">
        <w:rPr>
          <w:lang w:val="fr-FR"/>
        </w:rPr>
        <w:t>’</w:t>
      </w:r>
      <w:r w:rsidR="008A43AA" w:rsidRPr="008A43AA">
        <w:rPr>
          <w:lang w:val="fr-FR"/>
        </w:rPr>
        <w:t>homologation en application du présent Règlement satisfait, pour tous les dispositifs indiqués sur le bordereau, aux prescriptions du présent Règlement, l</w:t>
      </w:r>
      <w:r w:rsidR="00C52275">
        <w:rPr>
          <w:lang w:val="fr-FR"/>
        </w:rPr>
        <w:t>’</w:t>
      </w:r>
      <w:r w:rsidR="008A43AA" w:rsidRPr="008A43AA">
        <w:rPr>
          <w:lang w:val="fr-FR"/>
        </w:rPr>
        <w:t>homologation pour ce type de véhicule doit être accordée.</w:t>
      </w:r>
    </w:p>
    <w:p w:rsidR="008A43AA" w:rsidRPr="008A43AA" w:rsidRDefault="008A43AA" w:rsidP="00EF4F51">
      <w:pPr>
        <w:pStyle w:val="SingleTxtG"/>
        <w:ind w:left="2268"/>
        <w:rPr>
          <w:b/>
          <w:bCs/>
          <w:lang w:val="fr-FR"/>
        </w:rPr>
      </w:pPr>
      <w:r w:rsidRPr="008A43AA">
        <w:rPr>
          <w:b/>
          <w:bCs/>
          <w:lang w:val="fr-FR"/>
        </w:rPr>
        <w:t>Toutefois, l</w:t>
      </w:r>
      <w:r w:rsidR="00C52275">
        <w:rPr>
          <w:b/>
          <w:bCs/>
          <w:lang w:val="fr-FR"/>
        </w:rPr>
        <w:t>’</w:t>
      </w:r>
      <w:r w:rsidRPr="008A43AA">
        <w:rPr>
          <w:b/>
          <w:bCs/>
          <w:lang w:val="fr-FR"/>
        </w:rPr>
        <w:t>homologation du type de véhicule n</w:t>
      </w:r>
      <w:r w:rsidR="00C52275">
        <w:rPr>
          <w:b/>
          <w:bCs/>
          <w:lang w:val="fr-FR"/>
        </w:rPr>
        <w:t>’</w:t>
      </w:r>
      <w:r w:rsidRPr="008A43AA">
        <w:rPr>
          <w:b/>
          <w:bCs/>
          <w:lang w:val="fr-FR"/>
        </w:rPr>
        <w:t>est valable que si les feux montés sur le véhicule étaient équipés des sources lumineuses prévues dans les critères d</w:t>
      </w:r>
      <w:r w:rsidR="00C52275">
        <w:rPr>
          <w:b/>
          <w:bCs/>
          <w:lang w:val="fr-FR"/>
        </w:rPr>
        <w:t>’</w:t>
      </w:r>
      <w:r w:rsidRPr="008A43AA">
        <w:rPr>
          <w:b/>
          <w:bCs/>
          <w:lang w:val="fr-FR"/>
        </w:rPr>
        <w:t>homologation des dispositifs concernés.</w:t>
      </w:r>
      <w:r w:rsidR="00EF4F51" w:rsidRPr="00EF4F51">
        <w:rPr>
          <w:bCs/>
          <w:lang w:val="fr-FR"/>
        </w:rPr>
        <w:t> ».</w:t>
      </w:r>
    </w:p>
    <w:p w:rsidR="008A43AA" w:rsidRPr="008A43AA" w:rsidRDefault="008A43AA" w:rsidP="008A43AA">
      <w:pPr>
        <w:pStyle w:val="SingleTxtG"/>
      </w:pPr>
      <w:r w:rsidRPr="008A43AA">
        <w:rPr>
          <w:i/>
          <w:iCs/>
          <w:lang w:val="fr-FR"/>
        </w:rPr>
        <w:t>Ajouter un nouveau paragraphe 5.30</w:t>
      </w:r>
      <w:r w:rsidRPr="008A43AA">
        <w:rPr>
          <w:lang w:val="fr-FR"/>
        </w:rPr>
        <w:t>, libellé comme suit</w:t>
      </w:r>
      <w:r w:rsidR="00EF4F51">
        <w:rPr>
          <w:lang w:val="fr-FR"/>
        </w:rPr>
        <w:t> </w:t>
      </w:r>
      <w:r w:rsidRPr="008A43AA">
        <w:rPr>
          <w:lang w:val="fr-FR"/>
        </w:rPr>
        <w:t>:</w:t>
      </w:r>
    </w:p>
    <w:p w:rsidR="008A43AA" w:rsidRPr="0035019A" w:rsidRDefault="00EF4F51" w:rsidP="002544CD">
      <w:pPr>
        <w:pStyle w:val="SingleTxtG"/>
        <w:ind w:left="2268" w:hanging="1134"/>
        <w:rPr>
          <w:b/>
        </w:rPr>
      </w:pPr>
      <w:r w:rsidRPr="0035019A">
        <w:rPr>
          <w:b/>
          <w:lang w:val="fr-FR"/>
        </w:rPr>
        <w:t>« </w:t>
      </w:r>
      <w:r w:rsidR="008A43AA" w:rsidRPr="0035019A">
        <w:rPr>
          <w:b/>
          <w:lang w:val="fr-FR"/>
        </w:rPr>
        <w:t>5.30</w:t>
      </w:r>
      <w:r w:rsidR="008A43AA" w:rsidRPr="0035019A">
        <w:rPr>
          <w:b/>
          <w:lang w:val="fr-FR"/>
        </w:rPr>
        <w:tab/>
      </w:r>
      <w:r w:rsidR="008A43AA" w:rsidRPr="0035019A">
        <w:rPr>
          <w:b/>
          <w:bCs/>
          <w:lang w:val="fr-FR"/>
        </w:rPr>
        <w:t>Les feux homologués pour être utilisés avec une ou plusieurs catégories de sources lumineuses homologuées conformément aux Règlements n</w:t>
      </w:r>
      <w:r w:rsidR="008A43AA" w:rsidRPr="0035019A">
        <w:rPr>
          <w:b/>
          <w:bCs/>
          <w:vertAlign w:val="superscript"/>
          <w:lang w:val="fr-FR"/>
        </w:rPr>
        <w:t>os</w:t>
      </w:r>
      <w:r w:rsidR="0035019A">
        <w:rPr>
          <w:b/>
          <w:bCs/>
          <w:lang w:val="fr-FR"/>
        </w:rPr>
        <w:t> </w:t>
      </w:r>
      <w:r w:rsidR="008A43AA" w:rsidRPr="0035019A">
        <w:rPr>
          <w:b/>
          <w:bCs/>
          <w:lang w:val="fr-FR"/>
        </w:rPr>
        <w:t>37, 99 ou 128 doivent être équipés d</w:t>
      </w:r>
      <w:r w:rsidR="00C52275" w:rsidRPr="0035019A">
        <w:rPr>
          <w:b/>
          <w:bCs/>
          <w:lang w:val="fr-FR"/>
        </w:rPr>
        <w:t>’</w:t>
      </w:r>
      <w:r w:rsidR="008A43AA" w:rsidRPr="0035019A">
        <w:rPr>
          <w:b/>
          <w:bCs/>
          <w:lang w:val="fr-FR"/>
        </w:rPr>
        <w:t>une ou de plusieurs de ces source(s) lumineuse(s). ».</w:t>
      </w:r>
    </w:p>
    <w:p w:rsidR="008A43AA" w:rsidRPr="008A43AA" w:rsidRDefault="00EF4F51" w:rsidP="00EF4F51">
      <w:pPr>
        <w:pStyle w:val="H1G"/>
      </w:pPr>
      <w:r>
        <w:rPr>
          <w:lang w:val="fr-FR"/>
        </w:rPr>
        <w:tab/>
      </w:r>
      <w:r w:rsidR="008A43AA" w:rsidRPr="008A43AA">
        <w:rPr>
          <w:lang w:val="fr-FR"/>
        </w:rPr>
        <w:t>H.</w:t>
      </w:r>
      <w:r w:rsidR="008A43AA" w:rsidRPr="008A43AA">
        <w:rPr>
          <w:lang w:val="fr-FR"/>
        </w:rPr>
        <w:tab/>
        <w:t xml:space="preserve">Proposition de complément 19 au Règlement </w:t>
      </w:r>
      <w:r w:rsidRPr="00EF4F51">
        <w:rPr>
          <w:rFonts w:eastAsia="MS Mincho"/>
          <w:szCs w:val="22"/>
          <w:lang w:val="fr-FR"/>
        </w:rPr>
        <w:t>n</w:t>
      </w:r>
      <w:r w:rsidRPr="00EF4F51">
        <w:rPr>
          <w:rFonts w:eastAsia="MS Mincho"/>
          <w:szCs w:val="22"/>
          <w:vertAlign w:val="superscript"/>
          <w:lang w:val="fr-FR"/>
        </w:rPr>
        <w:t>o</w:t>
      </w:r>
      <w:r>
        <w:rPr>
          <w:lang w:val="fr-FR"/>
        </w:rPr>
        <w:t> </w:t>
      </w:r>
      <w:r w:rsidR="008A43AA" w:rsidRPr="008A43AA">
        <w:rPr>
          <w:lang w:val="fr-FR"/>
        </w:rPr>
        <w:t xml:space="preserve">50 </w:t>
      </w:r>
      <w:r>
        <w:rPr>
          <w:lang w:val="fr-FR"/>
        </w:rPr>
        <w:br/>
      </w:r>
      <w:r w:rsidR="008A43AA" w:rsidRPr="00EF4F51">
        <w:rPr>
          <w:spacing w:val="2"/>
          <w:lang w:val="fr-FR"/>
        </w:rPr>
        <w:t xml:space="preserve">(Feux de position, feux-stop, feux indicateurs </w:t>
      </w:r>
      <w:r w:rsidRPr="00EF4F51">
        <w:rPr>
          <w:lang w:val="fr-FR"/>
        </w:rPr>
        <w:br/>
      </w:r>
      <w:r w:rsidR="008A43AA" w:rsidRPr="008A43AA">
        <w:rPr>
          <w:lang w:val="fr-FR"/>
        </w:rPr>
        <w:t>de direction pour cyclomoteurs et motocycles</w:t>
      </w:r>
      <w:r>
        <w:rPr>
          <w:lang w:val="fr-FR"/>
        </w:rPr>
        <w:t>)</w:t>
      </w:r>
    </w:p>
    <w:p w:rsidR="008A43AA" w:rsidRPr="008A43AA" w:rsidRDefault="008A43AA" w:rsidP="008A43AA">
      <w:pPr>
        <w:pStyle w:val="SingleTxtG"/>
        <w:rPr>
          <w:i/>
        </w:rPr>
      </w:pPr>
      <w:r w:rsidRPr="008A43AA">
        <w:rPr>
          <w:i/>
          <w:iCs/>
          <w:lang w:val="fr-FR"/>
        </w:rPr>
        <w:t>Paragraphe 5.1</w:t>
      </w:r>
      <w:r w:rsidRPr="008A43AA">
        <w:rPr>
          <w:lang w:val="fr-FR"/>
        </w:rPr>
        <w:t>, modifier comme suit</w:t>
      </w:r>
      <w:r w:rsidR="00EF4F51">
        <w:rPr>
          <w:lang w:val="fr-FR"/>
        </w:rPr>
        <w:t> </w:t>
      </w:r>
      <w:r w:rsidRPr="008A43AA">
        <w:rPr>
          <w:lang w:val="fr-FR"/>
        </w:rPr>
        <w:t>:</w:t>
      </w:r>
    </w:p>
    <w:p w:rsidR="008A43AA" w:rsidRPr="008A43AA" w:rsidRDefault="00EF4F51" w:rsidP="002544CD">
      <w:pPr>
        <w:pStyle w:val="SingleTxtG"/>
        <w:ind w:left="2268" w:hanging="1134"/>
      </w:pPr>
      <w:r>
        <w:rPr>
          <w:lang w:val="fr-FR"/>
        </w:rPr>
        <w:t>« </w:t>
      </w:r>
      <w:r w:rsidR="008A43AA" w:rsidRPr="008A43AA">
        <w:rPr>
          <w:lang w:val="fr-FR"/>
        </w:rPr>
        <w:t>5.1</w:t>
      </w:r>
      <w:r w:rsidR="008A43AA" w:rsidRPr="008A43AA">
        <w:rPr>
          <w:lang w:val="fr-FR"/>
        </w:rPr>
        <w:tab/>
        <w:t>Si les deux dispositifs, présentés en exécution du paragraphe 3 ci-dessus, satisfont aux prescriptions du présent Règlement, l</w:t>
      </w:r>
      <w:r w:rsidR="00C52275">
        <w:rPr>
          <w:lang w:val="fr-FR"/>
        </w:rPr>
        <w:t>’</w:t>
      </w:r>
      <w:r w:rsidR="008A43AA" w:rsidRPr="008A43AA">
        <w:rPr>
          <w:lang w:val="fr-FR"/>
        </w:rPr>
        <w:t xml:space="preserve">homologation est accordée. </w:t>
      </w:r>
      <w:r w:rsidR="008A43AA" w:rsidRPr="008A43AA">
        <w:rPr>
          <w:b/>
          <w:bCs/>
          <w:lang w:val="fr-FR"/>
        </w:rPr>
        <w:t>Toutefois, si au moins une catégorie de sources lumineuses est prescrite au paragraphe 3.2.2, l</w:t>
      </w:r>
      <w:r w:rsidR="00C52275">
        <w:rPr>
          <w:b/>
          <w:bCs/>
          <w:lang w:val="fr-FR"/>
        </w:rPr>
        <w:t>’</w:t>
      </w:r>
      <w:r w:rsidR="008A43AA" w:rsidRPr="008A43AA">
        <w:rPr>
          <w:b/>
          <w:bCs/>
          <w:lang w:val="fr-FR"/>
        </w:rPr>
        <w:t>homologation de ce type de dispositif n</w:t>
      </w:r>
      <w:r w:rsidR="00C52275">
        <w:rPr>
          <w:b/>
          <w:bCs/>
          <w:lang w:val="fr-FR"/>
        </w:rPr>
        <w:t>’</w:t>
      </w:r>
      <w:r w:rsidR="008A43AA" w:rsidRPr="008A43AA">
        <w:rPr>
          <w:b/>
          <w:bCs/>
          <w:lang w:val="fr-FR"/>
        </w:rPr>
        <w:t>est valable que si les dispositifs présentés étaient équipés de sources lumineuses appartenant aux catégories prescrites.</w:t>
      </w:r>
    </w:p>
    <w:p w:rsidR="008A43AA" w:rsidRPr="008A43AA" w:rsidRDefault="008A43AA" w:rsidP="008A43AA">
      <w:pPr>
        <w:pStyle w:val="SingleTxtG"/>
        <w:rPr>
          <w:b/>
        </w:rPr>
      </w:pPr>
      <w:r w:rsidRPr="008A43AA">
        <w:rPr>
          <w:lang w:val="fr-FR"/>
        </w:rPr>
        <w:lastRenderedPageBreak/>
        <w:t>Tous les dispositifs d</w:t>
      </w:r>
      <w:r w:rsidR="00C52275">
        <w:rPr>
          <w:lang w:val="fr-FR"/>
        </w:rPr>
        <w:t>’</w:t>
      </w:r>
      <w:r w:rsidRPr="008A43AA">
        <w:rPr>
          <w:lang w:val="fr-FR"/>
        </w:rPr>
        <w:t>un système de feux interdépendants doivent être soumis à l</w:t>
      </w:r>
      <w:r w:rsidR="00C52275">
        <w:rPr>
          <w:lang w:val="fr-FR"/>
        </w:rPr>
        <w:t>’</w:t>
      </w:r>
      <w:r w:rsidRPr="008A43AA">
        <w:rPr>
          <w:lang w:val="fr-FR"/>
        </w:rPr>
        <w:t>homologation de type par le même demandeur. ».</w:t>
      </w:r>
    </w:p>
    <w:p w:rsidR="008A43AA" w:rsidRPr="008A43AA" w:rsidRDefault="00EF4F51" w:rsidP="00EF4F51">
      <w:pPr>
        <w:pStyle w:val="H1G"/>
      </w:pPr>
      <w:r>
        <w:rPr>
          <w:lang w:val="fr-FR"/>
        </w:rPr>
        <w:tab/>
      </w:r>
      <w:r w:rsidR="008A43AA" w:rsidRPr="008A43AA">
        <w:rPr>
          <w:lang w:val="fr-FR"/>
        </w:rPr>
        <w:t>I.</w:t>
      </w:r>
      <w:r w:rsidR="008A43AA" w:rsidRPr="008A43AA">
        <w:rPr>
          <w:lang w:val="fr-FR"/>
        </w:rPr>
        <w:tab/>
        <w:t xml:space="preserve">Proposition de complément 17 au Règlement </w:t>
      </w:r>
      <w:r w:rsidRPr="00EF4F51">
        <w:rPr>
          <w:rFonts w:eastAsia="MS Mincho"/>
          <w:szCs w:val="22"/>
          <w:lang w:val="fr-FR"/>
        </w:rPr>
        <w:t>n</w:t>
      </w:r>
      <w:r w:rsidRPr="00EF4F51">
        <w:rPr>
          <w:rFonts w:eastAsia="MS Mincho"/>
          <w:szCs w:val="22"/>
          <w:vertAlign w:val="superscript"/>
          <w:lang w:val="fr-FR"/>
        </w:rPr>
        <w:t>o</w:t>
      </w:r>
      <w:r>
        <w:rPr>
          <w:lang w:val="fr-FR"/>
        </w:rPr>
        <w:t> </w:t>
      </w:r>
      <w:r w:rsidR="008A43AA" w:rsidRPr="008A43AA">
        <w:rPr>
          <w:lang w:val="fr-FR"/>
        </w:rPr>
        <w:t xml:space="preserve">77 </w:t>
      </w:r>
      <w:r>
        <w:rPr>
          <w:lang w:val="fr-FR"/>
        </w:rPr>
        <w:br/>
      </w:r>
      <w:r w:rsidR="008A43AA" w:rsidRPr="008A43AA">
        <w:rPr>
          <w:lang w:val="fr-FR"/>
        </w:rPr>
        <w:t xml:space="preserve">(Feux de stationnement) </w:t>
      </w:r>
    </w:p>
    <w:p w:rsidR="008A43AA" w:rsidRPr="008A43AA" w:rsidRDefault="008A43AA" w:rsidP="008A43AA">
      <w:pPr>
        <w:pStyle w:val="SingleTxtG"/>
        <w:rPr>
          <w:i/>
        </w:rPr>
      </w:pPr>
      <w:r w:rsidRPr="008A43AA">
        <w:rPr>
          <w:i/>
          <w:iCs/>
          <w:lang w:val="fr-FR"/>
        </w:rPr>
        <w:t>Paragraphe 5.1</w:t>
      </w:r>
      <w:r w:rsidRPr="008A43AA">
        <w:rPr>
          <w:lang w:val="fr-FR"/>
        </w:rPr>
        <w:t>, modifier comme suit</w:t>
      </w:r>
      <w:r w:rsidR="00EF4F51">
        <w:rPr>
          <w:lang w:val="fr-FR"/>
        </w:rPr>
        <w:t> </w:t>
      </w:r>
      <w:r w:rsidRPr="008A43AA">
        <w:rPr>
          <w:lang w:val="fr-FR"/>
        </w:rPr>
        <w:t>:</w:t>
      </w:r>
    </w:p>
    <w:p w:rsidR="008A43AA" w:rsidRPr="008A43AA" w:rsidRDefault="00EF4F51" w:rsidP="002544CD">
      <w:pPr>
        <w:pStyle w:val="SingleTxtG"/>
        <w:ind w:left="2268" w:hanging="1134"/>
        <w:rPr>
          <w:lang w:val="fr-FR"/>
        </w:rPr>
      </w:pPr>
      <w:r>
        <w:rPr>
          <w:lang w:val="fr-FR"/>
        </w:rPr>
        <w:t>« </w:t>
      </w:r>
      <w:r w:rsidR="008A43AA" w:rsidRPr="008A43AA">
        <w:rPr>
          <w:lang w:val="fr-FR"/>
        </w:rPr>
        <w:t>5.1</w:t>
      </w:r>
      <w:r w:rsidR="008A43AA" w:rsidRPr="008A43AA">
        <w:rPr>
          <w:lang w:val="fr-FR"/>
        </w:rPr>
        <w:tab/>
        <w:t>Lorsque deux échantillons d</w:t>
      </w:r>
      <w:r w:rsidR="00C52275">
        <w:rPr>
          <w:lang w:val="fr-FR"/>
        </w:rPr>
        <w:t>’</w:t>
      </w:r>
      <w:r w:rsidR="008A43AA" w:rsidRPr="008A43AA">
        <w:rPr>
          <w:lang w:val="fr-FR"/>
        </w:rPr>
        <w:t>un type de feu de stationnement présentés en application des dispositions du paragraphe 3.2.3 ci-dessus satisfont aux prescriptions du présent Règlement, l</w:t>
      </w:r>
      <w:r w:rsidR="00C52275">
        <w:rPr>
          <w:lang w:val="fr-FR"/>
        </w:rPr>
        <w:t>’</w:t>
      </w:r>
      <w:r w:rsidR="008A43AA" w:rsidRPr="008A43AA">
        <w:rPr>
          <w:lang w:val="fr-FR"/>
        </w:rPr>
        <w:t xml:space="preserve">homologation est accordée. </w:t>
      </w:r>
      <w:r w:rsidR="008A43AA" w:rsidRPr="008A43AA">
        <w:rPr>
          <w:b/>
          <w:bCs/>
          <w:lang w:val="fr-FR"/>
        </w:rPr>
        <w:t>Toutefois, si au moins une catégorie de sources lumineuses est prescrite au paragraphe 3.2.1, l</w:t>
      </w:r>
      <w:r w:rsidR="00C52275">
        <w:rPr>
          <w:b/>
          <w:bCs/>
          <w:lang w:val="fr-FR"/>
        </w:rPr>
        <w:t>’</w:t>
      </w:r>
      <w:r w:rsidR="008A43AA" w:rsidRPr="008A43AA">
        <w:rPr>
          <w:b/>
          <w:bCs/>
          <w:lang w:val="fr-FR"/>
        </w:rPr>
        <w:t>homologation de ce type de feu de stationnement n</w:t>
      </w:r>
      <w:r w:rsidR="00C52275">
        <w:rPr>
          <w:b/>
          <w:bCs/>
          <w:lang w:val="fr-FR"/>
        </w:rPr>
        <w:t>’</w:t>
      </w:r>
      <w:r w:rsidR="008A43AA" w:rsidRPr="008A43AA">
        <w:rPr>
          <w:b/>
          <w:bCs/>
          <w:lang w:val="fr-FR"/>
        </w:rPr>
        <w:t>est valable que si les échantillons présentés étaient équipés de sources lumineuses appartenant aux catégories prescrites.</w:t>
      </w:r>
      <w:r w:rsidRPr="00EF4F51">
        <w:rPr>
          <w:bCs/>
          <w:lang w:val="fr-FR"/>
        </w:rPr>
        <w:t> ».</w:t>
      </w:r>
    </w:p>
    <w:p w:rsidR="008A43AA" w:rsidRPr="008A43AA" w:rsidRDefault="00EF4F51" w:rsidP="00EF4F51">
      <w:pPr>
        <w:pStyle w:val="H1G"/>
      </w:pPr>
      <w:r>
        <w:rPr>
          <w:lang w:val="fr-FR"/>
        </w:rPr>
        <w:tab/>
      </w:r>
      <w:r w:rsidR="008A43AA" w:rsidRPr="008A43AA">
        <w:rPr>
          <w:lang w:val="fr-FR"/>
        </w:rPr>
        <w:t>J.</w:t>
      </w:r>
      <w:r w:rsidR="008A43AA" w:rsidRPr="008A43AA">
        <w:rPr>
          <w:lang w:val="fr-FR"/>
        </w:rPr>
        <w:tab/>
        <w:t xml:space="preserve">Proposition de complément 19 au Règlement </w:t>
      </w:r>
      <w:r w:rsidRPr="00EF4F51">
        <w:rPr>
          <w:rFonts w:eastAsia="MS Mincho"/>
          <w:szCs w:val="22"/>
          <w:lang w:val="fr-FR"/>
        </w:rPr>
        <w:t>n</w:t>
      </w:r>
      <w:r w:rsidRPr="00EF4F51">
        <w:rPr>
          <w:rFonts w:eastAsia="MS Mincho"/>
          <w:szCs w:val="22"/>
          <w:vertAlign w:val="superscript"/>
          <w:lang w:val="fr-FR"/>
        </w:rPr>
        <w:t>o</w:t>
      </w:r>
      <w:r>
        <w:rPr>
          <w:lang w:val="fr-FR"/>
        </w:rPr>
        <w:t> </w:t>
      </w:r>
      <w:r w:rsidR="008A43AA" w:rsidRPr="008A43AA">
        <w:rPr>
          <w:lang w:val="fr-FR"/>
        </w:rPr>
        <w:t xml:space="preserve">87 </w:t>
      </w:r>
      <w:r>
        <w:rPr>
          <w:lang w:val="fr-FR"/>
        </w:rPr>
        <w:br/>
      </w:r>
      <w:r w:rsidR="008A43AA" w:rsidRPr="008A43AA">
        <w:rPr>
          <w:lang w:val="fr-FR"/>
        </w:rPr>
        <w:t xml:space="preserve">(Feux de circulation diurne) </w:t>
      </w:r>
    </w:p>
    <w:p w:rsidR="008A43AA" w:rsidRPr="008A43AA" w:rsidRDefault="008A43AA" w:rsidP="008A43AA">
      <w:pPr>
        <w:pStyle w:val="SingleTxtG"/>
      </w:pPr>
      <w:r w:rsidRPr="008A43AA">
        <w:rPr>
          <w:i/>
          <w:iCs/>
          <w:lang w:val="fr-FR"/>
        </w:rPr>
        <w:t>Paragraphe 5.1.1</w:t>
      </w:r>
      <w:r w:rsidRPr="00EF4F51">
        <w:rPr>
          <w:iCs/>
          <w:lang w:val="fr-FR"/>
        </w:rPr>
        <w:t>,</w:t>
      </w:r>
      <w:r w:rsidRPr="00EF4F51">
        <w:rPr>
          <w:lang w:val="fr-FR"/>
        </w:rPr>
        <w:t xml:space="preserve"> </w:t>
      </w:r>
      <w:r w:rsidRPr="008A43AA">
        <w:rPr>
          <w:lang w:val="fr-FR"/>
        </w:rPr>
        <w:t>modifier comme suit</w:t>
      </w:r>
      <w:r w:rsidR="00EF4F51">
        <w:rPr>
          <w:lang w:val="fr-FR"/>
        </w:rPr>
        <w:t> </w:t>
      </w:r>
      <w:r w:rsidRPr="008A43AA">
        <w:rPr>
          <w:lang w:val="fr-FR"/>
        </w:rPr>
        <w:t>:</w:t>
      </w:r>
    </w:p>
    <w:p w:rsidR="008A43AA" w:rsidRPr="008A43AA" w:rsidRDefault="00EF4F51" w:rsidP="002544CD">
      <w:pPr>
        <w:pStyle w:val="SingleTxtG"/>
        <w:ind w:left="2268" w:hanging="1134"/>
      </w:pPr>
      <w:r>
        <w:rPr>
          <w:lang w:val="fr-FR"/>
        </w:rPr>
        <w:t>« </w:t>
      </w:r>
      <w:r w:rsidR="008A43AA" w:rsidRPr="008A43AA">
        <w:rPr>
          <w:lang w:val="fr-FR"/>
        </w:rPr>
        <w:t>5.1.1</w:t>
      </w:r>
      <w:r w:rsidR="008A43AA" w:rsidRPr="008A43AA">
        <w:rPr>
          <w:lang w:val="fr-FR"/>
        </w:rPr>
        <w:tab/>
        <w:t>Si les deux feux de circulation diurne présentés conformément au paragraphe</w:t>
      </w:r>
      <w:r w:rsidR="0035019A">
        <w:rPr>
          <w:lang w:val="fr-FR"/>
        </w:rPr>
        <w:t> </w:t>
      </w:r>
      <w:r w:rsidR="008A43AA" w:rsidRPr="008A43AA">
        <w:rPr>
          <w:lang w:val="fr-FR"/>
        </w:rPr>
        <w:t>3.2.3 ci-dessus satisfont aux prescriptions du présent Règlement, l</w:t>
      </w:r>
      <w:r w:rsidR="00C52275">
        <w:rPr>
          <w:lang w:val="fr-FR"/>
        </w:rPr>
        <w:t>’</w:t>
      </w:r>
      <w:r w:rsidR="008A43AA" w:rsidRPr="008A43AA">
        <w:rPr>
          <w:lang w:val="fr-FR"/>
        </w:rPr>
        <w:t xml:space="preserve">homologation est accordée. </w:t>
      </w:r>
      <w:r w:rsidR="008A43AA" w:rsidRPr="008A43AA">
        <w:rPr>
          <w:b/>
          <w:bCs/>
          <w:lang w:val="fr-FR"/>
        </w:rPr>
        <w:t>Toutefois, si au moins une catégorie de sources lumineuses est prescrite au paragraphe 3.2.</w:t>
      </w:r>
      <w:r w:rsidR="0035019A">
        <w:rPr>
          <w:b/>
          <w:bCs/>
          <w:lang w:val="fr-FR"/>
        </w:rPr>
        <w:t>2</w:t>
      </w:r>
      <w:r w:rsidR="008A43AA" w:rsidRPr="008A43AA">
        <w:rPr>
          <w:b/>
          <w:bCs/>
          <w:lang w:val="fr-FR"/>
        </w:rPr>
        <w:t>, l</w:t>
      </w:r>
      <w:r w:rsidR="00C52275">
        <w:rPr>
          <w:b/>
          <w:bCs/>
          <w:lang w:val="fr-FR"/>
        </w:rPr>
        <w:t>’</w:t>
      </w:r>
      <w:r w:rsidR="008A43AA" w:rsidRPr="008A43AA">
        <w:rPr>
          <w:b/>
          <w:bCs/>
          <w:lang w:val="fr-FR"/>
        </w:rPr>
        <w:t>homologation de ce type de feu de circulation diurne n</w:t>
      </w:r>
      <w:r w:rsidR="00C52275">
        <w:rPr>
          <w:b/>
          <w:bCs/>
          <w:lang w:val="fr-FR"/>
        </w:rPr>
        <w:t>’</w:t>
      </w:r>
      <w:r w:rsidR="008A43AA" w:rsidRPr="008A43AA">
        <w:rPr>
          <w:b/>
          <w:bCs/>
          <w:lang w:val="fr-FR"/>
        </w:rPr>
        <w:t>est valable que si les feux présentés étaient équipés de sources lumineuses appartenant aux catégories prescrites.</w:t>
      </w:r>
      <w:r w:rsidRPr="00EF4F51">
        <w:rPr>
          <w:bCs/>
          <w:lang w:val="fr-FR"/>
        </w:rPr>
        <w:t> ».</w:t>
      </w:r>
    </w:p>
    <w:p w:rsidR="008A43AA" w:rsidRPr="008A43AA" w:rsidRDefault="00EF4F51" w:rsidP="00EF4F51">
      <w:pPr>
        <w:pStyle w:val="H1G"/>
      </w:pPr>
      <w:r>
        <w:rPr>
          <w:lang w:val="fr-FR"/>
        </w:rPr>
        <w:tab/>
      </w:r>
      <w:r w:rsidR="008A43AA" w:rsidRPr="008A43AA">
        <w:rPr>
          <w:lang w:val="fr-FR"/>
        </w:rPr>
        <w:t>K.</w:t>
      </w:r>
      <w:r w:rsidR="008A43AA" w:rsidRPr="008A43AA">
        <w:rPr>
          <w:lang w:val="fr-FR"/>
        </w:rPr>
        <w:tab/>
        <w:t xml:space="preserve">Proposition de complément 16 au Règlement </w:t>
      </w:r>
      <w:r w:rsidRPr="00EF4F51">
        <w:rPr>
          <w:rFonts w:eastAsia="MS Mincho"/>
          <w:szCs w:val="22"/>
          <w:lang w:val="fr-FR"/>
        </w:rPr>
        <w:t>n</w:t>
      </w:r>
      <w:r w:rsidRPr="00EF4F51">
        <w:rPr>
          <w:rFonts w:eastAsia="MS Mincho"/>
          <w:szCs w:val="22"/>
          <w:vertAlign w:val="superscript"/>
          <w:lang w:val="fr-FR"/>
        </w:rPr>
        <w:t>o</w:t>
      </w:r>
      <w:r>
        <w:rPr>
          <w:lang w:val="fr-FR"/>
        </w:rPr>
        <w:t> </w:t>
      </w:r>
      <w:r w:rsidR="008A43AA" w:rsidRPr="008A43AA">
        <w:rPr>
          <w:lang w:val="fr-FR"/>
        </w:rPr>
        <w:t xml:space="preserve">91 </w:t>
      </w:r>
      <w:r>
        <w:rPr>
          <w:lang w:val="fr-FR"/>
        </w:rPr>
        <w:br/>
      </w:r>
      <w:r w:rsidR="008A43AA" w:rsidRPr="008A43AA">
        <w:rPr>
          <w:lang w:val="fr-FR"/>
        </w:rPr>
        <w:t>(Feux de position latéraux</w:t>
      </w:r>
      <w:r>
        <w:rPr>
          <w:lang w:val="fr-FR"/>
        </w:rPr>
        <w:t>)</w:t>
      </w:r>
    </w:p>
    <w:p w:rsidR="008A43AA" w:rsidRPr="008A43AA" w:rsidRDefault="008A43AA" w:rsidP="008A43AA">
      <w:pPr>
        <w:pStyle w:val="SingleTxtG"/>
      </w:pPr>
      <w:r w:rsidRPr="008A43AA">
        <w:rPr>
          <w:i/>
          <w:iCs/>
          <w:lang w:val="fr-FR"/>
        </w:rPr>
        <w:t>Paragraphe 5.1</w:t>
      </w:r>
      <w:r w:rsidRPr="008A43AA">
        <w:rPr>
          <w:lang w:val="fr-FR"/>
        </w:rPr>
        <w:t>, modifier comme suit</w:t>
      </w:r>
      <w:r w:rsidR="00EF4F51">
        <w:rPr>
          <w:lang w:val="fr-FR"/>
        </w:rPr>
        <w:t> </w:t>
      </w:r>
      <w:r w:rsidRPr="008A43AA">
        <w:rPr>
          <w:lang w:val="fr-FR"/>
        </w:rPr>
        <w:t>:</w:t>
      </w:r>
    </w:p>
    <w:p w:rsidR="008A43AA" w:rsidRPr="008A43AA" w:rsidRDefault="00EF4F51" w:rsidP="002544CD">
      <w:pPr>
        <w:pStyle w:val="SingleTxtG"/>
        <w:ind w:left="2268" w:hanging="1134"/>
        <w:rPr>
          <w:lang w:val="fr-FR"/>
        </w:rPr>
      </w:pPr>
      <w:r>
        <w:rPr>
          <w:lang w:val="fr-FR"/>
        </w:rPr>
        <w:t>« </w:t>
      </w:r>
      <w:r w:rsidR="008A43AA" w:rsidRPr="008A43AA">
        <w:rPr>
          <w:lang w:val="fr-FR"/>
        </w:rPr>
        <w:t>5.1</w:t>
      </w:r>
      <w:r w:rsidR="008A43AA" w:rsidRPr="008A43AA">
        <w:rPr>
          <w:lang w:val="fr-FR"/>
        </w:rPr>
        <w:tab/>
        <w:t>Si les deux feux de position latéraux présentés en application du paragraphe</w:t>
      </w:r>
      <w:r w:rsidR="0035019A">
        <w:rPr>
          <w:lang w:val="fr-FR"/>
        </w:rPr>
        <w:t> </w:t>
      </w:r>
      <w:r w:rsidR="008A43AA" w:rsidRPr="008A43AA">
        <w:rPr>
          <w:lang w:val="fr-FR"/>
        </w:rPr>
        <w:t>3.2.3 ci-dessus satisfont aux prescriptions du présent Règlement, l</w:t>
      </w:r>
      <w:r w:rsidR="00C52275">
        <w:rPr>
          <w:lang w:val="fr-FR"/>
        </w:rPr>
        <w:t>’</w:t>
      </w:r>
      <w:r w:rsidR="008A43AA" w:rsidRPr="008A43AA">
        <w:rPr>
          <w:lang w:val="fr-FR"/>
        </w:rPr>
        <w:t xml:space="preserve">homologation est accordée. </w:t>
      </w:r>
      <w:r w:rsidR="008A43AA" w:rsidRPr="008A43AA">
        <w:rPr>
          <w:b/>
          <w:bCs/>
          <w:lang w:val="fr-FR"/>
        </w:rPr>
        <w:t>Toutefois, si au moins une catégorie de sources lumineuses est prescrite au paragraphe 3.2.2, l</w:t>
      </w:r>
      <w:r w:rsidR="00C52275">
        <w:rPr>
          <w:b/>
          <w:bCs/>
          <w:lang w:val="fr-FR"/>
        </w:rPr>
        <w:t>’</w:t>
      </w:r>
      <w:r w:rsidR="008A43AA" w:rsidRPr="008A43AA">
        <w:rPr>
          <w:b/>
          <w:bCs/>
          <w:lang w:val="fr-FR"/>
        </w:rPr>
        <w:t>homologation de ce type de feu de position latéral n</w:t>
      </w:r>
      <w:r w:rsidR="00C52275">
        <w:rPr>
          <w:b/>
          <w:bCs/>
          <w:lang w:val="fr-FR"/>
        </w:rPr>
        <w:t>’</w:t>
      </w:r>
      <w:r w:rsidR="008A43AA" w:rsidRPr="008A43AA">
        <w:rPr>
          <w:b/>
          <w:bCs/>
          <w:lang w:val="fr-FR"/>
        </w:rPr>
        <w:t>est valable que si les feux présentés étaient équipés de sources lumineuses appartenant aux catégories prescrites.</w:t>
      </w:r>
      <w:r w:rsidRPr="00EF4F51">
        <w:rPr>
          <w:bCs/>
          <w:lang w:val="fr-FR"/>
        </w:rPr>
        <w:t> ».</w:t>
      </w:r>
    </w:p>
    <w:p w:rsidR="008A43AA" w:rsidRPr="008A43AA" w:rsidRDefault="00EF4F51" w:rsidP="00EF4F51">
      <w:pPr>
        <w:pStyle w:val="H1G"/>
      </w:pPr>
      <w:r>
        <w:rPr>
          <w:lang w:val="fr-FR"/>
        </w:rPr>
        <w:tab/>
      </w:r>
      <w:r w:rsidR="008A43AA" w:rsidRPr="008A43AA">
        <w:rPr>
          <w:lang w:val="fr-FR"/>
        </w:rPr>
        <w:t>L.</w:t>
      </w:r>
      <w:r w:rsidR="008A43AA" w:rsidRPr="008A43AA">
        <w:rPr>
          <w:lang w:val="fr-FR"/>
        </w:rPr>
        <w:tab/>
        <w:t>Proposition de complément 8 à la série 01 d</w:t>
      </w:r>
      <w:r w:rsidR="00C52275">
        <w:rPr>
          <w:lang w:val="fr-FR"/>
        </w:rPr>
        <w:t>’</w:t>
      </w:r>
      <w:r w:rsidR="008A43AA" w:rsidRPr="008A43AA">
        <w:rPr>
          <w:lang w:val="fr-FR"/>
        </w:rPr>
        <w:t xml:space="preserve">amendements </w:t>
      </w:r>
      <w:r>
        <w:rPr>
          <w:lang w:val="fr-FR"/>
        </w:rPr>
        <w:br/>
      </w:r>
      <w:r w:rsidR="008A43AA" w:rsidRPr="008A43AA">
        <w:rPr>
          <w:lang w:val="fr-FR"/>
        </w:rPr>
        <w:t xml:space="preserve">au Règlement </w:t>
      </w:r>
      <w:r w:rsidRPr="00EF4F51">
        <w:rPr>
          <w:rFonts w:eastAsia="MS Mincho"/>
          <w:szCs w:val="22"/>
          <w:lang w:val="fr-FR"/>
        </w:rPr>
        <w:t>n</w:t>
      </w:r>
      <w:r w:rsidRPr="00EF4F51">
        <w:rPr>
          <w:rFonts w:eastAsia="MS Mincho"/>
          <w:szCs w:val="22"/>
          <w:vertAlign w:val="superscript"/>
          <w:lang w:val="fr-FR"/>
        </w:rPr>
        <w:t>o</w:t>
      </w:r>
      <w:r>
        <w:rPr>
          <w:lang w:val="fr-FR"/>
        </w:rPr>
        <w:t> </w:t>
      </w:r>
      <w:r w:rsidR="008A43AA" w:rsidRPr="008A43AA">
        <w:rPr>
          <w:lang w:val="fr-FR"/>
        </w:rPr>
        <w:t xml:space="preserve">98 (Projecteurs de véhicules </w:t>
      </w:r>
      <w:r>
        <w:rPr>
          <w:lang w:val="fr-FR"/>
        </w:rPr>
        <w:br/>
      </w:r>
      <w:r w:rsidR="008A43AA" w:rsidRPr="008A43AA">
        <w:rPr>
          <w:lang w:val="fr-FR"/>
        </w:rPr>
        <w:t xml:space="preserve">munis de sources lumineuses à décharge) </w:t>
      </w:r>
    </w:p>
    <w:p w:rsidR="008A43AA" w:rsidRPr="008A43AA" w:rsidRDefault="008A43AA" w:rsidP="008A43AA">
      <w:pPr>
        <w:pStyle w:val="SingleTxtG"/>
      </w:pPr>
      <w:r w:rsidRPr="008A43AA">
        <w:rPr>
          <w:i/>
          <w:iCs/>
          <w:lang w:val="fr-FR"/>
        </w:rPr>
        <w:t>Paragraphe 4.1.1</w:t>
      </w:r>
      <w:r w:rsidRPr="00EF4F51">
        <w:rPr>
          <w:iCs/>
          <w:lang w:val="fr-FR"/>
        </w:rPr>
        <w:t>,</w:t>
      </w:r>
      <w:r w:rsidRPr="00EF4F51">
        <w:rPr>
          <w:lang w:val="fr-FR"/>
        </w:rPr>
        <w:t xml:space="preserve"> </w:t>
      </w:r>
      <w:r w:rsidRPr="008A43AA">
        <w:rPr>
          <w:lang w:val="fr-FR"/>
        </w:rPr>
        <w:t>modifier comme suit</w:t>
      </w:r>
      <w:r w:rsidR="00EF4F51">
        <w:rPr>
          <w:lang w:val="fr-FR"/>
        </w:rPr>
        <w:t> </w:t>
      </w:r>
      <w:r w:rsidRPr="008A43AA">
        <w:rPr>
          <w:lang w:val="fr-FR"/>
        </w:rPr>
        <w:t>:</w:t>
      </w:r>
    </w:p>
    <w:p w:rsidR="008A43AA" w:rsidRPr="008A43AA" w:rsidRDefault="00EF4F51" w:rsidP="002544CD">
      <w:pPr>
        <w:pStyle w:val="SingleTxtG"/>
        <w:ind w:left="2268" w:hanging="1134"/>
      </w:pPr>
      <w:r>
        <w:rPr>
          <w:lang w:val="fr-FR"/>
        </w:rPr>
        <w:t>« </w:t>
      </w:r>
      <w:r w:rsidR="008A43AA" w:rsidRPr="008A43AA">
        <w:rPr>
          <w:lang w:val="fr-FR"/>
        </w:rPr>
        <w:t>4.1.1</w:t>
      </w:r>
      <w:r w:rsidR="008A43AA" w:rsidRPr="008A43AA">
        <w:rPr>
          <w:lang w:val="fr-FR"/>
        </w:rPr>
        <w:tab/>
        <w:t>Si tous les échantillons d</w:t>
      </w:r>
      <w:r w:rsidR="00C52275">
        <w:rPr>
          <w:lang w:val="fr-FR"/>
        </w:rPr>
        <w:t>’</w:t>
      </w:r>
      <w:r w:rsidR="008A43AA" w:rsidRPr="008A43AA">
        <w:rPr>
          <w:lang w:val="fr-FR"/>
        </w:rPr>
        <w:t>un type de projecteur présentés en application du paragraphe 2 ci-dessus satisfont aux prescriptions du présent Règlement, l</w:t>
      </w:r>
      <w:r w:rsidR="00C52275">
        <w:rPr>
          <w:lang w:val="fr-FR"/>
        </w:rPr>
        <w:t>’</w:t>
      </w:r>
      <w:r w:rsidR="008A43AA" w:rsidRPr="008A43AA">
        <w:rPr>
          <w:lang w:val="fr-FR"/>
        </w:rPr>
        <w:t xml:space="preserve">homologation est accordée. </w:t>
      </w:r>
      <w:r w:rsidR="008A43AA" w:rsidRPr="008A43AA">
        <w:rPr>
          <w:b/>
          <w:bCs/>
          <w:lang w:val="fr-FR"/>
        </w:rPr>
        <w:t>Toutefois, si au moins une catégorie de sources lumineuses est prescrite au paragraphe 2.1.6, l</w:t>
      </w:r>
      <w:r w:rsidR="00C52275">
        <w:rPr>
          <w:b/>
          <w:bCs/>
          <w:lang w:val="fr-FR"/>
        </w:rPr>
        <w:t>’</w:t>
      </w:r>
      <w:r w:rsidR="008A43AA" w:rsidRPr="008A43AA">
        <w:rPr>
          <w:b/>
          <w:bCs/>
          <w:lang w:val="fr-FR"/>
        </w:rPr>
        <w:t>homologation de ce type de projecteur n</w:t>
      </w:r>
      <w:r w:rsidR="00C52275">
        <w:rPr>
          <w:b/>
          <w:bCs/>
          <w:lang w:val="fr-FR"/>
        </w:rPr>
        <w:t>’</w:t>
      </w:r>
      <w:r w:rsidR="008A43AA" w:rsidRPr="008A43AA">
        <w:rPr>
          <w:b/>
          <w:bCs/>
          <w:lang w:val="fr-FR"/>
        </w:rPr>
        <w:t>est valable que si les échantillons présentés étaient équipés de sources lumineuses appartenant aux catégories prescrites.</w:t>
      </w:r>
      <w:r w:rsidRPr="00EF4F51">
        <w:rPr>
          <w:bCs/>
          <w:lang w:val="fr-FR"/>
        </w:rPr>
        <w:t> ».</w:t>
      </w:r>
    </w:p>
    <w:p w:rsidR="008A43AA" w:rsidRPr="008A43AA" w:rsidRDefault="00EF4F51" w:rsidP="00EF4F51">
      <w:pPr>
        <w:pStyle w:val="H1G"/>
      </w:pPr>
      <w:r>
        <w:rPr>
          <w:lang w:val="fr-FR"/>
        </w:rPr>
        <w:lastRenderedPageBreak/>
        <w:tab/>
      </w:r>
      <w:r w:rsidR="008A43AA" w:rsidRPr="008A43AA">
        <w:rPr>
          <w:lang w:val="fr-FR"/>
        </w:rPr>
        <w:t>M.</w:t>
      </w:r>
      <w:r w:rsidR="008A43AA" w:rsidRPr="008A43AA">
        <w:rPr>
          <w:lang w:val="fr-FR"/>
        </w:rPr>
        <w:tab/>
        <w:t>Proposition de complément 7 à la série 01 d</w:t>
      </w:r>
      <w:r w:rsidR="00C52275">
        <w:rPr>
          <w:lang w:val="fr-FR"/>
        </w:rPr>
        <w:t>’</w:t>
      </w:r>
      <w:r w:rsidR="008A43AA" w:rsidRPr="008A43AA">
        <w:rPr>
          <w:lang w:val="fr-FR"/>
        </w:rPr>
        <w:t xml:space="preserve">amendements </w:t>
      </w:r>
      <w:r>
        <w:rPr>
          <w:lang w:val="fr-FR"/>
        </w:rPr>
        <w:br/>
      </w:r>
      <w:r w:rsidR="008A43AA" w:rsidRPr="008A43AA">
        <w:rPr>
          <w:lang w:val="fr-FR"/>
        </w:rPr>
        <w:t xml:space="preserve">au Règlement </w:t>
      </w:r>
      <w:r w:rsidRPr="00EF4F51">
        <w:rPr>
          <w:rFonts w:eastAsia="MS Mincho"/>
          <w:szCs w:val="22"/>
          <w:lang w:val="fr-FR"/>
        </w:rPr>
        <w:t>n</w:t>
      </w:r>
      <w:r w:rsidRPr="00EF4F51">
        <w:rPr>
          <w:rFonts w:eastAsia="MS Mincho"/>
          <w:szCs w:val="22"/>
          <w:vertAlign w:val="superscript"/>
          <w:lang w:val="fr-FR"/>
        </w:rPr>
        <w:t>o</w:t>
      </w:r>
      <w:r>
        <w:rPr>
          <w:lang w:val="fr-FR"/>
        </w:rPr>
        <w:t> </w:t>
      </w:r>
      <w:r w:rsidR="008A43AA" w:rsidRPr="008A43AA">
        <w:rPr>
          <w:lang w:val="fr-FR"/>
        </w:rPr>
        <w:t xml:space="preserve">112 (Projecteurs émettant un faisceau </w:t>
      </w:r>
      <w:r>
        <w:rPr>
          <w:lang w:val="fr-FR"/>
        </w:rPr>
        <w:br/>
      </w:r>
      <w:r w:rsidR="008A43AA" w:rsidRPr="008A43AA">
        <w:rPr>
          <w:lang w:val="fr-FR"/>
        </w:rPr>
        <w:t>de croisement asymétrique</w:t>
      </w:r>
      <w:r>
        <w:rPr>
          <w:lang w:val="fr-FR"/>
        </w:rPr>
        <w:t>)</w:t>
      </w:r>
    </w:p>
    <w:p w:rsidR="008A43AA" w:rsidRPr="008A43AA" w:rsidRDefault="008A43AA" w:rsidP="008A43AA">
      <w:pPr>
        <w:pStyle w:val="SingleTxtG"/>
      </w:pPr>
      <w:r w:rsidRPr="008A43AA">
        <w:rPr>
          <w:i/>
          <w:iCs/>
          <w:lang w:val="fr-FR"/>
        </w:rPr>
        <w:t>Paragraphe 4.1.1</w:t>
      </w:r>
      <w:r w:rsidRPr="008A43AA">
        <w:rPr>
          <w:lang w:val="fr-FR"/>
        </w:rPr>
        <w:t>, modifier comme suit</w:t>
      </w:r>
      <w:r w:rsidR="00EF4F51">
        <w:rPr>
          <w:lang w:val="fr-FR"/>
        </w:rPr>
        <w:t> </w:t>
      </w:r>
      <w:r w:rsidRPr="008A43AA">
        <w:rPr>
          <w:lang w:val="fr-FR"/>
        </w:rPr>
        <w:t>:</w:t>
      </w:r>
    </w:p>
    <w:p w:rsidR="008A43AA" w:rsidRDefault="00EF4F51" w:rsidP="002544CD">
      <w:pPr>
        <w:pStyle w:val="SingleTxtG"/>
        <w:ind w:left="2268" w:hanging="1134"/>
        <w:rPr>
          <w:b/>
          <w:bCs/>
          <w:lang w:val="fr-FR"/>
        </w:rPr>
      </w:pPr>
      <w:r>
        <w:rPr>
          <w:lang w:val="fr-FR"/>
        </w:rPr>
        <w:t>« </w:t>
      </w:r>
      <w:r w:rsidR="008A43AA" w:rsidRPr="008A43AA">
        <w:rPr>
          <w:lang w:val="fr-FR"/>
        </w:rPr>
        <w:t>4.1.1</w:t>
      </w:r>
      <w:r w:rsidR="008A43AA" w:rsidRPr="008A43AA">
        <w:rPr>
          <w:lang w:val="fr-FR"/>
        </w:rPr>
        <w:tab/>
        <w:t>Lorsque tous les échantillons d</w:t>
      </w:r>
      <w:r w:rsidR="00C52275">
        <w:rPr>
          <w:lang w:val="fr-FR"/>
        </w:rPr>
        <w:t>’</w:t>
      </w:r>
      <w:r w:rsidR="008A43AA" w:rsidRPr="008A43AA">
        <w:rPr>
          <w:lang w:val="fr-FR"/>
        </w:rPr>
        <w:t>un type de projecteur présentés conformément au paragraphe 2 ci-dessus satisfont aux prescriptions du présent Règlement, l</w:t>
      </w:r>
      <w:r w:rsidR="00C52275">
        <w:rPr>
          <w:lang w:val="fr-FR"/>
        </w:rPr>
        <w:t>’</w:t>
      </w:r>
      <w:r w:rsidR="008A43AA" w:rsidRPr="008A43AA">
        <w:rPr>
          <w:lang w:val="fr-FR"/>
        </w:rPr>
        <w:t xml:space="preserve">homologation est accordée. </w:t>
      </w:r>
      <w:r w:rsidR="008A43AA" w:rsidRPr="008A43AA">
        <w:rPr>
          <w:b/>
          <w:bCs/>
          <w:lang w:val="fr-FR"/>
        </w:rPr>
        <w:t>Toutefois, si au moins une catégorie de sources lumineuses est prescrite au paragraphe 2.1.5, l</w:t>
      </w:r>
      <w:r w:rsidR="00C52275">
        <w:rPr>
          <w:b/>
          <w:bCs/>
          <w:lang w:val="fr-FR"/>
        </w:rPr>
        <w:t>’</w:t>
      </w:r>
      <w:r w:rsidR="008A43AA" w:rsidRPr="008A43AA">
        <w:rPr>
          <w:b/>
          <w:bCs/>
          <w:lang w:val="fr-FR"/>
        </w:rPr>
        <w:t>homologation de ce type de projecteur n</w:t>
      </w:r>
      <w:r w:rsidR="00C52275">
        <w:rPr>
          <w:b/>
          <w:bCs/>
          <w:lang w:val="fr-FR"/>
        </w:rPr>
        <w:t>’</w:t>
      </w:r>
      <w:r w:rsidR="008A43AA" w:rsidRPr="008A43AA">
        <w:rPr>
          <w:b/>
          <w:bCs/>
          <w:lang w:val="fr-FR"/>
        </w:rPr>
        <w:t>est valable que si les échantillons présentés étaient équipés de sources lumineuses appartenant aux catégories prescrites.</w:t>
      </w:r>
      <w:r w:rsidRPr="00EF4F51">
        <w:rPr>
          <w:bCs/>
          <w:lang w:val="fr-FR"/>
        </w:rPr>
        <w:t> ».</w:t>
      </w:r>
    </w:p>
    <w:p w:rsidR="008A43AA" w:rsidRPr="008A43AA" w:rsidRDefault="00EF4F51" w:rsidP="00EF4F51">
      <w:pPr>
        <w:pStyle w:val="H1G"/>
      </w:pPr>
      <w:r>
        <w:rPr>
          <w:lang w:val="fr-FR"/>
        </w:rPr>
        <w:tab/>
      </w:r>
      <w:r w:rsidR="008A43AA" w:rsidRPr="008A43AA">
        <w:rPr>
          <w:lang w:val="fr-FR"/>
        </w:rPr>
        <w:t>N.</w:t>
      </w:r>
      <w:r w:rsidR="008A43AA" w:rsidRPr="008A43AA">
        <w:rPr>
          <w:lang w:val="fr-FR"/>
        </w:rPr>
        <w:tab/>
        <w:t>Proposition de complément 7 à la série 01 d</w:t>
      </w:r>
      <w:r w:rsidR="00C52275">
        <w:rPr>
          <w:lang w:val="fr-FR"/>
        </w:rPr>
        <w:t>’</w:t>
      </w:r>
      <w:r w:rsidR="008A43AA" w:rsidRPr="008A43AA">
        <w:rPr>
          <w:lang w:val="fr-FR"/>
        </w:rPr>
        <w:t xml:space="preserve">amendements </w:t>
      </w:r>
      <w:r>
        <w:rPr>
          <w:lang w:val="fr-FR"/>
        </w:rPr>
        <w:br/>
      </w:r>
      <w:r w:rsidR="008A43AA" w:rsidRPr="008A43AA">
        <w:rPr>
          <w:lang w:val="fr-FR"/>
        </w:rPr>
        <w:t xml:space="preserve">au Règlement </w:t>
      </w:r>
      <w:r w:rsidRPr="00EF4F51">
        <w:rPr>
          <w:rFonts w:eastAsia="MS Mincho"/>
          <w:szCs w:val="22"/>
          <w:lang w:val="fr-FR"/>
        </w:rPr>
        <w:t>n</w:t>
      </w:r>
      <w:r w:rsidRPr="00EF4F51">
        <w:rPr>
          <w:rFonts w:eastAsia="MS Mincho"/>
          <w:szCs w:val="22"/>
          <w:vertAlign w:val="superscript"/>
          <w:lang w:val="fr-FR"/>
        </w:rPr>
        <w:t>o</w:t>
      </w:r>
      <w:r>
        <w:rPr>
          <w:lang w:val="fr-FR"/>
        </w:rPr>
        <w:t> </w:t>
      </w:r>
      <w:r w:rsidR="008A43AA" w:rsidRPr="008A43AA">
        <w:rPr>
          <w:lang w:val="fr-FR"/>
        </w:rPr>
        <w:t xml:space="preserve">113 (Projecteurs émettant un faisceau </w:t>
      </w:r>
      <w:r>
        <w:rPr>
          <w:lang w:val="fr-FR"/>
        </w:rPr>
        <w:br/>
      </w:r>
      <w:r w:rsidR="008A43AA" w:rsidRPr="008A43AA">
        <w:rPr>
          <w:lang w:val="fr-FR"/>
        </w:rPr>
        <w:t xml:space="preserve">de croisement symétrique) </w:t>
      </w:r>
    </w:p>
    <w:p w:rsidR="008A43AA" w:rsidRPr="00EF4F51" w:rsidRDefault="008A43AA" w:rsidP="008A43AA">
      <w:pPr>
        <w:pStyle w:val="SingleTxtG"/>
        <w:rPr>
          <w:bCs/>
        </w:rPr>
      </w:pPr>
      <w:r w:rsidRPr="00EF4F51">
        <w:rPr>
          <w:bCs/>
          <w:i/>
          <w:iCs/>
          <w:lang w:val="fr-FR"/>
        </w:rPr>
        <w:t>Paragraphe 4.1.1</w:t>
      </w:r>
      <w:r w:rsidRPr="00EF4F51">
        <w:rPr>
          <w:bCs/>
          <w:lang w:val="fr-FR"/>
        </w:rPr>
        <w:t>, modifier comme suit</w:t>
      </w:r>
      <w:r w:rsidR="00EF4F51">
        <w:rPr>
          <w:bCs/>
          <w:lang w:val="fr-FR"/>
        </w:rPr>
        <w:t> </w:t>
      </w:r>
      <w:r w:rsidRPr="00EF4F51">
        <w:rPr>
          <w:bCs/>
          <w:lang w:val="fr-FR"/>
        </w:rPr>
        <w:t>:</w:t>
      </w:r>
    </w:p>
    <w:p w:rsidR="008A43AA" w:rsidRPr="008A43AA" w:rsidRDefault="00EF4F51" w:rsidP="002544CD">
      <w:pPr>
        <w:pStyle w:val="SingleTxtG"/>
        <w:ind w:left="2268" w:hanging="1134"/>
        <w:rPr>
          <w:b/>
          <w:bCs/>
          <w:lang w:val="fr-FR"/>
        </w:rPr>
      </w:pPr>
      <w:r>
        <w:rPr>
          <w:bCs/>
          <w:lang w:val="fr-FR"/>
        </w:rPr>
        <w:t>« </w:t>
      </w:r>
      <w:r w:rsidR="008A43AA" w:rsidRPr="00EF4F51">
        <w:rPr>
          <w:bCs/>
          <w:lang w:val="fr-FR"/>
        </w:rPr>
        <w:t>4.1.1</w:t>
      </w:r>
      <w:r w:rsidR="008A43AA" w:rsidRPr="00EF4F51">
        <w:rPr>
          <w:bCs/>
          <w:lang w:val="fr-FR"/>
        </w:rPr>
        <w:tab/>
        <w:t>Si tous les échantillons d</w:t>
      </w:r>
      <w:r w:rsidR="00C52275" w:rsidRPr="00EF4F51">
        <w:rPr>
          <w:bCs/>
          <w:lang w:val="fr-FR"/>
        </w:rPr>
        <w:t>’</w:t>
      </w:r>
      <w:r w:rsidR="008A43AA" w:rsidRPr="00EF4F51">
        <w:rPr>
          <w:bCs/>
          <w:lang w:val="fr-FR"/>
        </w:rPr>
        <w:t>un type de projecteur soumis conformément au paragraphe</w:t>
      </w:r>
      <w:r>
        <w:rPr>
          <w:bCs/>
          <w:lang w:val="fr-FR"/>
        </w:rPr>
        <w:t xml:space="preserve"> </w:t>
      </w:r>
      <w:r w:rsidR="008A43AA" w:rsidRPr="00EF4F51">
        <w:rPr>
          <w:bCs/>
          <w:lang w:val="fr-FR"/>
        </w:rPr>
        <w:t>2 ci-dessus satisfont aux prescriptions du présent Règlement, l</w:t>
      </w:r>
      <w:r w:rsidR="00C52275" w:rsidRPr="00EF4F51">
        <w:rPr>
          <w:bCs/>
          <w:lang w:val="fr-FR"/>
        </w:rPr>
        <w:t>’</w:t>
      </w:r>
      <w:r w:rsidR="008A43AA" w:rsidRPr="00EF4F51">
        <w:rPr>
          <w:bCs/>
          <w:lang w:val="fr-FR"/>
        </w:rPr>
        <w:t>homologation est accordée.</w:t>
      </w:r>
      <w:r w:rsidR="008A43AA" w:rsidRPr="008A43AA">
        <w:rPr>
          <w:b/>
          <w:bCs/>
          <w:lang w:val="fr-FR"/>
        </w:rPr>
        <w:t xml:space="preserve"> Toutefois, si au moins une catégorie de projecteurs est prescrite aux paragraphes 2.1.3 et 2.1.4, l</w:t>
      </w:r>
      <w:r w:rsidR="00C52275">
        <w:rPr>
          <w:b/>
          <w:bCs/>
          <w:lang w:val="fr-FR"/>
        </w:rPr>
        <w:t>’</w:t>
      </w:r>
      <w:r w:rsidR="008A43AA" w:rsidRPr="008A43AA">
        <w:rPr>
          <w:b/>
          <w:bCs/>
          <w:lang w:val="fr-FR"/>
        </w:rPr>
        <w:t>homologation de ce type de projecteur n</w:t>
      </w:r>
      <w:r w:rsidR="00C52275">
        <w:rPr>
          <w:b/>
          <w:bCs/>
          <w:lang w:val="fr-FR"/>
        </w:rPr>
        <w:t>’</w:t>
      </w:r>
      <w:r w:rsidR="008A43AA" w:rsidRPr="008A43AA">
        <w:rPr>
          <w:b/>
          <w:bCs/>
          <w:lang w:val="fr-FR"/>
        </w:rPr>
        <w:t>est valable que si les échantillons présentés étaient équipés de sources lumineuses appartenant aux catégories prescrites.</w:t>
      </w:r>
      <w:r w:rsidRPr="00EF4F51">
        <w:rPr>
          <w:bCs/>
          <w:lang w:val="fr-FR"/>
        </w:rPr>
        <w:t> ».</w:t>
      </w:r>
    </w:p>
    <w:p w:rsidR="008A43AA" w:rsidRPr="008A43AA" w:rsidRDefault="00EF4F51" w:rsidP="00EF4F51">
      <w:pPr>
        <w:pStyle w:val="H1G"/>
      </w:pPr>
      <w:r>
        <w:rPr>
          <w:lang w:val="fr-FR"/>
        </w:rPr>
        <w:tab/>
      </w:r>
      <w:r w:rsidR="008A43AA" w:rsidRPr="008A43AA">
        <w:rPr>
          <w:lang w:val="fr-FR"/>
        </w:rPr>
        <w:t>O.</w:t>
      </w:r>
      <w:r w:rsidR="008A43AA" w:rsidRPr="008A43AA">
        <w:rPr>
          <w:lang w:val="fr-FR"/>
        </w:rPr>
        <w:tab/>
        <w:t>Proposition de complément 5 à la série 01 d</w:t>
      </w:r>
      <w:r w:rsidR="00C52275">
        <w:rPr>
          <w:lang w:val="fr-FR"/>
        </w:rPr>
        <w:t>’</w:t>
      </w:r>
      <w:r w:rsidR="008A43AA" w:rsidRPr="008A43AA">
        <w:rPr>
          <w:lang w:val="fr-FR"/>
        </w:rPr>
        <w:t xml:space="preserve">amendements </w:t>
      </w:r>
      <w:r>
        <w:rPr>
          <w:lang w:val="fr-FR"/>
        </w:rPr>
        <w:br/>
      </w:r>
      <w:r w:rsidR="008A43AA" w:rsidRPr="008A43AA">
        <w:rPr>
          <w:lang w:val="fr-FR"/>
        </w:rPr>
        <w:t xml:space="preserve">au Règlement </w:t>
      </w:r>
      <w:r w:rsidRPr="00EF4F51">
        <w:rPr>
          <w:rFonts w:eastAsia="MS Mincho"/>
          <w:szCs w:val="22"/>
          <w:lang w:val="fr-FR"/>
        </w:rPr>
        <w:t>n</w:t>
      </w:r>
      <w:r w:rsidRPr="00EF4F51">
        <w:rPr>
          <w:rFonts w:eastAsia="MS Mincho"/>
          <w:szCs w:val="22"/>
          <w:vertAlign w:val="superscript"/>
          <w:lang w:val="fr-FR"/>
        </w:rPr>
        <w:t>o</w:t>
      </w:r>
      <w:r>
        <w:rPr>
          <w:lang w:val="fr-FR"/>
        </w:rPr>
        <w:t> </w:t>
      </w:r>
      <w:r w:rsidR="008A43AA" w:rsidRPr="008A43AA">
        <w:rPr>
          <w:lang w:val="fr-FR"/>
        </w:rPr>
        <w:t>119 (Feux d</w:t>
      </w:r>
      <w:r w:rsidR="00C52275">
        <w:rPr>
          <w:lang w:val="fr-FR"/>
        </w:rPr>
        <w:t>’</w:t>
      </w:r>
      <w:r w:rsidR="008A43AA" w:rsidRPr="008A43AA">
        <w:rPr>
          <w:lang w:val="fr-FR"/>
        </w:rPr>
        <w:t xml:space="preserve">angle) </w:t>
      </w:r>
    </w:p>
    <w:p w:rsidR="008A43AA" w:rsidRPr="00EF4F51" w:rsidRDefault="008A43AA" w:rsidP="008A43AA">
      <w:pPr>
        <w:pStyle w:val="SingleTxtG"/>
        <w:rPr>
          <w:bCs/>
        </w:rPr>
      </w:pPr>
      <w:r w:rsidRPr="00EF4F51">
        <w:rPr>
          <w:bCs/>
          <w:i/>
          <w:iCs/>
          <w:lang w:val="fr-FR"/>
        </w:rPr>
        <w:t>Paragraphe 4.1</w:t>
      </w:r>
      <w:r w:rsidRPr="00EF4F51">
        <w:rPr>
          <w:bCs/>
          <w:lang w:val="fr-FR"/>
        </w:rPr>
        <w:t>, modifier comme suit</w:t>
      </w:r>
      <w:r w:rsidR="00EF4F51">
        <w:rPr>
          <w:bCs/>
          <w:lang w:val="fr-FR"/>
        </w:rPr>
        <w:t> </w:t>
      </w:r>
      <w:r w:rsidRPr="00EF4F51">
        <w:rPr>
          <w:bCs/>
          <w:lang w:val="fr-FR"/>
        </w:rPr>
        <w:t>:</w:t>
      </w:r>
    </w:p>
    <w:p w:rsidR="008A43AA" w:rsidRPr="008A43AA" w:rsidRDefault="00EF4F51" w:rsidP="002544CD">
      <w:pPr>
        <w:pStyle w:val="SingleTxtG"/>
        <w:ind w:left="2268" w:hanging="1134"/>
        <w:rPr>
          <w:b/>
          <w:bCs/>
        </w:rPr>
      </w:pPr>
      <w:r>
        <w:rPr>
          <w:bCs/>
          <w:lang w:val="fr-FR"/>
        </w:rPr>
        <w:t>« </w:t>
      </w:r>
      <w:r w:rsidR="008A43AA" w:rsidRPr="00EF4F51">
        <w:rPr>
          <w:bCs/>
          <w:lang w:val="fr-FR"/>
        </w:rPr>
        <w:t>4.1</w:t>
      </w:r>
      <w:r w:rsidR="008A43AA" w:rsidRPr="00EF4F51">
        <w:rPr>
          <w:bCs/>
          <w:lang w:val="fr-FR"/>
        </w:rPr>
        <w:tab/>
        <w:t>Si les deux échantillons du type de feu d</w:t>
      </w:r>
      <w:r w:rsidR="00C52275" w:rsidRPr="00EF4F51">
        <w:rPr>
          <w:bCs/>
          <w:lang w:val="fr-FR"/>
        </w:rPr>
        <w:t>’</w:t>
      </w:r>
      <w:r w:rsidR="008A43AA" w:rsidRPr="00EF4F51">
        <w:rPr>
          <w:bCs/>
          <w:lang w:val="fr-FR"/>
        </w:rPr>
        <w:t>angle satisfont aux prescriptions du présent Règlement, l</w:t>
      </w:r>
      <w:r w:rsidR="00C52275" w:rsidRPr="00EF4F51">
        <w:rPr>
          <w:bCs/>
          <w:lang w:val="fr-FR"/>
        </w:rPr>
        <w:t>’</w:t>
      </w:r>
      <w:r w:rsidR="008A43AA" w:rsidRPr="00EF4F51">
        <w:rPr>
          <w:bCs/>
          <w:lang w:val="fr-FR"/>
        </w:rPr>
        <w:t xml:space="preserve">homologation est accordée. </w:t>
      </w:r>
      <w:r w:rsidR="008A43AA" w:rsidRPr="008A43AA">
        <w:rPr>
          <w:b/>
          <w:bCs/>
          <w:lang w:val="fr-FR"/>
        </w:rPr>
        <w:t>Toutefois, si au moins une catégorie de sources lumineuses est prescrite au paragraphe 2.2.2, l</w:t>
      </w:r>
      <w:r w:rsidR="00C52275">
        <w:rPr>
          <w:b/>
          <w:bCs/>
          <w:lang w:val="fr-FR"/>
        </w:rPr>
        <w:t>’</w:t>
      </w:r>
      <w:r w:rsidR="008A43AA" w:rsidRPr="008A43AA">
        <w:rPr>
          <w:b/>
          <w:bCs/>
          <w:lang w:val="fr-FR"/>
        </w:rPr>
        <w:t>homologation de ce type de feu d</w:t>
      </w:r>
      <w:r w:rsidR="00C52275">
        <w:rPr>
          <w:b/>
          <w:bCs/>
          <w:lang w:val="fr-FR"/>
        </w:rPr>
        <w:t>’</w:t>
      </w:r>
      <w:r w:rsidR="008A43AA" w:rsidRPr="008A43AA">
        <w:rPr>
          <w:b/>
          <w:bCs/>
          <w:lang w:val="fr-FR"/>
        </w:rPr>
        <w:t>angle n</w:t>
      </w:r>
      <w:r w:rsidR="00C52275">
        <w:rPr>
          <w:b/>
          <w:bCs/>
          <w:lang w:val="fr-FR"/>
        </w:rPr>
        <w:t>’</w:t>
      </w:r>
      <w:r w:rsidR="008A43AA" w:rsidRPr="008A43AA">
        <w:rPr>
          <w:b/>
          <w:bCs/>
          <w:lang w:val="fr-FR"/>
        </w:rPr>
        <w:t>est valable que si les échantillons présentés étaient équipés de sources lumineuses appartenant aux catégories prescrites.</w:t>
      </w:r>
      <w:r w:rsidRPr="00EF4F51">
        <w:rPr>
          <w:bCs/>
          <w:lang w:val="fr-FR"/>
        </w:rPr>
        <w:t> »</w:t>
      </w:r>
      <w:r w:rsidR="008A43AA" w:rsidRPr="00EF4F51">
        <w:rPr>
          <w:bCs/>
          <w:lang w:val="fr-FR"/>
        </w:rPr>
        <w:t>.</w:t>
      </w:r>
    </w:p>
    <w:p w:rsidR="008A43AA" w:rsidRPr="00EF4F51" w:rsidRDefault="00EF4F51" w:rsidP="00EF4F51">
      <w:pPr>
        <w:pStyle w:val="H1G"/>
        <w:rPr>
          <w:spacing w:val="-2"/>
        </w:rPr>
      </w:pPr>
      <w:r>
        <w:rPr>
          <w:lang w:val="fr-FR"/>
        </w:rPr>
        <w:tab/>
      </w:r>
      <w:r w:rsidR="008A43AA" w:rsidRPr="008A43AA">
        <w:rPr>
          <w:lang w:val="fr-FR"/>
        </w:rPr>
        <w:t>P.</w:t>
      </w:r>
      <w:r w:rsidR="008A43AA" w:rsidRPr="008A43AA">
        <w:rPr>
          <w:lang w:val="fr-FR"/>
        </w:rPr>
        <w:tab/>
      </w:r>
      <w:r w:rsidR="008A43AA" w:rsidRPr="00EF4F51">
        <w:rPr>
          <w:spacing w:val="2"/>
          <w:lang w:val="fr-FR"/>
        </w:rPr>
        <w:t>Proposition de complément 8 à la série 01 d</w:t>
      </w:r>
      <w:r w:rsidR="00C52275" w:rsidRPr="00EF4F51">
        <w:rPr>
          <w:spacing w:val="2"/>
          <w:lang w:val="fr-FR"/>
        </w:rPr>
        <w:t>’</w:t>
      </w:r>
      <w:r w:rsidR="008A43AA" w:rsidRPr="00EF4F51">
        <w:rPr>
          <w:spacing w:val="2"/>
          <w:lang w:val="fr-FR"/>
        </w:rPr>
        <w:t xml:space="preserve">amendements au </w:t>
      </w:r>
      <w:r w:rsidRPr="00EF4F51">
        <w:rPr>
          <w:spacing w:val="2"/>
          <w:lang w:val="fr-FR"/>
        </w:rPr>
        <w:br/>
      </w:r>
      <w:r w:rsidR="008A43AA" w:rsidRPr="00EF4F51">
        <w:rPr>
          <w:spacing w:val="-2"/>
          <w:lang w:val="fr-FR"/>
        </w:rPr>
        <w:t xml:space="preserve">Règlement </w:t>
      </w:r>
      <w:r w:rsidRPr="00EF4F51">
        <w:rPr>
          <w:rFonts w:eastAsia="MS Mincho"/>
          <w:spacing w:val="-2"/>
          <w:szCs w:val="22"/>
          <w:lang w:val="fr-FR"/>
        </w:rPr>
        <w:t>n</w:t>
      </w:r>
      <w:r w:rsidRPr="00EF4F51">
        <w:rPr>
          <w:rFonts w:eastAsia="MS Mincho"/>
          <w:spacing w:val="-2"/>
          <w:szCs w:val="22"/>
          <w:vertAlign w:val="superscript"/>
          <w:lang w:val="fr-FR"/>
        </w:rPr>
        <w:t>o</w:t>
      </w:r>
      <w:r w:rsidRPr="00EF4F51">
        <w:rPr>
          <w:spacing w:val="-2"/>
          <w:lang w:val="fr-FR"/>
        </w:rPr>
        <w:t> </w:t>
      </w:r>
      <w:r w:rsidR="008A43AA" w:rsidRPr="00EF4F51">
        <w:rPr>
          <w:spacing w:val="-2"/>
          <w:lang w:val="fr-FR"/>
        </w:rPr>
        <w:t xml:space="preserve">123 </w:t>
      </w:r>
      <w:r w:rsidR="00A05D9E">
        <w:rPr>
          <w:spacing w:val="-2"/>
          <w:lang w:val="fr-FR"/>
        </w:rPr>
        <w:t>(</w:t>
      </w:r>
      <w:r w:rsidR="008A43AA" w:rsidRPr="00EF4F51">
        <w:rPr>
          <w:spacing w:val="-2"/>
          <w:lang w:val="fr-FR"/>
        </w:rPr>
        <w:t>Systèmes d</w:t>
      </w:r>
      <w:r w:rsidR="00C52275" w:rsidRPr="00EF4F51">
        <w:rPr>
          <w:spacing w:val="-2"/>
          <w:lang w:val="fr-FR"/>
        </w:rPr>
        <w:t>’</w:t>
      </w:r>
      <w:r w:rsidR="008A43AA" w:rsidRPr="00EF4F51">
        <w:rPr>
          <w:spacing w:val="-2"/>
          <w:lang w:val="fr-FR"/>
        </w:rPr>
        <w:t>éclairage avant adaptatifs (AFS)</w:t>
      </w:r>
      <w:r>
        <w:rPr>
          <w:spacing w:val="-2"/>
          <w:lang w:val="fr-FR"/>
        </w:rPr>
        <w:t>)</w:t>
      </w:r>
      <w:r w:rsidR="008A43AA" w:rsidRPr="00EF4F51">
        <w:rPr>
          <w:spacing w:val="-2"/>
          <w:lang w:val="fr-FR"/>
        </w:rPr>
        <w:t xml:space="preserve"> </w:t>
      </w:r>
    </w:p>
    <w:p w:rsidR="008A43AA" w:rsidRPr="00A05D9E" w:rsidRDefault="008A43AA" w:rsidP="008A43AA">
      <w:pPr>
        <w:pStyle w:val="SingleTxtG"/>
        <w:rPr>
          <w:bCs/>
        </w:rPr>
      </w:pPr>
      <w:r w:rsidRPr="00A05D9E">
        <w:rPr>
          <w:bCs/>
          <w:i/>
          <w:iCs/>
          <w:lang w:val="fr-FR"/>
        </w:rPr>
        <w:t>Paragraphe 4.1.1</w:t>
      </w:r>
      <w:r w:rsidRPr="00A05D9E">
        <w:rPr>
          <w:bCs/>
          <w:lang w:val="fr-FR"/>
        </w:rPr>
        <w:t>, modifier comme suit</w:t>
      </w:r>
      <w:r w:rsidR="00A05D9E">
        <w:rPr>
          <w:bCs/>
          <w:lang w:val="fr-FR"/>
        </w:rPr>
        <w:t> </w:t>
      </w:r>
      <w:r w:rsidRPr="00A05D9E">
        <w:rPr>
          <w:bCs/>
          <w:lang w:val="fr-FR"/>
        </w:rPr>
        <w:t>:</w:t>
      </w:r>
    </w:p>
    <w:p w:rsidR="008A43AA" w:rsidRPr="008A43AA" w:rsidRDefault="00A05D9E" w:rsidP="002544CD">
      <w:pPr>
        <w:pStyle w:val="SingleTxtG"/>
        <w:ind w:left="2268" w:hanging="1134"/>
        <w:rPr>
          <w:b/>
          <w:bCs/>
        </w:rPr>
      </w:pPr>
      <w:r>
        <w:rPr>
          <w:bCs/>
          <w:lang w:val="fr-FR"/>
        </w:rPr>
        <w:t>« </w:t>
      </w:r>
      <w:r w:rsidR="008A43AA" w:rsidRPr="00A05D9E">
        <w:rPr>
          <w:bCs/>
          <w:lang w:val="fr-FR"/>
        </w:rPr>
        <w:t>4.1.1</w:t>
      </w:r>
      <w:r w:rsidR="008A43AA" w:rsidRPr="00A05D9E">
        <w:rPr>
          <w:bCs/>
          <w:lang w:val="fr-FR"/>
        </w:rPr>
        <w:tab/>
        <w:t>Si tous les échantillons d</w:t>
      </w:r>
      <w:r w:rsidR="00C52275" w:rsidRPr="00A05D9E">
        <w:rPr>
          <w:bCs/>
          <w:lang w:val="fr-FR"/>
        </w:rPr>
        <w:t>’</w:t>
      </w:r>
      <w:r w:rsidR="008A43AA" w:rsidRPr="00A05D9E">
        <w:rPr>
          <w:bCs/>
          <w:lang w:val="fr-FR"/>
        </w:rPr>
        <w:t>un type de système soumis conformément au paragraphe 2 ci-dessus satisfont aux prescriptions du présent Règlement, l</w:t>
      </w:r>
      <w:r w:rsidR="00C52275" w:rsidRPr="00A05D9E">
        <w:rPr>
          <w:bCs/>
          <w:lang w:val="fr-FR"/>
        </w:rPr>
        <w:t>’</w:t>
      </w:r>
      <w:r w:rsidR="008A43AA" w:rsidRPr="00A05D9E">
        <w:rPr>
          <w:bCs/>
          <w:lang w:val="fr-FR"/>
        </w:rPr>
        <w:t>homologation est accordée.</w:t>
      </w:r>
      <w:r w:rsidR="008A43AA" w:rsidRPr="008A43AA">
        <w:rPr>
          <w:b/>
          <w:bCs/>
          <w:lang w:val="fr-FR"/>
        </w:rPr>
        <w:t xml:space="preserve"> Toutefois, si au moins une catégorie de sources lumineuses est prescrite au paragraphe 2.1.4, l</w:t>
      </w:r>
      <w:r w:rsidR="00C52275">
        <w:rPr>
          <w:b/>
          <w:bCs/>
          <w:lang w:val="fr-FR"/>
        </w:rPr>
        <w:t>’</w:t>
      </w:r>
      <w:r w:rsidR="008A43AA" w:rsidRPr="008A43AA">
        <w:rPr>
          <w:b/>
          <w:bCs/>
          <w:lang w:val="fr-FR"/>
        </w:rPr>
        <w:t>homologation de ce type de système n</w:t>
      </w:r>
      <w:r w:rsidR="00C52275">
        <w:rPr>
          <w:b/>
          <w:bCs/>
          <w:lang w:val="fr-FR"/>
        </w:rPr>
        <w:t>’</w:t>
      </w:r>
      <w:r w:rsidR="008A43AA" w:rsidRPr="008A43AA">
        <w:rPr>
          <w:b/>
          <w:bCs/>
          <w:lang w:val="fr-FR"/>
        </w:rPr>
        <w:t>est valable que si les échantillons présentés étaient équipés de sources lumineuses appartenant aux catégories prescrites.</w:t>
      </w:r>
      <w:r w:rsidRPr="00A05D9E">
        <w:rPr>
          <w:bCs/>
          <w:lang w:val="fr-FR"/>
        </w:rPr>
        <w:t> ».</w:t>
      </w:r>
    </w:p>
    <w:p w:rsidR="008A43AA" w:rsidRPr="008A43AA" w:rsidRDefault="00A05D9E" w:rsidP="0035019A">
      <w:pPr>
        <w:pStyle w:val="HChG"/>
      </w:pPr>
      <w:r>
        <w:rPr>
          <w:lang w:val="fr-FR"/>
        </w:rPr>
        <w:lastRenderedPageBreak/>
        <w:tab/>
        <w:t>II.</w:t>
      </w:r>
      <w:r>
        <w:rPr>
          <w:lang w:val="fr-FR"/>
        </w:rPr>
        <w:tab/>
      </w:r>
      <w:r w:rsidR="008A43AA" w:rsidRPr="008A43AA">
        <w:rPr>
          <w:lang w:val="fr-FR"/>
        </w:rPr>
        <w:t>Justification</w:t>
      </w:r>
    </w:p>
    <w:p w:rsidR="00A05D9E" w:rsidRDefault="008A43AA" w:rsidP="0035019A">
      <w:pPr>
        <w:pStyle w:val="SingleTxtG"/>
        <w:keepNext/>
        <w:keepLines/>
        <w:rPr>
          <w:bCs/>
          <w:lang w:val="fr-FR"/>
        </w:rPr>
      </w:pPr>
      <w:r w:rsidRPr="00A05D9E">
        <w:rPr>
          <w:bCs/>
          <w:lang w:val="fr-FR"/>
        </w:rPr>
        <w:t xml:space="preserve">1. </w:t>
      </w:r>
      <w:r w:rsidRPr="00A05D9E">
        <w:rPr>
          <w:bCs/>
          <w:lang w:val="fr-FR"/>
        </w:rPr>
        <w:tab/>
        <w:t>Cette proposition découle de l</w:t>
      </w:r>
      <w:r w:rsidR="00C52275" w:rsidRPr="00A05D9E">
        <w:rPr>
          <w:bCs/>
          <w:lang w:val="fr-FR"/>
        </w:rPr>
        <w:t>’</w:t>
      </w:r>
      <w:r w:rsidRPr="00A05D9E">
        <w:rPr>
          <w:bCs/>
          <w:lang w:val="fr-FR"/>
        </w:rPr>
        <w:t>observation suivante, formulée au paragraphe 62 du rapport de la 170</w:t>
      </w:r>
      <w:r w:rsidRPr="00A05D9E">
        <w:rPr>
          <w:bCs/>
          <w:vertAlign w:val="superscript"/>
          <w:lang w:val="fr-FR"/>
        </w:rPr>
        <w:t>e</w:t>
      </w:r>
      <w:r w:rsidR="00A05D9E">
        <w:rPr>
          <w:bCs/>
          <w:lang w:val="fr-FR"/>
        </w:rPr>
        <w:t> </w:t>
      </w:r>
      <w:r w:rsidRPr="00A05D9E">
        <w:rPr>
          <w:bCs/>
          <w:lang w:val="fr-FR"/>
        </w:rPr>
        <w:t>session du Forum mondial de l</w:t>
      </w:r>
      <w:r w:rsidR="00C52275" w:rsidRPr="00A05D9E">
        <w:rPr>
          <w:bCs/>
          <w:lang w:val="fr-FR"/>
        </w:rPr>
        <w:t>’</w:t>
      </w:r>
      <w:r w:rsidRPr="00A05D9E">
        <w:rPr>
          <w:bCs/>
          <w:lang w:val="fr-FR"/>
        </w:rPr>
        <w:t>harmonisation des Règlements concernant les véhicules (WP.29) (ECE/TRANS/WP.29/1126)</w:t>
      </w:r>
      <w:r w:rsidR="00A05D9E">
        <w:rPr>
          <w:bCs/>
          <w:lang w:val="fr-FR"/>
        </w:rPr>
        <w:t> :</w:t>
      </w:r>
    </w:p>
    <w:p w:rsidR="008A43AA" w:rsidRPr="00A05D9E" w:rsidRDefault="00A05D9E" w:rsidP="008A43AA">
      <w:pPr>
        <w:pStyle w:val="SingleTxtG"/>
        <w:rPr>
          <w:bCs/>
        </w:rPr>
      </w:pPr>
      <w:r>
        <w:rPr>
          <w:bCs/>
          <w:lang w:val="fr-FR"/>
        </w:rPr>
        <w:t>« </w:t>
      </w:r>
      <w:r w:rsidR="008A43AA" w:rsidRPr="00A05D9E">
        <w:rPr>
          <w:bCs/>
          <w:lang w:val="fr-FR"/>
        </w:rPr>
        <w:t>62. Le Forum mondial a noté que le groupe de travail informel de l</w:t>
      </w:r>
      <w:r w:rsidR="00C52275" w:rsidRPr="00A05D9E">
        <w:rPr>
          <w:bCs/>
          <w:lang w:val="fr-FR"/>
        </w:rPr>
        <w:t>’</w:t>
      </w:r>
      <w:r w:rsidR="008A43AA" w:rsidRPr="00A05D9E">
        <w:rPr>
          <w:bCs/>
          <w:lang w:val="fr-FR"/>
        </w:rPr>
        <w:t>IWVTA avait demandé que chaque Règlement concernant les dispositifs d</w:t>
      </w:r>
      <w:r w:rsidR="00C52275" w:rsidRPr="00A05D9E">
        <w:rPr>
          <w:bCs/>
          <w:lang w:val="fr-FR"/>
        </w:rPr>
        <w:t>’</w:t>
      </w:r>
      <w:r w:rsidR="008A43AA" w:rsidRPr="00A05D9E">
        <w:rPr>
          <w:bCs/>
          <w:lang w:val="fr-FR"/>
        </w:rPr>
        <w:t>éclairage et de signalisation lumineuse stipule que les source</w:t>
      </w:r>
      <w:r>
        <w:rPr>
          <w:bCs/>
          <w:lang w:val="fr-FR"/>
        </w:rPr>
        <w:t>s lumineuses de ces dispositifs</w:t>
      </w:r>
      <w:r w:rsidR="008A43AA" w:rsidRPr="00A05D9E">
        <w:rPr>
          <w:bCs/>
          <w:lang w:val="fr-FR"/>
        </w:rPr>
        <w:t xml:space="preserve"> doivent avoir fait l</w:t>
      </w:r>
      <w:r w:rsidR="00C52275" w:rsidRPr="00A05D9E">
        <w:rPr>
          <w:bCs/>
          <w:lang w:val="fr-FR"/>
        </w:rPr>
        <w:t>’</w:t>
      </w:r>
      <w:r w:rsidR="008A43AA" w:rsidRPr="00A05D9E">
        <w:rPr>
          <w:bCs/>
          <w:lang w:val="fr-FR"/>
        </w:rPr>
        <w:t>objet d</w:t>
      </w:r>
      <w:r w:rsidR="00C52275" w:rsidRPr="00A05D9E">
        <w:rPr>
          <w:bCs/>
          <w:lang w:val="fr-FR"/>
        </w:rPr>
        <w:t>’</w:t>
      </w:r>
      <w:r w:rsidR="008A43AA" w:rsidRPr="00A05D9E">
        <w:rPr>
          <w:bCs/>
          <w:lang w:val="fr-FR"/>
        </w:rPr>
        <w:t>une homologation de type conformément aux Règlements n</w:t>
      </w:r>
      <w:r w:rsidR="008A43AA" w:rsidRPr="00A05D9E">
        <w:rPr>
          <w:bCs/>
          <w:vertAlign w:val="superscript"/>
          <w:lang w:val="fr-FR"/>
        </w:rPr>
        <w:t>os</w:t>
      </w:r>
      <w:r>
        <w:rPr>
          <w:bCs/>
          <w:lang w:val="fr-FR"/>
        </w:rPr>
        <w:t> 3</w:t>
      </w:r>
      <w:r w:rsidR="008A43AA" w:rsidRPr="00A05D9E">
        <w:rPr>
          <w:bCs/>
          <w:lang w:val="fr-FR"/>
        </w:rPr>
        <w:t>7, 99 ou 128. Le WP.29 a invité le GRE, en collaboration avec le groupe de travail informel, à examiner la meilleure façon de régler cette question, en tenant compte des objectifs de l</w:t>
      </w:r>
      <w:r w:rsidR="00C52275" w:rsidRPr="00A05D9E">
        <w:rPr>
          <w:bCs/>
          <w:lang w:val="fr-FR"/>
        </w:rPr>
        <w:t>’</w:t>
      </w:r>
      <w:r w:rsidR="008A43AA" w:rsidRPr="00A05D9E">
        <w:rPr>
          <w:bCs/>
          <w:lang w:val="fr-FR"/>
        </w:rPr>
        <w:t>homologation de type internationale de l</w:t>
      </w:r>
      <w:r w:rsidR="00C52275" w:rsidRPr="00A05D9E">
        <w:rPr>
          <w:bCs/>
          <w:lang w:val="fr-FR"/>
        </w:rPr>
        <w:t>’</w:t>
      </w:r>
      <w:r w:rsidR="008A43AA" w:rsidRPr="00A05D9E">
        <w:rPr>
          <w:bCs/>
          <w:lang w:val="fr-FR"/>
        </w:rPr>
        <w:t>ensemble du véhicule, du processus actuel de simplification des Règlements concernant l</w:t>
      </w:r>
      <w:r w:rsidR="00C52275" w:rsidRPr="00A05D9E">
        <w:rPr>
          <w:bCs/>
          <w:lang w:val="fr-FR"/>
        </w:rPr>
        <w:t>’</w:t>
      </w:r>
      <w:r w:rsidR="008A43AA" w:rsidRPr="00A05D9E">
        <w:rPr>
          <w:bCs/>
          <w:lang w:val="fr-FR"/>
        </w:rPr>
        <w:t>éclairage et la signalisation lumineuse et du fait que toutes les sources lumineuses n</w:t>
      </w:r>
      <w:r w:rsidR="00C52275" w:rsidRPr="00A05D9E">
        <w:rPr>
          <w:bCs/>
          <w:lang w:val="fr-FR"/>
        </w:rPr>
        <w:t>’</w:t>
      </w:r>
      <w:r w:rsidR="008A43AA" w:rsidRPr="00A05D9E">
        <w:rPr>
          <w:bCs/>
          <w:lang w:val="fr-FR"/>
        </w:rPr>
        <w:t>étaient pas visées par les Règlements n</w:t>
      </w:r>
      <w:r w:rsidR="008A43AA" w:rsidRPr="00A05D9E">
        <w:rPr>
          <w:bCs/>
          <w:vertAlign w:val="superscript"/>
          <w:lang w:val="fr-FR"/>
        </w:rPr>
        <w:t>os</w:t>
      </w:r>
      <w:r w:rsidR="008A43AA" w:rsidRPr="00A05D9E">
        <w:rPr>
          <w:bCs/>
          <w:lang w:val="fr-FR"/>
        </w:rPr>
        <w:t> 37, 99 et 128.</w:t>
      </w:r>
      <w:r>
        <w:rPr>
          <w:bCs/>
          <w:lang w:val="fr-FR"/>
        </w:rPr>
        <w:t> ».</w:t>
      </w:r>
    </w:p>
    <w:p w:rsidR="008A43AA" w:rsidRPr="00A05D9E" w:rsidRDefault="00A05D9E" w:rsidP="00A05D9E">
      <w:pPr>
        <w:pStyle w:val="H4G"/>
      </w:pPr>
      <w:r>
        <w:rPr>
          <w:lang w:val="fr-FR"/>
        </w:rPr>
        <w:tab/>
      </w:r>
      <w:r>
        <w:rPr>
          <w:lang w:val="fr-FR"/>
        </w:rPr>
        <w:tab/>
      </w:r>
      <w:r w:rsidR="008A43AA" w:rsidRPr="00A05D9E">
        <w:rPr>
          <w:lang w:val="fr-FR"/>
        </w:rPr>
        <w:t>Contexte général</w:t>
      </w:r>
    </w:p>
    <w:p w:rsidR="008A43AA" w:rsidRPr="00A05D9E" w:rsidRDefault="008A43AA" w:rsidP="008A43AA">
      <w:pPr>
        <w:pStyle w:val="SingleTxtG"/>
        <w:rPr>
          <w:bCs/>
        </w:rPr>
      </w:pPr>
      <w:r w:rsidRPr="00A05D9E">
        <w:rPr>
          <w:bCs/>
          <w:lang w:val="fr-FR"/>
        </w:rPr>
        <w:t>2.</w:t>
      </w:r>
      <w:r w:rsidRPr="00A05D9E">
        <w:rPr>
          <w:bCs/>
          <w:lang w:val="fr-FR"/>
        </w:rPr>
        <w:tab/>
        <w:t>La délivrance d</w:t>
      </w:r>
      <w:r w:rsidR="00C52275" w:rsidRPr="00A05D9E">
        <w:rPr>
          <w:bCs/>
          <w:lang w:val="fr-FR"/>
        </w:rPr>
        <w:t>’</w:t>
      </w:r>
      <w:r w:rsidRPr="00A05D9E">
        <w:rPr>
          <w:bCs/>
          <w:lang w:val="fr-FR"/>
        </w:rPr>
        <w:t>une homologa</w:t>
      </w:r>
      <w:r w:rsidR="00A05D9E">
        <w:rPr>
          <w:bCs/>
          <w:lang w:val="fr-FR"/>
        </w:rPr>
        <w:t xml:space="preserve">tion au titre du Règlement ONU </w:t>
      </w:r>
      <w:r w:rsidR="00A05D9E" w:rsidRPr="00A05D9E">
        <w:rPr>
          <w:rFonts w:eastAsia="MS Mincho"/>
          <w:bCs/>
          <w:szCs w:val="22"/>
          <w:lang w:val="fr-FR"/>
        </w:rPr>
        <w:t>n</w:t>
      </w:r>
      <w:r w:rsidR="00A05D9E" w:rsidRPr="00A05D9E">
        <w:rPr>
          <w:rFonts w:eastAsia="MS Mincho"/>
          <w:bCs/>
          <w:szCs w:val="22"/>
          <w:vertAlign w:val="superscript"/>
          <w:lang w:val="fr-FR"/>
        </w:rPr>
        <w:t>o</w:t>
      </w:r>
      <w:r w:rsidR="00A05D9E">
        <w:rPr>
          <w:bCs/>
          <w:lang w:val="fr-FR"/>
        </w:rPr>
        <w:t> </w:t>
      </w:r>
      <w:r w:rsidRPr="00A05D9E">
        <w:rPr>
          <w:bCs/>
          <w:lang w:val="fr-FR"/>
        </w:rPr>
        <w:t>0 suppose la présentation de certificats d</w:t>
      </w:r>
      <w:r w:rsidR="00C52275" w:rsidRPr="00A05D9E">
        <w:rPr>
          <w:bCs/>
          <w:lang w:val="fr-FR"/>
        </w:rPr>
        <w:t>’</w:t>
      </w:r>
      <w:r w:rsidRPr="00A05D9E">
        <w:rPr>
          <w:bCs/>
          <w:lang w:val="fr-FR"/>
        </w:rPr>
        <w:t>homologation au titre de tous les Règlements énumérés à son annexe 4. Dans le cas de l</w:t>
      </w:r>
      <w:r w:rsidR="00C52275" w:rsidRPr="00A05D9E">
        <w:rPr>
          <w:bCs/>
          <w:lang w:val="fr-FR"/>
        </w:rPr>
        <w:t>’</w:t>
      </w:r>
      <w:r w:rsidRPr="00A05D9E">
        <w:rPr>
          <w:bCs/>
          <w:lang w:val="fr-FR"/>
        </w:rPr>
        <w:t>éclairage, cela concerne également les Règlements relatifs à l</w:t>
      </w:r>
      <w:r w:rsidR="00C52275" w:rsidRPr="00A05D9E">
        <w:rPr>
          <w:bCs/>
          <w:lang w:val="fr-FR"/>
        </w:rPr>
        <w:t>’</w:t>
      </w:r>
      <w:r w:rsidRPr="00A05D9E">
        <w:rPr>
          <w:bCs/>
          <w:lang w:val="fr-FR"/>
        </w:rPr>
        <w:t>installation des systèmes d</w:t>
      </w:r>
      <w:r w:rsidR="00C52275" w:rsidRPr="00A05D9E">
        <w:rPr>
          <w:bCs/>
          <w:lang w:val="fr-FR"/>
        </w:rPr>
        <w:t>’</w:t>
      </w:r>
      <w:r w:rsidRPr="00A05D9E">
        <w:rPr>
          <w:bCs/>
          <w:lang w:val="fr-FR"/>
        </w:rPr>
        <w:t xml:space="preserve">éclairage, des feux et de leurs sources lumineuses. </w:t>
      </w:r>
    </w:p>
    <w:p w:rsidR="008A43AA" w:rsidRPr="00A05D9E" w:rsidRDefault="008A43AA" w:rsidP="008A43AA">
      <w:pPr>
        <w:pStyle w:val="SingleTxtG"/>
        <w:rPr>
          <w:bCs/>
        </w:rPr>
      </w:pPr>
      <w:r w:rsidRPr="00A05D9E">
        <w:rPr>
          <w:bCs/>
          <w:lang w:val="fr-FR"/>
        </w:rPr>
        <w:t>3.</w:t>
      </w:r>
      <w:r w:rsidRPr="00A05D9E">
        <w:rPr>
          <w:bCs/>
          <w:lang w:val="fr-FR"/>
        </w:rPr>
        <w:tab/>
        <w:t>Dans le cas des feux et de leurs sources lumineuses, les certificats d</w:t>
      </w:r>
      <w:r w:rsidR="00C52275" w:rsidRPr="00A05D9E">
        <w:rPr>
          <w:bCs/>
          <w:lang w:val="fr-FR"/>
        </w:rPr>
        <w:t>’</w:t>
      </w:r>
      <w:r w:rsidRPr="00A05D9E">
        <w:rPr>
          <w:bCs/>
          <w:lang w:val="fr-FR"/>
        </w:rPr>
        <w:t>homologation requis étant obtenus par les fournisseurs, il est difficile pour les constructeurs automobiles de</w:t>
      </w:r>
      <w:r w:rsidR="00A05D9E">
        <w:rPr>
          <w:bCs/>
          <w:lang w:val="fr-FR"/>
        </w:rPr>
        <w:t xml:space="preserve"> soumettre de tels certificats.</w:t>
      </w:r>
    </w:p>
    <w:p w:rsidR="008A43AA" w:rsidRPr="00A05D9E" w:rsidRDefault="008A43AA" w:rsidP="008A43AA">
      <w:pPr>
        <w:pStyle w:val="SingleTxtG"/>
        <w:rPr>
          <w:bCs/>
        </w:rPr>
      </w:pPr>
      <w:r w:rsidRPr="00A05D9E">
        <w:rPr>
          <w:bCs/>
          <w:lang w:val="fr-FR"/>
        </w:rPr>
        <w:t>4.</w:t>
      </w:r>
      <w:r w:rsidRPr="00A05D9E">
        <w:rPr>
          <w:bCs/>
          <w:lang w:val="fr-FR"/>
        </w:rPr>
        <w:tab/>
        <w:t>Il a donc été décidé qu</w:t>
      </w:r>
      <w:r w:rsidR="00C52275" w:rsidRPr="00A05D9E">
        <w:rPr>
          <w:bCs/>
          <w:lang w:val="fr-FR"/>
        </w:rPr>
        <w:t>’</w:t>
      </w:r>
      <w:r w:rsidRPr="00A05D9E">
        <w:rPr>
          <w:bCs/>
          <w:lang w:val="fr-FR"/>
        </w:rPr>
        <w:t>il ne serait pas nécessaire de fournir ces certificats si les homologations de type correspondantes faisaient partie de l</w:t>
      </w:r>
      <w:r w:rsidR="00C52275" w:rsidRPr="00A05D9E">
        <w:rPr>
          <w:bCs/>
          <w:lang w:val="fr-FR"/>
        </w:rPr>
        <w:t>’</w:t>
      </w:r>
      <w:r w:rsidRPr="00A05D9E">
        <w:rPr>
          <w:bCs/>
          <w:lang w:val="fr-FR"/>
        </w:rPr>
        <w:t>homologation délivrée pour l</w:t>
      </w:r>
      <w:r w:rsidR="00C52275" w:rsidRPr="00A05D9E">
        <w:rPr>
          <w:bCs/>
          <w:lang w:val="fr-FR"/>
        </w:rPr>
        <w:t>’</w:t>
      </w:r>
      <w:r w:rsidRPr="00A05D9E">
        <w:rPr>
          <w:bCs/>
          <w:lang w:val="fr-FR"/>
        </w:rPr>
        <w:t>installation, c</w:t>
      </w:r>
      <w:r w:rsidR="00C52275" w:rsidRPr="00A05D9E">
        <w:rPr>
          <w:bCs/>
          <w:lang w:val="fr-FR"/>
        </w:rPr>
        <w:t>’</w:t>
      </w:r>
      <w:r w:rsidRPr="00A05D9E">
        <w:rPr>
          <w:bCs/>
          <w:lang w:val="fr-FR"/>
        </w:rPr>
        <w:t>est-à-dire, dans ce cas, de l</w:t>
      </w:r>
      <w:r w:rsidR="00C52275" w:rsidRPr="00A05D9E">
        <w:rPr>
          <w:bCs/>
          <w:lang w:val="fr-FR"/>
        </w:rPr>
        <w:t>’</w:t>
      </w:r>
      <w:r w:rsidRPr="00A05D9E">
        <w:rPr>
          <w:bCs/>
          <w:lang w:val="fr-FR"/>
        </w:rPr>
        <w:t xml:space="preserve">homologation délivrée au titre du Règlement </w:t>
      </w:r>
      <w:r w:rsidR="00A05D9E" w:rsidRPr="00A05D9E">
        <w:rPr>
          <w:rFonts w:eastAsia="MS Mincho"/>
          <w:bCs/>
          <w:szCs w:val="22"/>
          <w:lang w:val="fr-FR"/>
        </w:rPr>
        <w:t>n</w:t>
      </w:r>
      <w:r w:rsidR="00A05D9E" w:rsidRPr="00A05D9E">
        <w:rPr>
          <w:rFonts w:eastAsia="MS Mincho"/>
          <w:bCs/>
          <w:szCs w:val="22"/>
          <w:vertAlign w:val="superscript"/>
          <w:lang w:val="fr-FR"/>
        </w:rPr>
        <w:t>o</w:t>
      </w:r>
      <w:r w:rsidR="00A05D9E">
        <w:rPr>
          <w:bCs/>
          <w:lang w:val="fr-FR"/>
        </w:rPr>
        <w:t> 48.</w:t>
      </w:r>
    </w:p>
    <w:p w:rsidR="008A43AA" w:rsidRPr="00A05D9E" w:rsidRDefault="008A43AA" w:rsidP="008A43AA">
      <w:pPr>
        <w:pStyle w:val="SingleTxtG"/>
        <w:rPr>
          <w:bCs/>
        </w:rPr>
      </w:pPr>
      <w:r w:rsidRPr="00A05D9E">
        <w:rPr>
          <w:bCs/>
          <w:lang w:val="fr-FR"/>
        </w:rPr>
        <w:t>5.</w:t>
      </w:r>
      <w:r w:rsidRPr="00A05D9E">
        <w:rPr>
          <w:bCs/>
          <w:lang w:val="fr-FR"/>
        </w:rPr>
        <w:tab/>
        <w:t>Cela résout le problème pour les homologations des unités d</w:t>
      </w:r>
      <w:r w:rsidR="00C52275" w:rsidRPr="00A05D9E">
        <w:rPr>
          <w:bCs/>
          <w:lang w:val="fr-FR"/>
        </w:rPr>
        <w:t>’</w:t>
      </w:r>
      <w:r w:rsidRPr="00A05D9E">
        <w:rPr>
          <w:bCs/>
          <w:lang w:val="fr-FR"/>
        </w:rPr>
        <w:t xml:space="preserve">éclairage, qui sont normalement incluses dans les homologations délivrées au titre du Règlement </w:t>
      </w:r>
      <w:r w:rsidR="00A05D9E" w:rsidRPr="00A05D9E">
        <w:rPr>
          <w:rFonts w:eastAsia="MS Mincho"/>
          <w:bCs/>
          <w:szCs w:val="22"/>
          <w:lang w:val="fr-FR"/>
        </w:rPr>
        <w:t>n</w:t>
      </w:r>
      <w:r w:rsidR="00A05D9E" w:rsidRPr="00A05D9E">
        <w:rPr>
          <w:rFonts w:eastAsia="MS Mincho"/>
          <w:bCs/>
          <w:szCs w:val="22"/>
          <w:vertAlign w:val="superscript"/>
          <w:lang w:val="fr-FR"/>
        </w:rPr>
        <w:t>o</w:t>
      </w:r>
      <w:r w:rsidR="00A05D9E">
        <w:rPr>
          <w:bCs/>
          <w:lang w:val="fr-FR"/>
        </w:rPr>
        <w:t> </w:t>
      </w:r>
      <w:r w:rsidRPr="00A05D9E">
        <w:rPr>
          <w:bCs/>
          <w:lang w:val="fr-FR"/>
        </w:rPr>
        <w:t>48, mais pas pour les sources lumineuses, dans la mesure où leurs homologations, délivrées au titre des Règlements n</w:t>
      </w:r>
      <w:r w:rsidRPr="00A05D9E">
        <w:rPr>
          <w:bCs/>
          <w:vertAlign w:val="superscript"/>
          <w:lang w:val="fr-FR"/>
        </w:rPr>
        <w:t>os</w:t>
      </w:r>
      <w:r w:rsidR="00A05D9E">
        <w:rPr>
          <w:bCs/>
          <w:lang w:val="fr-FR"/>
        </w:rPr>
        <w:t> </w:t>
      </w:r>
      <w:r w:rsidRPr="00A05D9E">
        <w:rPr>
          <w:bCs/>
          <w:lang w:val="fr-FR"/>
        </w:rPr>
        <w:t xml:space="preserve">37, 99 et 128, ne figurent pas parmi les homologations délivrées au titre du Règlement </w:t>
      </w:r>
      <w:r w:rsidR="00A05D9E" w:rsidRPr="00A05D9E">
        <w:rPr>
          <w:rFonts w:eastAsia="MS Mincho"/>
          <w:bCs/>
          <w:szCs w:val="22"/>
          <w:lang w:val="fr-FR"/>
        </w:rPr>
        <w:t>n</w:t>
      </w:r>
      <w:r w:rsidR="00A05D9E" w:rsidRPr="00A05D9E">
        <w:rPr>
          <w:rFonts w:eastAsia="MS Mincho"/>
          <w:bCs/>
          <w:szCs w:val="22"/>
          <w:vertAlign w:val="superscript"/>
          <w:lang w:val="fr-FR"/>
        </w:rPr>
        <w:t>o</w:t>
      </w:r>
      <w:r w:rsidR="00A05D9E">
        <w:rPr>
          <w:bCs/>
          <w:lang w:val="fr-FR"/>
        </w:rPr>
        <w:t> </w:t>
      </w:r>
      <w:r w:rsidRPr="00A05D9E">
        <w:rPr>
          <w:bCs/>
          <w:lang w:val="fr-FR"/>
        </w:rPr>
        <w:t>48.</w:t>
      </w:r>
    </w:p>
    <w:p w:rsidR="008A43AA" w:rsidRPr="00A05D9E" w:rsidRDefault="00A05D9E" w:rsidP="00A05D9E">
      <w:pPr>
        <w:pStyle w:val="H4G"/>
      </w:pPr>
      <w:r>
        <w:rPr>
          <w:lang w:val="fr-FR"/>
        </w:rPr>
        <w:tab/>
      </w:r>
      <w:r>
        <w:rPr>
          <w:lang w:val="fr-FR"/>
        </w:rPr>
        <w:tab/>
      </w:r>
      <w:r w:rsidR="008A43AA" w:rsidRPr="00A05D9E">
        <w:rPr>
          <w:lang w:val="fr-FR"/>
        </w:rPr>
        <w:t xml:space="preserve">Solutions proposées </w:t>
      </w:r>
    </w:p>
    <w:p w:rsidR="008A43AA" w:rsidRPr="00A05D9E" w:rsidRDefault="008A43AA" w:rsidP="008A43AA">
      <w:pPr>
        <w:pStyle w:val="SingleTxtG"/>
        <w:rPr>
          <w:bCs/>
        </w:rPr>
      </w:pPr>
      <w:r w:rsidRPr="00A05D9E">
        <w:rPr>
          <w:bCs/>
          <w:lang w:val="fr-FR"/>
        </w:rPr>
        <w:t>6.</w:t>
      </w:r>
      <w:r w:rsidRPr="00A05D9E">
        <w:rPr>
          <w:bCs/>
          <w:lang w:val="fr-FR"/>
        </w:rPr>
        <w:tab/>
        <w:t xml:space="preserve">Dans les Règlements portant sur des dispositifs, modifier le paragraphe </w:t>
      </w:r>
      <w:r w:rsidR="00A05D9E">
        <w:rPr>
          <w:bCs/>
          <w:lang w:val="fr-FR"/>
        </w:rPr>
        <w:t>« </w:t>
      </w:r>
      <w:r w:rsidRPr="00A05D9E">
        <w:rPr>
          <w:bCs/>
          <w:lang w:val="fr-FR"/>
        </w:rPr>
        <w:t>Homologation</w:t>
      </w:r>
      <w:r w:rsidR="00A05D9E">
        <w:rPr>
          <w:bCs/>
          <w:lang w:val="fr-FR"/>
        </w:rPr>
        <w:t> »</w:t>
      </w:r>
      <w:r w:rsidRPr="00A05D9E">
        <w:rPr>
          <w:bCs/>
          <w:lang w:val="fr-FR"/>
        </w:rPr>
        <w:t xml:space="preserve"> comme suit</w:t>
      </w:r>
      <w:r w:rsidR="00A05D9E">
        <w:rPr>
          <w:bCs/>
          <w:lang w:val="fr-FR"/>
        </w:rPr>
        <w:t> </w:t>
      </w:r>
      <w:r w:rsidRPr="00A05D9E">
        <w:rPr>
          <w:bCs/>
          <w:lang w:val="fr-FR"/>
        </w:rPr>
        <w:t>:</w:t>
      </w:r>
    </w:p>
    <w:p w:rsidR="008A43AA" w:rsidRPr="00A05D9E" w:rsidRDefault="008A43AA" w:rsidP="008A43AA">
      <w:pPr>
        <w:pStyle w:val="SingleTxtG"/>
        <w:rPr>
          <w:bCs/>
          <w:u w:val="single"/>
        </w:rPr>
      </w:pPr>
      <w:r w:rsidRPr="00A05D9E">
        <w:rPr>
          <w:bCs/>
          <w:u w:val="single"/>
          <w:lang w:val="fr-FR"/>
        </w:rPr>
        <w:t xml:space="preserve">Exemple du Règlement </w:t>
      </w:r>
      <w:r w:rsidR="00A05D9E" w:rsidRPr="00A05D9E">
        <w:rPr>
          <w:rFonts w:eastAsia="MS Mincho"/>
          <w:bCs/>
          <w:szCs w:val="22"/>
          <w:u w:val="single"/>
          <w:lang w:val="fr-FR"/>
        </w:rPr>
        <w:t>n</w:t>
      </w:r>
      <w:r w:rsidR="00A05D9E" w:rsidRPr="00A05D9E">
        <w:rPr>
          <w:rFonts w:eastAsia="MS Mincho"/>
          <w:bCs/>
          <w:szCs w:val="22"/>
          <w:u w:val="single"/>
          <w:vertAlign w:val="superscript"/>
          <w:lang w:val="fr-FR"/>
        </w:rPr>
        <w:t>o</w:t>
      </w:r>
      <w:r w:rsidR="00A05D9E">
        <w:rPr>
          <w:bCs/>
          <w:u w:val="single"/>
          <w:lang w:val="fr-FR"/>
        </w:rPr>
        <w:t> </w:t>
      </w:r>
      <w:r w:rsidRPr="00A05D9E">
        <w:rPr>
          <w:bCs/>
          <w:u w:val="single"/>
          <w:lang w:val="fr-FR"/>
        </w:rPr>
        <w:t>4</w:t>
      </w:r>
    </w:p>
    <w:p w:rsidR="008A43AA" w:rsidRPr="008A43AA" w:rsidRDefault="00A05D9E" w:rsidP="00A05D9E">
      <w:pPr>
        <w:pStyle w:val="SingleTxtG"/>
        <w:ind w:left="2268" w:hanging="1134"/>
        <w:rPr>
          <w:b/>
          <w:bCs/>
          <w:lang w:val="fr-FR"/>
        </w:rPr>
      </w:pPr>
      <w:r>
        <w:rPr>
          <w:bCs/>
          <w:lang w:val="fr-FR"/>
        </w:rPr>
        <w:t>« </w:t>
      </w:r>
      <w:r w:rsidR="008A43AA" w:rsidRPr="00A05D9E">
        <w:rPr>
          <w:bCs/>
          <w:lang w:val="fr-FR"/>
        </w:rPr>
        <w:t>4.1</w:t>
      </w:r>
      <w:r w:rsidR="008A43AA" w:rsidRPr="00A05D9E">
        <w:rPr>
          <w:bCs/>
          <w:lang w:val="fr-FR"/>
        </w:rPr>
        <w:tab/>
        <w:t>Lorsque les deux échantillons d</w:t>
      </w:r>
      <w:r w:rsidR="00C52275" w:rsidRPr="00A05D9E">
        <w:rPr>
          <w:bCs/>
          <w:lang w:val="fr-FR"/>
        </w:rPr>
        <w:t>’</w:t>
      </w:r>
      <w:r w:rsidR="008A43AA" w:rsidRPr="00A05D9E">
        <w:rPr>
          <w:bCs/>
          <w:lang w:val="fr-FR"/>
        </w:rPr>
        <w:t>un type de dispositif d</w:t>
      </w:r>
      <w:r w:rsidR="00C52275" w:rsidRPr="00A05D9E">
        <w:rPr>
          <w:bCs/>
          <w:lang w:val="fr-FR"/>
        </w:rPr>
        <w:t>’</w:t>
      </w:r>
      <w:r w:rsidR="008A43AA" w:rsidRPr="00A05D9E">
        <w:rPr>
          <w:bCs/>
          <w:lang w:val="fr-FR"/>
        </w:rPr>
        <w:t>éclairage présenté en exécution du paragraphe 2 ci-dessus satisfont aux prescriptions du présent Règlement, l</w:t>
      </w:r>
      <w:r w:rsidR="00C52275" w:rsidRPr="00A05D9E">
        <w:rPr>
          <w:bCs/>
          <w:lang w:val="fr-FR"/>
        </w:rPr>
        <w:t>’</w:t>
      </w:r>
      <w:r w:rsidR="008A43AA" w:rsidRPr="00A05D9E">
        <w:rPr>
          <w:bCs/>
          <w:lang w:val="fr-FR"/>
        </w:rPr>
        <w:t>homologation est accordée.</w:t>
      </w:r>
      <w:r w:rsidR="008A43AA" w:rsidRPr="008A43AA">
        <w:rPr>
          <w:b/>
          <w:bCs/>
          <w:lang w:val="fr-FR"/>
        </w:rPr>
        <w:t xml:space="preserve"> Toutefois, si au moins une catégorie de sources lumineuses est prescrite au paragraphe 2, l</w:t>
      </w:r>
      <w:r w:rsidR="00C52275">
        <w:rPr>
          <w:b/>
          <w:bCs/>
          <w:lang w:val="fr-FR"/>
        </w:rPr>
        <w:t>’</w:t>
      </w:r>
      <w:r w:rsidR="008A43AA" w:rsidRPr="008A43AA">
        <w:rPr>
          <w:b/>
          <w:bCs/>
          <w:lang w:val="fr-FR"/>
        </w:rPr>
        <w:t>homologation de ce type de dispositif d</w:t>
      </w:r>
      <w:r w:rsidR="00C52275">
        <w:rPr>
          <w:b/>
          <w:bCs/>
          <w:lang w:val="fr-FR"/>
        </w:rPr>
        <w:t>’</w:t>
      </w:r>
      <w:r w:rsidR="008A43AA" w:rsidRPr="008A43AA">
        <w:rPr>
          <w:b/>
          <w:bCs/>
          <w:lang w:val="fr-FR"/>
        </w:rPr>
        <w:t>éclairage n</w:t>
      </w:r>
      <w:r w:rsidR="00C52275">
        <w:rPr>
          <w:b/>
          <w:bCs/>
          <w:lang w:val="fr-FR"/>
        </w:rPr>
        <w:t>’</w:t>
      </w:r>
      <w:r w:rsidR="008A43AA" w:rsidRPr="008A43AA">
        <w:rPr>
          <w:b/>
          <w:bCs/>
          <w:lang w:val="fr-FR"/>
        </w:rPr>
        <w:t>est valable que si les échantillons présentés étaient équipés de sources lumineuses appartenant aux catégories prescrites.</w:t>
      </w:r>
      <w:r w:rsidRPr="00A05D9E">
        <w:rPr>
          <w:bCs/>
          <w:lang w:val="fr-FR"/>
        </w:rPr>
        <w:t> ».</w:t>
      </w:r>
    </w:p>
    <w:p w:rsidR="008A43AA" w:rsidRPr="00A05D9E" w:rsidRDefault="008A43AA" w:rsidP="008A43AA">
      <w:pPr>
        <w:pStyle w:val="SingleTxtG"/>
        <w:rPr>
          <w:bCs/>
          <w:u w:val="single"/>
        </w:rPr>
      </w:pPr>
      <w:r w:rsidRPr="00A05D9E">
        <w:rPr>
          <w:bCs/>
          <w:u w:val="single"/>
          <w:lang w:val="fr-FR"/>
        </w:rPr>
        <w:t xml:space="preserve">Exemple du Règlement </w:t>
      </w:r>
      <w:r w:rsidR="00A05D9E" w:rsidRPr="00A05D9E">
        <w:rPr>
          <w:rFonts w:eastAsia="MS Mincho"/>
          <w:bCs/>
          <w:szCs w:val="22"/>
          <w:u w:val="single"/>
          <w:lang w:val="fr-FR"/>
        </w:rPr>
        <w:t>n</w:t>
      </w:r>
      <w:r w:rsidR="00A05D9E" w:rsidRPr="00A05D9E">
        <w:rPr>
          <w:rFonts w:eastAsia="MS Mincho"/>
          <w:bCs/>
          <w:szCs w:val="22"/>
          <w:u w:val="single"/>
          <w:vertAlign w:val="superscript"/>
          <w:lang w:val="fr-FR"/>
        </w:rPr>
        <w:t>o</w:t>
      </w:r>
      <w:r w:rsidR="00A05D9E">
        <w:rPr>
          <w:bCs/>
          <w:u w:val="single"/>
          <w:lang w:val="fr-FR"/>
        </w:rPr>
        <w:t> </w:t>
      </w:r>
      <w:r w:rsidRPr="00A05D9E">
        <w:rPr>
          <w:bCs/>
          <w:u w:val="single"/>
          <w:lang w:val="fr-FR"/>
        </w:rPr>
        <w:t>112</w:t>
      </w:r>
    </w:p>
    <w:p w:rsidR="008A43AA" w:rsidRPr="008A43AA" w:rsidRDefault="00A05D9E" w:rsidP="00A05D9E">
      <w:pPr>
        <w:pStyle w:val="SingleTxtG"/>
        <w:ind w:left="2268" w:hanging="1134"/>
        <w:rPr>
          <w:b/>
          <w:bCs/>
        </w:rPr>
      </w:pPr>
      <w:r>
        <w:rPr>
          <w:bCs/>
          <w:lang w:val="fr-FR"/>
        </w:rPr>
        <w:t>« </w:t>
      </w:r>
      <w:r w:rsidR="008A43AA" w:rsidRPr="00A05D9E">
        <w:rPr>
          <w:bCs/>
          <w:lang w:val="fr-FR"/>
        </w:rPr>
        <w:t>4.1.1</w:t>
      </w:r>
      <w:r w:rsidR="008A43AA" w:rsidRPr="00A05D9E">
        <w:rPr>
          <w:bCs/>
          <w:lang w:val="fr-FR"/>
        </w:rPr>
        <w:tab/>
        <w:t>Si tous les échantillons d</w:t>
      </w:r>
      <w:r w:rsidR="00C52275" w:rsidRPr="00A05D9E">
        <w:rPr>
          <w:bCs/>
          <w:lang w:val="fr-FR"/>
        </w:rPr>
        <w:t>’</w:t>
      </w:r>
      <w:r w:rsidR="008A43AA" w:rsidRPr="00A05D9E">
        <w:rPr>
          <w:bCs/>
          <w:lang w:val="fr-FR"/>
        </w:rPr>
        <w:t>un type de projecteur présentés en application du paragraphe 2 ci-dessus satisfont aux prescriptions du présent Règlement, l</w:t>
      </w:r>
      <w:r w:rsidR="00C52275" w:rsidRPr="00A05D9E">
        <w:rPr>
          <w:bCs/>
          <w:lang w:val="fr-FR"/>
        </w:rPr>
        <w:t>’</w:t>
      </w:r>
      <w:r w:rsidR="008A43AA" w:rsidRPr="00A05D9E">
        <w:rPr>
          <w:bCs/>
          <w:lang w:val="fr-FR"/>
        </w:rPr>
        <w:t>homologation est accordée.</w:t>
      </w:r>
      <w:r w:rsidR="008A43AA" w:rsidRPr="008A43AA">
        <w:rPr>
          <w:b/>
          <w:bCs/>
          <w:lang w:val="fr-FR"/>
        </w:rPr>
        <w:t xml:space="preserve"> Toutefois, si au moins une catégorie de sources lumineuses est prescrite au paragraphe 2.1.5, l</w:t>
      </w:r>
      <w:r w:rsidR="00C52275">
        <w:rPr>
          <w:b/>
          <w:bCs/>
          <w:lang w:val="fr-FR"/>
        </w:rPr>
        <w:t>’</w:t>
      </w:r>
      <w:r w:rsidR="008A43AA" w:rsidRPr="008A43AA">
        <w:rPr>
          <w:b/>
          <w:bCs/>
          <w:lang w:val="fr-FR"/>
        </w:rPr>
        <w:t>homologation de ce type de projecteur n</w:t>
      </w:r>
      <w:r w:rsidR="00C52275">
        <w:rPr>
          <w:b/>
          <w:bCs/>
          <w:lang w:val="fr-FR"/>
        </w:rPr>
        <w:t>’</w:t>
      </w:r>
      <w:r w:rsidR="008A43AA" w:rsidRPr="008A43AA">
        <w:rPr>
          <w:b/>
          <w:bCs/>
          <w:lang w:val="fr-FR"/>
        </w:rPr>
        <w:t>est valable que si les échantillons présentés étaient équipés de sources lumineuses appartenant aux catégories prescrites.</w:t>
      </w:r>
      <w:r w:rsidRPr="00A05D9E">
        <w:rPr>
          <w:bCs/>
          <w:lang w:val="fr-FR"/>
        </w:rPr>
        <w:t> ».</w:t>
      </w:r>
    </w:p>
    <w:p w:rsidR="008A43AA" w:rsidRPr="0014239B" w:rsidRDefault="008A43AA" w:rsidP="008A43AA">
      <w:pPr>
        <w:pStyle w:val="SingleTxtG"/>
        <w:rPr>
          <w:bCs/>
        </w:rPr>
      </w:pPr>
      <w:r w:rsidRPr="0014239B">
        <w:rPr>
          <w:bCs/>
          <w:lang w:val="fr-FR"/>
        </w:rPr>
        <w:lastRenderedPageBreak/>
        <w:t>7.</w:t>
      </w:r>
      <w:r w:rsidRPr="0014239B">
        <w:rPr>
          <w:bCs/>
          <w:lang w:val="fr-FR"/>
        </w:rPr>
        <w:tab/>
        <w:t xml:space="preserve">Dans les Règlements portant sur les installations, modifier les paragraphes </w:t>
      </w:r>
      <w:r w:rsidR="0014239B">
        <w:rPr>
          <w:bCs/>
          <w:lang w:val="fr-FR"/>
        </w:rPr>
        <w:t>« </w:t>
      </w:r>
      <w:r w:rsidRPr="0014239B">
        <w:rPr>
          <w:bCs/>
          <w:lang w:val="fr-FR"/>
        </w:rPr>
        <w:t>Homologation</w:t>
      </w:r>
      <w:r w:rsidR="0014239B">
        <w:rPr>
          <w:bCs/>
          <w:lang w:val="fr-FR"/>
        </w:rPr>
        <w:t> »</w:t>
      </w:r>
      <w:r w:rsidRPr="0014239B">
        <w:rPr>
          <w:bCs/>
          <w:lang w:val="fr-FR"/>
        </w:rPr>
        <w:t xml:space="preserve"> et </w:t>
      </w:r>
      <w:r w:rsidR="0014239B">
        <w:rPr>
          <w:bCs/>
          <w:lang w:val="fr-FR"/>
        </w:rPr>
        <w:t>« </w:t>
      </w:r>
      <w:r w:rsidRPr="0014239B">
        <w:rPr>
          <w:bCs/>
          <w:lang w:val="fr-FR"/>
        </w:rPr>
        <w:t>Spécifications générales</w:t>
      </w:r>
      <w:r w:rsidR="0014239B">
        <w:rPr>
          <w:bCs/>
          <w:lang w:val="fr-FR"/>
        </w:rPr>
        <w:t> »</w:t>
      </w:r>
      <w:r w:rsidRPr="0014239B">
        <w:rPr>
          <w:bCs/>
          <w:lang w:val="fr-FR"/>
        </w:rPr>
        <w:t xml:space="preserve"> (ou </w:t>
      </w:r>
      <w:r w:rsidR="0014239B">
        <w:rPr>
          <w:bCs/>
          <w:lang w:val="fr-FR"/>
        </w:rPr>
        <w:t>« </w:t>
      </w:r>
      <w:r w:rsidRPr="0014239B">
        <w:rPr>
          <w:bCs/>
          <w:lang w:val="fr-FR"/>
        </w:rPr>
        <w:t>Prescriptions générales</w:t>
      </w:r>
      <w:r w:rsidR="0014239B">
        <w:rPr>
          <w:bCs/>
          <w:lang w:val="fr-FR"/>
        </w:rPr>
        <w:t> »</w:t>
      </w:r>
      <w:r w:rsidRPr="0014239B">
        <w:rPr>
          <w:bCs/>
          <w:lang w:val="fr-FR"/>
        </w:rPr>
        <w:t>), comme suit</w:t>
      </w:r>
      <w:r w:rsidR="0014239B">
        <w:rPr>
          <w:bCs/>
          <w:lang w:val="fr-FR"/>
        </w:rPr>
        <w:t> :</w:t>
      </w:r>
    </w:p>
    <w:p w:rsidR="008A43AA" w:rsidRPr="0014239B" w:rsidRDefault="008A43AA" w:rsidP="0035019A">
      <w:pPr>
        <w:pStyle w:val="SingleTxtG"/>
        <w:keepNext/>
        <w:keepLines/>
        <w:rPr>
          <w:bCs/>
          <w:u w:val="single"/>
        </w:rPr>
      </w:pPr>
      <w:r w:rsidRPr="0014239B">
        <w:rPr>
          <w:bCs/>
          <w:u w:val="single"/>
          <w:lang w:val="fr-FR"/>
        </w:rPr>
        <w:t xml:space="preserve">Exemple du Règlement </w:t>
      </w:r>
      <w:r w:rsidR="0014239B" w:rsidRPr="0014239B">
        <w:rPr>
          <w:rFonts w:eastAsia="MS Mincho"/>
          <w:bCs/>
          <w:szCs w:val="22"/>
          <w:u w:val="single"/>
          <w:lang w:val="fr-FR"/>
        </w:rPr>
        <w:t>n</w:t>
      </w:r>
      <w:r w:rsidR="0014239B" w:rsidRPr="0014239B">
        <w:rPr>
          <w:rFonts w:eastAsia="MS Mincho"/>
          <w:bCs/>
          <w:szCs w:val="22"/>
          <w:u w:val="single"/>
          <w:vertAlign w:val="superscript"/>
          <w:lang w:val="fr-FR"/>
        </w:rPr>
        <w:t>o</w:t>
      </w:r>
      <w:r w:rsidR="0014239B">
        <w:rPr>
          <w:bCs/>
          <w:u w:val="single"/>
          <w:lang w:val="fr-FR"/>
        </w:rPr>
        <w:t> </w:t>
      </w:r>
      <w:r w:rsidRPr="0014239B">
        <w:rPr>
          <w:bCs/>
          <w:u w:val="single"/>
          <w:lang w:val="fr-FR"/>
        </w:rPr>
        <w:t>48</w:t>
      </w:r>
    </w:p>
    <w:p w:rsidR="008A43AA" w:rsidRPr="0014239B" w:rsidRDefault="0014239B" w:rsidP="0035019A">
      <w:pPr>
        <w:pStyle w:val="SingleTxtG"/>
        <w:keepNext/>
        <w:keepLines/>
        <w:ind w:left="2268" w:hanging="1134"/>
        <w:rPr>
          <w:bCs/>
        </w:rPr>
      </w:pPr>
      <w:r>
        <w:rPr>
          <w:bCs/>
          <w:lang w:val="fr-FR"/>
        </w:rPr>
        <w:t>« </w:t>
      </w:r>
      <w:r w:rsidR="008A43AA" w:rsidRPr="0014239B">
        <w:rPr>
          <w:bCs/>
          <w:lang w:val="fr-FR"/>
        </w:rPr>
        <w:t>4.1</w:t>
      </w:r>
      <w:r w:rsidR="008A43AA" w:rsidRPr="0014239B">
        <w:rPr>
          <w:bCs/>
          <w:lang w:val="fr-FR"/>
        </w:rPr>
        <w:tab/>
        <w:t>Lorsque le type de véhicule présenté à l</w:t>
      </w:r>
      <w:r w:rsidR="00C52275" w:rsidRPr="0014239B">
        <w:rPr>
          <w:bCs/>
          <w:lang w:val="fr-FR"/>
        </w:rPr>
        <w:t>’</w:t>
      </w:r>
      <w:r w:rsidR="008A43AA" w:rsidRPr="0014239B">
        <w:rPr>
          <w:bCs/>
          <w:lang w:val="fr-FR"/>
        </w:rPr>
        <w:t>homologation en application du présent Règlement satisfait, pour tous les dispositifs indiqués sur le bordereau, aux prescriptions du présent Règlement, l</w:t>
      </w:r>
      <w:r w:rsidR="00C52275" w:rsidRPr="0014239B">
        <w:rPr>
          <w:bCs/>
          <w:lang w:val="fr-FR"/>
        </w:rPr>
        <w:t>’</w:t>
      </w:r>
      <w:r w:rsidR="008A43AA" w:rsidRPr="0014239B">
        <w:rPr>
          <w:bCs/>
          <w:lang w:val="fr-FR"/>
        </w:rPr>
        <w:t>homologation pour ce type de véhicule doit être accordée.</w:t>
      </w:r>
    </w:p>
    <w:p w:rsidR="008A43AA" w:rsidRPr="008A43AA" w:rsidRDefault="008A43AA" w:rsidP="0014239B">
      <w:pPr>
        <w:pStyle w:val="SingleTxtG"/>
        <w:ind w:left="2268"/>
        <w:rPr>
          <w:b/>
          <w:bCs/>
        </w:rPr>
      </w:pPr>
      <w:r w:rsidRPr="008A43AA">
        <w:rPr>
          <w:b/>
          <w:bCs/>
          <w:lang w:val="fr-FR"/>
        </w:rPr>
        <w:t>Toutefois, l</w:t>
      </w:r>
      <w:r w:rsidR="00C52275">
        <w:rPr>
          <w:b/>
          <w:bCs/>
          <w:lang w:val="fr-FR"/>
        </w:rPr>
        <w:t>’</w:t>
      </w:r>
      <w:r w:rsidRPr="008A43AA">
        <w:rPr>
          <w:b/>
          <w:bCs/>
          <w:lang w:val="fr-FR"/>
        </w:rPr>
        <w:t>homologation du type de véhicule n</w:t>
      </w:r>
      <w:r w:rsidR="00C52275">
        <w:rPr>
          <w:b/>
          <w:bCs/>
          <w:lang w:val="fr-FR"/>
        </w:rPr>
        <w:t>’</w:t>
      </w:r>
      <w:r w:rsidRPr="008A43AA">
        <w:rPr>
          <w:b/>
          <w:bCs/>
          <w:lang w:val="fr-FR"/>
        </w:rPr>
        <w:t>est valable que si les feux montés sur le véhicule étaient équipés des sources lumineuses prévues dans les critères d</w:t>
      </w:r>
      <w:r w:rsidR="00C52275">
        <w:rPr>
          <w:b/>
          <w:bCs/>
          <w:lang w:val="fr-FR"/>
        </w:rPr>
        <w:t>’</w:t>
      </w:r>
      <w:r w:rsidRPr="008A43AA">
        <w:rPr>
          <w:b/>
          <w:bCs/>
          <w:lang w:val="fr-FR"/>
        </w:rPr>
        <w:t>homologation des dispositifs concernés.</w:t>
      </w:r>
      <w:r w:rsidR="0014239B" w:rsidRPr="0014239B">
        <w:rPr>
          <w:bCs/>
          <w:lang w:val="fr-FR"/>
        </w:rPr>
        <w:t> ».</w:t>
      </w:r>
    </w:p>
    <w:p w:rsidR="008A43AA" w:rsidRPr="008A43AA" w:rsidRDefault="0014239B" w:rsidP="00A05D9E">
      <w:pPr>
        <w:pStyle w:val="SingleTxtG"/>
        <w:ind w:left="2268" w:hanging="1134"/>
        <w:rPr>
          <w:b/>
          <w:bCs/>
        </w:rPr>
      </w:pPr>
      <w:r>
        <w:rPr>
          <w:b/>
          <w:bCs/>
          <w:lang w:val="fr-FR"/>
        </w:rPr>
        <w:t>« </w:t>
      </w:r>
      <w:r w:rsidR="008A43AA" w:rsidRPr="008A43AA">
        <w:rPr>
          <w:b/>
          <w:bCs/>
          <w:lang w:val="fr-FR"/>
        </w:rPr>
        <w:t>5.30</w:t>
      </w:r>
      <w:r w:rsidR="008A43AA" w:rsidRPr="008A43AA">
        <w:rPr>
          <w:b/>
          <w:bCs/>
          <w:lang w:val="fr-FR"/>
        </w:rPr>
        <w:tab/>
      </w:r>
      <w:r w:rsidR="008A43AA" w:rsidRPr="0014239B">
        <w:rPr>
          <w:b/>
          <w:bCs/>
          <w:lang w:val="fr-FR"/>
        </w:rPr>
        <w:t xml:space="preserve">Les </w:t>
      </w:r>
      <w:r w:rsidR="008A43AA" w:rsidRPr="008A43AA">
        <w:rPr>
          <w:b/>
          <w:bCs/>
          <w:lang w:val="fr-FR"/>
        </w:rPr>
        <w:t xml:space="preserve">feux homologués pour être utilisés avec une ou plusieurs catégories de sources lumineuses homologuées conformément aux Règlements </w:t>
      </w:r>
      <w:r w:rsidRPr="0014239B">
        <w:rPr>
          <w:rFonts w:eastAsia="MS Mincho"/>
          <w:b/>
          <w:bCs/>
          <w:szCs w:val="22"/>
          <w:lang w:val="fr-FR"/>
        </w:rPr>
        <w:t>n</w:t>
      </w:r>
      <w:r w:rsidRPr="0014239B">
        <w:rPr>
          <w:rFonts w:eastAsia="MS Mincho"/>
          <w:b/>
          <w:bCs/>
          <w:szCs w:val="22"/>
          <w:vertAlign w:val="superscript"/>
          <w:lang w:val="fr-FR"/>
        </w:rPr>
        <w:t>o</w:t>
      </w:r>
      <w:r>
        <w:rPr>
          <w:rFonts w:eastAsia="MS Mincho"/>
          <w:b/>
          <w:bCs/>
          <w:szCs w:val="22"/>
          <w:vertAlign w:val="superscript"/>
          <w:lang w:val="fr-FR"/>
        </w:rPr>
        <w:t>s</w:t>
      </w:r>
      <w:r>
        <w:rPr>
          <w:b/>
          <w:bCs/>
          <w:lang w:val="fr-FR"/>
        </w:rPr>
        <w:t> </w:t>
      </w:r>
      <w:r w:rsidR="008A43AA" w:rsidRPr="008A43AA">
        <w:rPr>
          <w:b/>
          <w:bCs/>
          <w:lang w:val="fr-FR"/>
        </w:rPr>
        <w:t>37, 99 ou 128 doivent être équipés d</w:t>
      </w:r>
      <w:r w:rsidR="00C52275">
        <w:rPr>
          <w:b/>
          <w:bCs/>
          <w:lang w:val="fr-FR"/>
        </w:rPr>
        <w:t>’</w:t>
      </w:r>
      <w:r w:rsidR="008A43AA" w:rsidRPr="008A43AA">
        <w:rPr>
          <w:b/>
          <w:bCs/>
          <w:lang w:val="fr-FR"/>
        </w:rPr>
        <w:t>une ou de plusieurs de ces source(s) lumineuse(s). ».</w:t>
      </w:r>
    </w:p>
    <w:p w:rsidR="008A43AA" w:rsidRPr="008A43AA" w:rsidRDefault="0014239B" w:rsidP="0014239B">
      <w:pPr>
        <w:pStyle w:val="H4G"/>
      </w:pPr>
      <w:r>
        <w:rPr>
          <w:lang w:val="fr-FR"/>
        </w:rPr>
        <w:tab/>
      </w:r>
      <w:r>
        <w:rPr>
          <w:lang w:val="fr-FR"/>
        </w:rPr>
        <w:tab/>
      </w:r>
      <w:r w:rsidR="008A43AA" w:rsidRPr="008A43AA">
        <w:rPr>
          <w:lang w:val="fr-FR"/>
        </w:rPr>
        <w:t>Informations complémentaires</w:t>
      </w:r>
    </w:p>
    <w:p w:rsidR="008A43AA" w:rsidRPr="0014239B" w:rsidRDefault="008A43AA" w:rsidP="008A43AA">
      <w:pPr>
        <w:pStyle w:val="SingleTxtG"/>
        <w:rPr>
          <w:bCs/>
        </w:rPr>
      </w:pPr>
      <w:r w:rsidRPr="0014239B">
        <w:rPr>
          <w:bCs/>
          <w:lang w:val="fr-FR"/>
        </w:rPr>
        <w:t>8.</w:t>
      </w:r>
      <w:r w:rsidRPr="0014239B">
        <w:rPr>
          <w:bCs/>
          <w:lang w:val="fr-FR"/>
        </w:rPr>
        <w:tab/>
        <w:t>Pour les dispositifs d</w:t>
      </w:r>
      <w:r w:rsidR="00C52275" w:rsidRPr="0014239B">
        <w:rPr>
          <w:bCs/>
          <w:lang w:val="fr-FR"/>
        </w:rPr>
        <w:t>’</w:t>
      </w:r>
      <w:r w:rsidRPr="0014239B">
        <w:rPr>
          <w:bCs/>
          <w:lang w:val="fr-FR"/>
        </w:rPr>
        <w:t>éclairage et de signalisation lumineuse, il est possible d</w:t>
      </w:r>
      <w:r w:rsidR="00C52275" w:rsidRPr="0014239B">
        <w:rPr>
          <w:bCs/>
          <w:lang w:val="fr-FR"/>
        </w:rPr>
        <w:t>’</w:t>
      </w:r>
      <w:r w:rsidRPr="0014239B">
        <w:rPr>
          <w:bCs/>
          <w:lang w:val="fr-FR"/>
        </w:rPr>
        <w:t>utiliser plusieurs types de sources lumineuses</w:t>
      </w:r>
      <w:r w:rsidR="0014239B">
        <w:rPr>
          <w:bCs/>
          <w:lang w:val="fr-FR"/>
        </w:rPr>
        <w:t> </w:t>
      </w:r>
      <w:r w:rsidRPr="0014239B">
        <w:rPr>
          <w:bCs/>
          <w:lang w:val="fr-FR"/>
        </w:rPr>
        <w:t xml:space="preserve">: </w:t>
      </w:r>
    </w:p>
    <w:p w:rsidR="008A43AA" w:rsidRPr="0014239B" w:rsidRDefault="008A43AA" w:rsidP="0014239B">
      <w:pPr>
        <w:pStyle w:val="Bullet1G"/>
      </w:pPr>
      <w:r w:rsidRPr="0014239B">
        <w:rPr>
          <w:lang w:val="fr-FR"/>
        </w:rPr>
        <w:t>Des sources lumineuses remplaçables</w:t>
      </w:r>
      <w:r w:rsidR="0014239B">
        <w:rPr>
          <w:lang w:val="fr-FR"/>
        </w:rPr>
        <w:t> </w:t>
      </w:r>
      <w:r w:rsidRPr="0014239B">
        <w:rPr>
          <w:lang w:val="fr-FR"/>
        </w:rPr>
        <w:t xml:space="preserve">; </w:t>
      </w:r>
    </w:p>
    <w:p w:rsidR="008A43AA" w:rsidRPr="0014239B" w:rsidRDefault="008A43AA" w:rsidP="0014239B">
      <w:pPr>
        <w:pStyle w:val="Bullet1G"/>
      </w:pPr>
      <w:r w:rsidRPr="0014239B">
        <w:rPr>
          <w:lang w:val="fr-FR"/>
        </w:rPr>
        <w:t>Des sources lumineuses non remplaçables</w:t>
      </w:r>
      <w:r w:rsidR="0014239B">
        <w:rPr>
          <w:lang w:val="fr-FR"/>
        </w:rPr>
        <w:t> </w:t>
      </w:r>
      <w:r w:rsidRPr="0014239B">
        <w:rPr>
          <w:lang w:val="fr-FR"/>
        </w:rPr>
        <w:t>;</w:t>
      </w:r>
    </w:p>
    <w:p w:rsidR="008A43AA" w:rsidRPr="0014239B" w:rsidRDefault="008A43AA" w:rsidP="0014239B">
      <w:pPr>
        <w:pStyle w:val="Bullet1G"/>
      </w:pPr>
      <w:r w:rsidRPr="0014239B">
        <w:rPr>
          <w:lang w:val="fr-FR"/>
        </w:rPr>
        <w:t>Des modules d</w:t>
      </w:r>
      <w:r w:rsidR="00C52275" w:rsidRPr="0014239B">
        <w:rPr>
          <w:lang w:val="fr-FR"/>
        </w:rPr>
        <w:t>’</w:t>
      </w:r>
      <w:r w:rsidR="0014239B">
        <w:rPr>
          <w:lang w:val="fr-FR"/>
        </w:rPr>
        <w:t>éclairage ou des modules DEL.</w:t>
      </w:r>
    </w:p>
    <w:p w:rsidR="008A43AA" w:rsidRPr="0014239B" w:rsidRDefault="008A43AA" w:rsidP="008A43AA">
      <w:pPr>
        <w:pStyle w:val="SingleTxtG"/>
        <w:rPr>
          <w:bCs/>
        </w:rPr>
      </w:pPr>
      <w:r w:rsidRPr="0014239B">
        <w:rPr>
          <w:bCs/>
          <w:lang w:val="fr-FR"/>
        </w:rPr>
        <w:t>9.</w:t>
      </w:r>
      <w:r w:rsidRPr="0014239B">
        <w:rPr>
          <w:bCs/>
          <w:lang w:val="fr-FR"/>
        </w:rPr>
        <w:tab/>
        <w:t>Les Règlements ne les autorisent pas systématiquement toutes pour toutes les applications. Cela est spécifié dans les Règlements concernant les dispositifs et, dans les Règlements n</w:t>
      </w:r>
      <w:r w:rsidRPr="0014239B">
        <w:rPr>
          <w:bCs/>
          <w:vertAlign w:val="superscript"/>
          <w:lang w:val="fr-FR"/>
        </w:rPr>
        <w:t>os</w:t>
      </w:r>
      <w:r w:rsidR="0014239B">
        <w:rPr>
          <w:bCs/>
          <w:lang w:val="fr-FR"/>
        </w:rPr>
        <w:t> </w:t>
      </w:r>
      <w:r w:rsidRPr="0014239B">
        <w:rPr>
          <w:bCs/>
          <w:lang w:val="fr-FR"/>
        </w:rPr>
        <w:t>37, 99 et 128 (ainsi que dans la Résolution d</w:t>
      </w:r>
      <w:r w:rsidR="00C52275" w:rsidRPr="0014239B">
        <w:rPr>
          <w:bCs/>
          <w:lang w:val="fr-FR"/>
        </w:rPr>
        <w:t>’</w:t>
      </w:r>
      <w:r w:rsidRPr="0014239B">
        <w:rPr>
          <w:bCs/>
          <w:lang w:val="fr-FR"/>
        </w:rPr>
        <w:t>ensemble R.E.5), par la mention de restrictions d</w:t>
      </w:r>
      <w:r w:rsidR="00C52275" w:rsidRPr="0014239B">
        <w:rPr>
          <w:bCs/>
          <w:lang w:val="fr-FR"/>
        </w:rPr>
        <w:t>’</w:t>
      </w:r>
      <w:r w:rsidRPr="0014239B">
        <w:rPr>
          <w:bCs/>
          <w:lang w:val="fr-FR"/>
        </w:rPr>
        <w:t>utilisation.</w:t>
      </w:r>
    </w:p>
    <w:p w:rsidR="008A43AA" w:rsidRPr="0014239B" w:rsidRDefault="008A43AA" w:rsidP="008A43AA">
      <w:pPr>
        <w:pStyle w:val="SingleTxtG"/>
        <w:rPr>
          <w:bCs/>
        </w:rPr>
      </w:pPr>
      <w:r w:rsidRPr="0014239B">
        <w:rPr>
          <w:bCs/>
          <w:lang w:val="fr-FR"/>
        </w:rPr>
        <w:t>10.</w:t>
      </w:r>
      <w:r w:rsidRPr="0014239B">
        <w:rPr>
          <w:bCs/>
          <w:lang w:val="fr-FR"/>
        </w:rPr>
        <w:tab/>
        <w:t>Les catégories des sources lumineuses remplaçables et</w:t>
      </w:r>
      <w:r w:rsidR="0014239B">
        <w:rPr>
          <w:bCs/>
          <w:lang w:val="fr-FR"/>
        </w:rPr>
        <w:t xml:space="preserve"> </w:t>
      </w:r>
      <w:r w:rsidRPr="0014239B">
        <w:rPr>
          <w:bCs/>
          <w:lang w:val="fr-FR"/>
        </w:rPr>
        <w:t>des modules d</w:t>
      </w:r>
      <w:r w:rsidR="00C52275" w:rsidRPr="0014239B">
        <w:rPr>
          <w:bCs/>
          <w:lang w:val="fr-FR"/>
        </w:rPr>
        <w:t>’</w:t>
      </w:r>
      <w:r w:rsidRPr="0014239B">
        <w:rPr>
          <w:bCs/>
          <w:lang w:val="fr-FR"/>
        </w:rPr>
        <w:t>éclairage sont indiquées dans la fiche de communication des Règlements concernant les dispositifs. Les catégories des sources lumineuses non remplaçables n</w:t>
      </w:r>
      <w:r w:rsidR="00C52275" w:rsidRPr="0014239B">
        <w:rPr>
          <w:bCs/>
          <w:lang w:val="fr-FR"/>
        </w:rPr>
        <w:t>’</w:t>
      </w:r>
      <w:r w:rsidRPr="0014239B">
        <w:rPr>
          <w:bCs/>
          <w:lang w:val="fr-FR"/>
        </w:rPr>
        <w:t>y figurent pas, puisque ces éléments font partie du dispositif ou du module d</w:t>
      </w:r>
      <w:r w:rsidR="00C52275" w:rsidRPr="0014239B">
        <w:rPr>
          <w:bCs/>
          <w:lang w:val="fr-FR"/>
        </w:rPr>
        <w:t>’</w:t>
      </w:r>
      <w:r w:rsidRPr="0014239B">
        <w:rPr>
          <w:bCs/>
          <w:lang w:val="fr-FR"/>
        </w:rPr>
        <w:t>éclairage.</w:t>
      </w:r>
    </w:p>
    <w:p w:rsidR="008A43AA" w:rsidRPr="0014239B" w:rsidRDefault="008A43AA" w:rsidP="008A43AA">
      <w:pPr>
        <w:pStyle w:val="SingleTxtG"/>
        <w:rPr>
          <w:bCs/>
        </w:rPr>
      </w:pPr>
      <w:r w:rsidRPr="0014239B">
        <w:rPr>
          <w:bCs/>
          <w:lang w:val="fr-FR"/>
        </w:rPr>
        <w:t>11.</w:t>
      </w:r>
      <w:r w:rsidRPr="0014239B">
        <w:rPr>
          <w:bCs/>
          <w:lang w:val="fr-FR"/>
        </w:rPr>
        <w:tab/>
        <w:t>Les sources lumineuses remplaçables doivent être homologuées conformément aux prescriptions des Règlements n</w:t>
      </w:r>
      <w:r w:rsidRPr="0014239B">
        <w:rPr>
          <w:bCs/>
          <w:vertAlign w:val="superscript"/>
          <w:lang w:val="fr-FR"/>
        </w:rPr>
        <w:t>os</w:t>
      </w:r>
      <w:r w:rsidR="0014239B">
        <w:rPr>
          <w:bCs/>
          <w:lang w:val="fr-FR"/>
        </w:rPr>
        <w:t> 3</w:t>
      </w:r>
      <w:r w:rsidRPr="0014239B">
        <w:rPr>
          <w:bCs/>
          <w:lang w:val="fr-FR"/>
        </w:rPr>
        <w:t xml:space="preserve">7, 99 ou 128. Dans certains cas, les sources lumineuses non remplaçables doivent également être homologuées (par exemple dans le Règlement </w:t>
      </w:r>
      <w:r w:rsidR="0014239B" w:rsidRPr="0014239B">
        <w:rPr>
          <w:rFonts w:eastAsia="MS Mincho"/>
          <w:bCs/>
          <w:szCs w:val="22"/>
          <w:lang w:val="fr-FR"/>
        </w:rPr>
        <w:t>n</w:t>
      </w:r>
      <w:r w:rsidR="0014239B" w:rsidRPr="0014239B">
        <w:rPr>
          <w:rFonts w:eastAsia="MS Mincho"/>
          <w:bCs/>
          <w:szCs w:val="22"/>
          <w:vertAlign w:val="superscript"/>
          <w:lang w:val="fr-FR"/>
        </w:rPr>
        <w:t>o</w:t>
      </w:r>
      <w:r w:rsidR="0014239B">
        <w:rPr>
          <w:bCs/>
          <w:lang w:val="fr-FR"/>
        </w:rPr>
        <w:t> </w:t>
      </w:r>
      <w:r w:rsidRPr="0014239B">
        <w:rPr>
          <w:bCs/>
          <w:lang w:val="fr-FR"/>
        </w:rPr>
        <w:t>19).</w:t>
      </w:r>
    </w:p>
    <w:p w:rsidR="008A43AA" w:rsidRPr="0014239B" w:rsidRDefault="008A43AA" w:rsidP="008A43AA">
      <w:pPr>
        <w:pStyle w:val="SingleTxtG"/>
        <w:rPr>
          <w:bCs/>
        </w:rPr>
      </w:pPr>
      <w:r w:rsidRPr="0014239B">
        <w:rPr>
          <w:bCs/>
          <w:lang w:val="fr-FR"/>
        </w:rPr>
        <w:t>12.</w:t>
      </w:r>
      <w:r w:rsidRPr="0014239B">
        <w:rPr>
          <w:bCs/>
          <w:lang w:val="fr-FR"/>
        </w:rPr>
        <w:tab/>
        <w:t>L</w:t>
      </w:r>
      <w:r w:rsidR="00C52275" w:rsidRPr="0014239B">
        <w:rPr>
          <w:bCs/>
          <w:lang w:val="fr-FR"/>
        </w:rPr>
        <w:t>’</w:t>
      </w:r>
      <w:r w:rsidRPr="0014239B">
        <w:rPr>
          <w:bCs/>
          <w:lang w:val="fr-FR"/>
        </w:rPr>
        <w:t>homologation des dispositifs équipés de sources lumineuses remplaçables est généralement effectuée avec des sources lumineuses étalon. En effet, ces sources lumineuses ont des marges de tolérance plus étroites, ce qui rend l</w:t>
      </w:r>
      <w:r w:rsidR="00C52275" w:rsidRPr="0014239B">
        <w:rPr>
          <w:bCs/>
          <w:lang w:val="fr-FR"/>
        </w:rPr>
        <w:t>’</w:t>
      </w:r>
      <w:r w:rsidRPr="0014239B">
        <w:rPr>
          <w:bCs/>
          <w:lang w:val="fr-FR"/>
        </w:rPr>
        <w:t>évaluation de l</w:t>
      </w:r>
      <w:r w:rsidR="00C52275" w:rsidRPr="0014239B">
        <w:rPr>
          <w:bCs/>
          <w:lang w:val="fr-FR"/>
        </w:rPr>
        <w:t>’</w:t>
      </w:r>
      <w:r w:rsidRPr="0014239B">
        <w:rPr>
          <w:bCs/>
          <w:lang w:val="fr-FR"/>
        </w:rPr>
        <w:t>efficacité du dispositif plus précise lors des essais d</w:t>
      </w:r>
      <w:r w:rsidR="00C52275" w:rsidRPr="0014239B">
        <w:rPr>
          <w:bCs/>
          <w:lang w:val="fr-FR"/>
        </w:rPr>
        <w:t>’</w:t>
      </w:r>
      <w:r w:rsidR="0014239B">
        <w:rPr>
          <w:bCs/>
          <w:lang w:val="fr-FR"/>
        </w:rPr>
        <w:t>homologation.</w:t>
      </w:r>
    </w:p>
    <w:p w:rsidR="008A43AA" w:rsidRPr="0014239B" w:rsidRDefault="008A43AA" w:rsidP="008A43AA">
      <w:pPr>
        <w:pStyle w:val="SingleTxtG"/>
        <w:rPr>
          <w:bCs/>
        </w:rPr>
      </w:pPr>
      <w:r w:rsidRPr="0014239B">
        <w:rPr>
          <w:bCs/>
          <w:lang w:val="fr-FR"/>
        </w:rPr>
        <w:t>13.</w:t>
      </w:r>
      <w:r w:rsidRPr="0014239B">
        <w:rPr>
          <w:bCs/>
          <w:lang w:val="fr-FR"/>
        </w:rPr>
        <w:tab/>
        <w:t>Dans certains cas, les dispositifs peuvent également être soumis aux essais</w:t>
      </w:r>
      <w:r w:rsidR="0014239B">
        <w:rPr>
          <w:bCs/>
          <w:lang w:val="fr-FR"/>
        </w:rPr>
        <w:t xml:space="preserve"> </w:t>
      </w:r>
      <w:r w:rsidRPr="0014239B">
        <w:rPr>
          <w:bCs/>
          <w:lang w:val="fr-FR"/>
        </w:rPr>
        <w:t>équipés de sources lumineuses remplaçables de série homologuées.</w:t>
      </w:r>
    </w:p>
    <w:p w:rsidR="008A43AA" w:rsidRPr="0014239B" w:rsidRDefault="008A43AA" w:rsidP="008A43AA">
      <w:pPr>
        <w:pStyle w:val="SingleTxtG"/>
        <w:rPr>
          <w:bCs/>
        </w:rPr>
      </w:pPr>
      <w:r w:rsidRPr="0014239B">
        <w:rPr>
          <w:bCs/>
          <w:lang w:val="fr-FR"/>
        </w:rPr>
        <w:t>14.</w:t>
      </w:r>
      <w:r w:rsidRPr="0014239B">
        <w:rPr>
          <w:bCs/>
          <w:lang w:val="fr-FR"/>
        </w:rPr>
        <w:tab/>
        <w:t>Une source lumineuse étalon ne doit pas nécessairement être homologuée, mais elle doit être accompagnée d</w:t>
      </w:r>
      <w:r w:rsidR="00C52275" w:rsidRPr="0014239B">
        <w:rPr>
          <w:bCs/>
          <w:lang w:val="fr-FR"/>
        </w:rPr>
        <w:t>’</w:t>
      </w:r>
      <w:r w:rsidRPr="0014239B">
        <w:rPr>
          <w:bCs/>
          <w:lang w:val="fr-FR"/>
        </w:rPr>
        <w:t>un procès-verbal d</w:t>
      </w:r>
      <w:r w:rsidR="00C52275" w:rsidRPr="0014239B">
        <w:rPr>
          <w:bCs/>
          <w:lang w:val="fr-FR"/>
        </w:rPr>
        <w:t>’</w:t>
      </w:r>
      <w:r w:rsidRPr="0014239B">
        <w:rPr>
          <w:bCs/>
          <w:lang w:val="fr-FR"/>
        </w:rPr>
        <w:t>essai montrant qu</w:t>
      </w:r>
      <w:r w:rsidR="00C52275" w:rsidRPr="0014239B">
        <w:rPr>
          <w:bCs/>
          <w:lang w:val="fr-FR"/>
        </w:rPr>
        <w:t>’</w:t>
      </w:r>
      <w:r w:rsidRPr="0014239B">
        <w:rPr>
          <w:bCs/>
          <w:lang w:val="fr-FR"/>
        </w:rPr>
        <w:t>elle satisfait à des exigences plus strictes que celles qui s</w:t>
      </w:r>
      <w:r w:rsidR="00C52275" w:rsidRPr="0014239B">
        <w:rPr>
          <w:bCs/>
          <w:lang w:val="fr-FR"/>
        </w:rPr>
        <w:t>’</w:t>
      </w:r>
      <w:r w:rsidRPr="0014239B">
        <w:rPr>
          <w:bCs/>
          <w:lang w:val="fr-FR"/>
        </w:rPr>
        <w:t>appliquent aux sources lumineuses homologuées spécifiées dans les Règlements n</w:t>
      </w:r>
      <w:r w:rsidRPr="0014239B">
        <w:rPr>
          <w:bCs/>
          <w:vertAlign w:val="superscript"/>
          <w:lang w:val="fr-FR"/>
        </w:rPr>
        <w:t>os</w:t>
      </w:r>
      <w:r w:rsidR="0014239B">
        <w:rPr>
          <w:bCs/>
          <w:lang w:val="fr-FR"/>
        </w:rPr>
        <w:t> </w:t>
      </w:r>
      <w:r w:rsidRPr="0014239B">
        <w:rPr>
          <w:bCs/>
          <w:lang w:val="fr-FR"/>
        </w:rPr>
        <w:t>37, 99 ou 128. C</w:t>
      </w:r>
      <w:r w:rsidR="00C52275" w:rsidRPr="0014239B">
        <w:rPr>
          <w:bCs/>
          <w:lang w:val="fr-FR"/>
        </w:rPr>
        <w:t>’</w:t>
      </w:r>
      <w:r w:rsidRPr="0014239B">
        <w:rPr>
          <w:bCs/>
          <w:lang w:val="fr-FR"/>
        </w:rPr>
        <w:t>est pourquoi les Règlements concernant les dispositifs précisent que la source lumineuse étalon doit appartenir à l</w:t>
      </w:r>
      <w:r w:rsidR="00C52275" w:rsidRPr="0014239B">
        <w:rPr>
          <w:bCs/>
          <w:lang w:val="fr-FR"/>
        </w:rPr>
        <w:t>’</w:t>
      </w:r>
      <w:r w:rsidRPr="0014239B">
        <w:rPr>
          <w:bCs/>
          <w:lang w:val="fr-FR"/>
        </w:rPr>
        <w:t>une des catégories visées dans les Règlements n</w:t>
      </w:r>
      <w:r w:rsidRPr="0014239B">
        <w:rPr>
          <w:bCs/>
          <w:vertAlign w:val="superscript"/>
          <w:lang w:val="fr-FR"/>
        </w:rPr>
        <w:t>os</w:t>
      </w:r>
      <w:r w:rsidR="0014239B">
        <w:rPr>
          <w:bCs/>
          <w:lang w:val="fr-FR"/>
        </w:rPr>
        <w:t> 3</w:t>
      </w:r>
      <w:r w:rsidRPr="0014239B">
        <w:rPr>
          <w:bCs/>
          <w:lang w:val="fr-FR"/>
        </w:rPr>
        <w:t>7, 99 ou 128.</w:t>
      </w:r>
    </w:p>
    <w:p w:rsidR="008A43AA" w:rsidRPr="0014239B" w:rsidRDefault="008A43AA" w:rsidP="008A43AA">
      <w:pPr>
        <w:pStyle w:val="SingleTxtG"/>
        <w:rPr>
          <w:bCs/>
        </w:rPr>
      </w:pPr>
      <w:r w:rsidRPr="0014239B">
        <w:rPr>
          <w:bCs/>
          <w:lang w:val="fr-FR"/>
        </w:rPr>
        <w:t>15.</w:t>
      </w:r>
      <w:r w:rsidRPr="0014239B">
        <w:rPr>
          <w:bCs/>
          <w:lang w:val="fr-FR"/>
        </w:rPr>
        <w:tab/>
        <w:t>À ce jour, les Règlements concernant les dispositifs ne spécifient pas que le certificat et l</w:t>
      </w:r>
      <w:r w:rsidR="00C52275" w:rsidRPr="0014239B">
        <w:rPr>
          <w:bCs/>
          <w:lang w:val="fr-FR"/>
        </w:rPr>
        <w:t>’</w:t>
      </w:r>
      <w:r w:rsidRPr="0014239B">
        <w:rPr>
          <w:bCs/>
          <w:lang w:val="fr-FR"/>
        </w:rPr>
        <w:t>homologation du dispositif ne sont valables que lorsque des sources lumineuses remplaçables homologuées ont été utilisées pour l</w:t>
      </w:r>
      <w:r w:rsidR="00C52275" w:rsidRPr="0014239B">
        <w:rPr>
          <w:bCs/>
          <w:lang w:val="fr-FR"/>
        </w:rPr>
        <w:t>’</w:t>
      </w:r>
      <w:r w:rsidRPr="0014239B">
        <w:rPr>
          <w:bCs/>
          <w:lang w:val="fr-FR"/>
        </w:rPr>
        <w:t>homologation du dispositif. Ils ne s</w:t>
      </w:r>
      <w:r w:rsidR="00C52275" w:rsidRPr="0014239B">
        <w:rPr>
          <w:bCs/>
          <w:lang w:val="fr-FR"/>
        </w:rPr>
        <w:t>’</w:t>
      </w:r>
      <w:r w:rsidRPr="0014239B">
        <w:rPr>
          <w:bCs/>
          <w:lang w:val="fr-FR"/>
        </w:rPr>
        <w:t>intéressent qu</w:t>
      </w:r>
      <w:r w:rsidR="00C52275" w:rsidRPr="0014239B">
        <w:rPr>
          <w:bCs/>
          <w:lang w:val="fr-FR"/>
        </w:rPr>
        <w:t>’</w:t>
      </w:r>
      <w:r w:rsidRPr="0014239B">
        <w:rPr>
          <w:bCs/>
          <w:lang w:val="fr-FR"/>
        </w:rPr>
        <w:t>à l</w:t>
      </w:r>
      <w:r w:rsidR="00C52275" w:rsidRPr="0014239B">
        <w:rPr>
          <w:bCs/>
          <w:lang w:val="fr-FR"/>
        </w:rPr>
        <w:t>’</w:t>
      </w:r>
      <w:r w:rsidRPr="0014239B">
        <w:rPr>
          <w:bCs/>
          <w:lang w:val="fr-FR"/>
        </w:rPr>
        <w:t>homologation du dispositif et non à l</w:t>
      </w:r>
      <w:r w:rsidR="00C52275" w:rsidRPr="0014239B">
        <w:rPr>
          <w:bCs/>
          <w:lang w:val="fr-FR"/>
        </w:rPr>
        <w:t>’</w:t>
      </w:r>
      <w:r w:rsidRPr="0014239B">
        <w:rPr>
          <w:bCs/>
          <w:lang w:val="fr-FR"/>
        </w:rPr>
        <w:t>utilisation qui en est faite par la suite. La présente proposition vise à changer cela, comme le suggère le groupe de travail informel de l</w:t>
      </w:r>
      <w:r w:rsidR="00C52275" w:rsidRPr="0014239B">
        <w:rPr>
          <w:bCs/>
          <w:lang w:val="fr-FR"/>
        </w:rPr>
        <w:t>’</w:t>
      </w:r>
      <w:r w:rsidRPr="0014239B">
        <w:rPr>
          <w:bCs/>
          <w:lang w:val="fr-FR"/>
        </w:rPr>
        <w:t>IWVTA.</w:t>
      </w:r>
    </w:p>
    <w:p w:rsidR="008A43AA" w:rsidRPr="0014239B" w:rsidRDefault="008A43AA" w:rsidP="0035019A">
      <w:pPr>
        <w:pStyle w:val="SingleTxtG"/>
        <w:keepNext/>
        <w:keepLines/>
        <w:rPr>
          <w:bCs/>
        </w:rPr>
      </w:pPr>
      <w:r w:rsidRPr="0014239B">
        <w:rPr>
          <w:bCs/>
          <w:lang w:val="fr-FR"/>
        </w:rPr>
        <w:lastRenderedPageBreak/>
        <w:t>16.</w:t>
      </w:r>
      <w:r w:rsidRPr="0014239B">
        <w:rPr>
          <w:bCs/>
          <w:lang w:val="fr-FR"/>
        </w:rPr>
        <w:tab/>
        <w:t>De la même façon, le Règlement concernant l</w:t>
      </w:r>
      <w:r w:rsidR="00C52275" w:rsidRPr="0014239B">
        <w:rPr>
          <w:bCs/>
          <w:lang w:val="fr-FR"/>
        </w:rPr>
        <w:t>’</w:t>
      </w:r>
      <w:r w:rsidRPr="0014239B">
        <w:rPr>
          <w:bCs/>
          <w:lang w:val="fr-FR"/>
        </w:rPr>
        <w:t>installation n</w:t>
      </w:r>
      <w:r w:rsidR="00C52275" w:rsidRPr="0014239B">
        <w:rPr>
          <w:bCs/>
          <w:lang w:val="fr-FR"/>
        </w:rPr>
        <w:t>’</w:t>
      </w:r>
      <w:r w:rsidRPr="0014239B">
        <w:rPr>
          <w:bCs/>
          <w:lang w:val="fr-FR"/>
        </w:rPr>
        <w:t>exige pas, à ce jour, que les dispositifs montés sur le véhicule soient équipés de sources lumineuses homologuées. Ils sont censés l</w:t>
      </w:r>
      <w:r w:rsidR="00C52275" w:rsidRPr="0014239B">
        <w:rPr>
          <w:bCs/>
          <w:lang w:val="fr-FR"/>
        </w:rPr>
        <w:t>’</w:t>
      </w:r>
      <w:r w:rsidRPr="0014239B">
        <w:rPr>
          <w:bCs/>
          <w:lang w:val="fr-FR"/>
        </w:rPr>
        <w:t>être, mais ce n</w:t>
      </w:r>
      <w:r w:rsidR="00C52275" w:rsidRPr="0014239B">
        <w:rPr>
          <w:bCs/>
          <w:lang w:val="fr-FR"/>
        </w:rPr>
        <w:t>’</w:t>
      </w:r>
      <w:r w:rsidRPr="0014239B">
        <w:rPr>
          <w:bCs/>
          <w:lang w:val="fr-FR"/>
        </w:rPr>
        <w:t>est pas expressément spécifié. Cette proposition va changer cela, conformément à la suggestion du groupe de travail informel de l</w:t>
      </w:r>
      <w:r w:rsidR="00C52275" w:rsidRPr="0014239B">
        <w:rPr>
          <w:bCs/>
          <w:lang w:val="fr-FR"/>
        </w:rPr>
        <w:t>’</w:t>
      </w:r>
      <w:r w:rsidRPr="0014239B">
        <w:rPr>
          <w:bCs/>
          <w:lang w:val="fr-FR"/>
        </w:rPr>
        <w:t>IWVTA.</w:t>
      </w:r>
    </w:p>
    <w:p w:rsidR="008A43AA" w:rsidRPr="0014239B" w:rsidRDefault="008A43AA" w:rsidP="008A43AA">
      <w:pPr>
        <w:pStyle w:val="SingleTxtG"/>
        <w:rPr>
          <w:bCs/>
        </w:rPr>
      </w:pPr>
      <w:r w:rsidRPr="0014239B">
        <w:rPr>
          <w:bCs/>
          <w:lang w:val="fr-FR"/>
        </w:rPr>
        <w:t>17.</w:t>
      </w:r>
      <w:r w:rsidRPr="0014239B">
        <w:rPr>
          <w:bCs/>
          <w:lang w:val="fr-FR"/>
        </w:rPr>
        <w:tab/>
        <w:t>Pour l</w:t>
      </w:r>
      <w:r w:rsidR="00C52275" w:rsidRPr="0014239B">
        <w:rPr>
          <w:bCs/>
          <w:lang w:val="fr-FR"/>
        </w:rPr>
        <w:t>’</w:t>
      </w:r>
      <w:r w:rsidRPr="0014239B">
        <w:rPr>
          <w:bCs/>
          <w:lang w:val="fr-FR"/>
        </w:rPr>
        <w:t>homologation relative à l</w:t>
      </w:r>
      <w:r w:rsidR="00C52275" w:rsidRPr="0014239B">
        <w:rPr>
          <w:bCs/>
          <w:lang w:val="fr-FR"/>
        </w:rPr>
        <w:t>’</w:t>
      </w:r>
      <w:r w:rsidRPr="0014239B">
        <w:rPr>
          <w:bCs/>
          <w:lang w:val="fr-FR"/>
        </w:rPr>
        <w:t>installation sur le véhicule, on demande les certificats pour les dispositifs, mais dans le cas des sources lumineuses remplaçables homologuées, ce n</w:t>
      </w:r>
      <w:r w:rsidR="00C52275" w:rsidRPr="0014239B">
        <w:rPr>
          <w:bCs/>
          <w:lang w:val="fr-FR"/>
        </w:rPr>
        <w:t>’</w:t>
      </w:r>
      <w:r w:rsidRPr="0014239B">
        <w:rPr>
          <w:bCs/>
          <w:lang w:val="fr-FR"/>
        </w:rPr>
        <w:t>est pas forcément nécessaire puisqu</w:t>
      </w:r>
      <w:r w:rsidR="00C52275" w:rsidRPr="0014239B">
        <w:rPr>
          <w:bCs/>
          <w:lang w:val="fr-FR"/>
        </w:rPr>
        <w:t>’</w:t>
      </w:r>
      <w:r w:rsidRPr="0014239B">
        <w:rPr>
          <w:bCs/>
          <w:lang w:val="fr-FR"/>
        </w:rPr>
        <w:t>il s</w:t>
      </w:r>
      <w:r w:rsidR="00C52275" w:rsidRPr="0014239B">
        <w:rPr>
          <w:bCs/>
          <w:lang w:val="fr-FR"/>
        </w:rPr>
        <w:t>’</w:t>
      </w:r>
      <w:r w:rsidRPr="0014239B">
        <w:rPr>
          <w:bCs/>
          <w:lang w:val="fr-FR"/>
        </w:rPr>
        <w:t>agit de pièces de rechange. Les certificats peuvent émaner de plusieurs fabricants produisant ce type de so</w:t>
      </w:r>
      <w:r w:rsidR="0014239B">
        <w:rPr>
          <w:bCs/>
          <w:lang w:val="fr-FR"/>
        </w:rPr>
        <w:t>urce lumineuse à ce moment-là.</w:t>
      </w:r>
    </w:p>
    <w:p w:rsidR="008A43AA" w:rsidRPr="0014239B" w:rsidRDefault="008A43AA" w:rsidP="008A43AA">
      <w:pPr>
        <w:pStyle w:val="SingleTxtG"/>
        <w:rPr>
          <w:bCs/>
          <w:i/>
        </w:rPr>
      </w:pPr>
      <w:r w:rsidRPr="0014239B">
        <w:rPr>
          <w:bCs/>
          <w:i/>
          <w:lang w:val="fr-FR"/>
        </w:rPr>
        <w:t xml:space="preserve">Notes </w:t>
      </w:r>
    </w:p>
    <w:p w:rsidR="008A43AA" w:rsidRPr="0014239B" w:rsidRDefault="008A43AA" w:rsidP="008A43AA">
      <w:pPr>
        <w:pStyle w:val="SingleTxtG"/>
        <w:rPr>
          <w:bCs/>
        </w:rPr>
      </w:pPr>
      <w:r w:rsidRPr="0014239B">
        <w:rPr>
          <w:bCs/>
          <w:lang w:val="fr-FR"/>
        </w:rPr>
        <w:t>18.</w:t>
      </w:r>
      <w:r w:rsidRPr="0014239B">
        <w:rPr>
          <w:bCs/>
          <w:lang w:val="fr-FR"/>
        </w:rPr>
        <w:tab/>
        <w:t xml:space="preserve">La proposition prend également en compte le Règlement </w:t>
      </w:r>
      <w:r w:rsidR="0014239B" w:rsidRPr="0014239B">
        <w:rPr>
          <w:rFonts w:eastAsia="MS Mincho"/>
          <w:bCs/>
          <w:szCs w:val="22"/>
          <w:lang w:val="fr-FR"/>
        </w:rPr>
        <w:t>n</w:t>
      </w:r>
      <w:r w:rsidR="0014239B" w:rsidRPr="0014239B">
        <w:rPr>
          <w:rFonts w:eastAsia="MS Mincho"/>
          <w:bCs/>
          <w:szCs w:val="22"/>
          <w:vertAlign w:val="superscript"/>
          <w:lang w:val="fr-FR"/>
        </w:rPr>
        <w:t>o</w:t>
      </w:r>
      <w:r w:rsidR="0014239B">
        <w:rPr>
          <w:bCs/>
          <w:lang w:val="fr-FR"/>
        </w:rPr>
        <w:t> </w:t>
      </w:r>
      <w:r w:rsidRPr="0014239B">
        <w:rPr>
          <w:bCs/>
          <w:lang w:val="fr-FR"/>
        </w:rPr>
        <w:t>50 (Feux de position, feux-stop, feux indicateurs de direction pour cyclomoteurs et motocycles) afin d</w:t>
      </w:r>
      <w:r w:rsidR="00C52275" w:rsidRPr="0014239B">
        <w:rPr>
          <w:bCs/>
          <w:lang w:val="fr-FR"/>
        </w:rPr>
        <w:t>’</w:t>
      </w:r>
      <w:r w:rsidRPr="0014239B">
        <w:rPr>
          <w:bCs/>
          <w:lang w:val="fr-FR"/>
        </w:rPr>
        <w:t>éviter</w:t>
      </w:r>
      <w:r w:rsidR="0014239B">
        <w:rPr>
          <w:bCs/>
          <w:lang w:val="fr-FR"/>
        </w:rPr>
        <w:t xml:space="preserve"> </w:t>
      </w:r>
      <w:r w:rsidRPr="0014239B">
        <w:rPr>
          <w:bCs/>
          <w:lang w:val="fr-FR"/>
        </w:rPr>
        <w:t>toute discordance entre les différents Règlements concernant les dispositifs.</w:t>
      </w:r>
    </w:p>
    <w:p w:rsidR="008A43AA" w:rsidRPr="0014239B" w:rsidRDefault="008A43AA" w:rsidP="008A43AA">
      <w:pPr>
        <w:pStyle w:val="SingleTxtG"/>
        <w:rPr>
          <w:bCs/>
        </w:rPr>
      </w:pPr>
      <w:r w:rsidRPr="0014239B">
        <w:rPr>
          <w:bCs/>
          <w:lang w:val="fr-FR"/>
        </w:rPr>
        <w:t>19.</w:t>
      </w:r>
      <w:r w:rsidRPr="0014239B">
        <w:rPr>
          <w:bCs/>
          <w:lang w:val="fr-FR"/>
        </w:rPr>
        <w:tab/>
        <w:t xml:space="preserve">Le Règlement </w:t>
      </w:r>
      <w:r w:rsidR="0014239B" w:rsidRPr="0014239B">
        <w:rPr>
          <w:rFonts w:eastAsia="MS Mincho"/>
          <w:bCs/>
          <w:szCs w:val="22"/>
          <w:lang w:val="fr-FR"/>
        </w:rPr>
        <w:t>n</w:t>
      </w:r>
      <w:r w:rsidR="0014239B" w:rsidRPr="0014239B">
        <w:rPr>
          <w:rFonts w:eastAsia="MS Mincho"/>
          <w:bCs/>
          <w:szCs w:val="22"/>
          <w:vertAlign w:val="superscript"/>
          <w:lang w:val="fr-FR"/>
        </w:rPr>
        <w:t>o</w:t>
      </w:r>
      <w:r w:rsidR="0014239B">
        <w:rPr>
          <w:bCs/>
          <w:lang w:val="fr-FR"/>
        </w:rPr>
        <w:t> </w:t>
      </w:r>
      <w:r w:rsidRPr="0014239B">
        <w:rPr>
          <w:bCs/>
          <w:lang w:val="fr-FR"/>
        </w:rPr>
        <w:t>65 (Feux spéciaux d</w:t>
      </w:r>
      <w:r w:rsidR="00C52275" w:rsidRPr="0014239B">
        <w:rPr>
          <w:bCs/>
          <w:lang w:val="fr-FR"/>
        </w:rPr>
        <w:t>’</w:t>
      </w:r>
      <w:r w:rsidRPr="0014239B">
        <w:rPr>
          <w:bCs/>
          <w:lang w:val="fr-FR"/>
        </w:rPr>
        <w:t>avertissement) n</w:t>
      </w:r>
      <w:r w:rsidR="00C52275" w:rsidRPr="0014239B">
        <w:rPr>
          <w:bCs/>
          <w:lang w:val="fr-FR"/>
        </w:rPr>
        <w:t>’</w:t>
      </w:r>
      <w:r w:rsidRPr="0014239B">
        <w:rPr>
          <w:bCs/>
          <w:lang w:val="fr-FR"/>
        </w:rPr>
        <w:t>y est pas mentionné en raison de sa nature parti</w:t>
      </w:r>
      <w:r w:rsidR="0014239B">
        <w:rPr>
          <w:bCs/>
          <w:lang w:val="fr-FR"/>
        </w:rPr>
        <w:t>culière.</w:t>
      </w:r>
    </w:p>
    <w:p w:rsidR="00F9573C" w:rsidRPr="0014239B" w:rsidRDefault="008A43AA" w:rsidP="008A43AA">
      <w:pPr>
        <w:pStyle w:val="SingleTxtG"/>
        <w:rPr>
          <w:bCs/>
          <w:lang w:val="fr-FR"/>
        </w:rPr>
      </w:pPr>
      <w:r w:rsidRPr="0014239B">
        <w:rPr>
          <w:bCs/>
          <w:lang w:val="fr-FR"/>
        </w:rPr>
        <w:t>20.</w:t>
      </w:r>
      <w:r w:rsidRPr="0014239B">
        <w:rPr>
          <w:bCs/>
          <w:lang w:val="fr-FR"/>
        </w:rPr>
        <w:tab/>
        <w:t>Les autres Règlements concernant l</w:t>
      </w:r>
      <w:r w:rsidR="00C52275" w:rsidRPr="0014239B">
        <w:rPr>
          <w:bCs/>
          <w:lang w:val="fr-FR"/>
        </w:rPr>
        <w:t>’</w:t>
      </w:r>
      <w:r w:rsidRPr="0014239B">
        <w:rPr>
          <w:bCs/>
          <w:lang w:val="fr-FR"/>
        </w:rPr>
        <w:t>installation de dispositifs d</w:t>
      </w:r>
      <w:r w:rsidR="00C52275" w:rsidRPr="0014239B">
        <w:rPr>
          <w:bCs/>
          <w:lang w:val="fr-FR"/>
        </w:rPr>
        <w:t>’</w:t>
      </w:r>
      <w:r w:rsidRPr="0014239B">
        <w:rPr>
          <w:bCs/>
          <w:lang w:val="fr-FR"/>
        </w:rPr>
        <w:t>éclairage et de signalisation lumineuse, à savoir les n</w:t>
      </w:r>
      <w:r w:rsidRPr="0014239B">
        <w:rPr>
          <w:bCs/>
          <w:vertAlign w:val="superscript"/>
          <w:lang w:val="fr-FR"/>
        </w:rPr>
        <w:t>os</w:t>
      </w:r>
      <w:r w:rsidR="0014239B">
        <w:rPr>
          <w:bCs/>
          <w:lang w:val="fr-FR"/>
        </w:rPr>
        <w:t> </w:t>
      </w:r>
      <w:r w:rsidRPr="0014239B">
        <w:rPr>
          <w:bCs/>
          <w:lang w:val="fr-FR"/>
        </w:rPr>
        <w:t>53, 74 et 84, sont également exclus de cette proposition. Ils pourraient faire l</w:t>
      </w:r>
      <w:r w:rsidR="00C52275" w:rsidRPr="0014239B">
        <w:rPr>
          <w:bCs/>
          <w:lang w:val="fr-FR"/>
        </w:rPr>
        <w:t>’</w:t>
      </w:r>
      <w:r w:rsidRPr="0014239B">
        <w:rPr>
          <w:bCs/>
          <w:lang w:val="fr-FR"/>
        </w:rPr>
        <w:t>objet d</w:t>
      </w:r>
      <w:r w:rsidR="00C52275" w:rsidRPr="0014239B">
        <w:rPr>
          <w:bCs/>
          <w:lang w:val="fr-FR"/>
        </w:rPr>
        <w:t>’</w:t>
      </w:r>
      <w:r w:rsidRPr="0014239B">
        <w:rPr>
          <w:bCs/>
          <w:lang w:val="fr-FR"/>
        </w:rPr>
        <w:t>un examen ultérieur.</w:t>
      </w:r>
    </w:p>
    <w:p w:rsidR="008A43AA" w:rsidRPr="008A43AA" w:rsidRDefault="008A43AA" w:rsidP="008A43AA">
      <w:pPr>
        <w:pStyle w:val="SingleTxtG"/>
        <w:spacing w:before="240" w:after="0"/>
        <w:jc w:val="center"/>
        <w:rPr>
          <w:u w:val="single"/>
        </w:rPr>
      </w:pPr>
      <w:r>
        <w:rPr>
          <w:u w:val="single"/>
        </w:rPr>
        <w:tab/>
      </w:r>
      <w:r>
        <w:rPr>
          <w:u w:val="single"/>
        </w:rPr>
        <w:tab/>
      </w:r>
      <w:r>
        <w:rPr>
          <w:u w:val="single"/>
        </w:rPr>
        <w:tab/>
      </w:r>
    </w:p>
    <w:sectPr w:rsidR="008A43AA" w:rsidRPr="008A43AA" w:rsidSect="008A43A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51" w:rsidRDefault="00EF4F51" w:rsidP="00F95C08">
      <w:pPr>
        <w:spacing w:line="240" w:lineRule="auto"/>
      </w:pPr>
    </w:p>
  </w:endnote>
  <w:endnote w:type="continuationSeparator" w:id="0">
    <w:p w:rsidR="00EF4F51" w:rsidRPr="00AC3823" w:rsidRDefault="00EF4F51" w:rsidP="00AC3823">
      <w:pPr>
        <w:pStyle w:val="Pieddepage"/>
      </w:pPr>
    </w:p>
  </w:endnote>
  <w:endnote w:type="continuationNotice" w:id="1">
    <w:p w:rsidR="00EF4F51" w:rsidRDefault="00EF4F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51" w:rsidRPr="008A43AA" w:rsidRDefault="00EF4F51" w:rsidP="008A43AA">
    <w:pPr>
      <w:pStyle w:val="Pieddepage"/>
      <w:tabs>
        <w:tab w:val="right" w:pos="9638"/>
      </w:tabs>
    </w:pPr>
    <w:r w:rsidRPr="008A43AA">
      <w:rPr>
        <w:b/>
        <w:sz w:val="18"/>
      </w:rPr>
      <w:fldChar w:fldCharType="begin"/>
    </w:r>
    <w:r w:rsidRPr="008A43AA">
      <w:rPr>
        <w:b/>
        <w:sz w:val="18"/>
      </w:rPr>
      <w:instrText xml:space="preserve"> PAGE  \* MERGEFORMAT </w:instrText>
    </w:r>
    <w:r w:rsidRPr="008A43AA">
      <w:rPr>
        <w:b/>
        <w:sz w:val="18"/>
      </w:rPr>
      <w:fldChar w:fldCharType="separate"/>
    </w:r>
    <w:r w:rsidR="00BB383A">
      <w:rPr>
        <w:b/>
        <w:noProof/>
        <w:sz w:val="18"/>
      </w:rPr>
      <w:t>2</w:t>
    </w:r>
    <w:r w:rsidRPr="008A43AA">
      <w:rPr>
        <w:b/>
        <w:sz w:val="18"/>
      </w:rPr>
      <w:fldChar w:fldCharType="end"/>
    </w:r>
    <w:r>
      <w:rPr>
        <w:b/>
        <w:sz w:val="18"/>
      </w:rPr>
      <w:tab/>
    </w:r>
    <w:r>
      <w:t>GE.17-02057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51" w:rsidRPr="008A43AA" w:rsidRDefault="00EF4F51" w:rsidP="008A43AA">
    <w:pPr>
      <w:pStyle w:val="Pieddepage"/>
      <w:tabs>
        <w:tab w:val="right" w:pos="9638"/>
      </w:tabs>
      <w:rPr>
        <w:b/>
        <w:sz w:val="18"/>
      </w:rPr>
    </w:pPr>
    <w:r>
      <w:t>GE.17-02057</w:t>
    </w:r>
    <w:r>
      <w:tab/>
    </w:r>
    <w:r w:rsidRPr="008A43AA">
      <w:rPr>
        <w:b/>
        <w:sz w:val="18"/>
      </w:rPr>
      <w:fldChar w:fldCharType="begin"/>
    </w:r>
    <w:r w:rsidRPr="008A43AA">
      <w:rPr>
        <w:b/>
        <w:sz w:val="18"/>
      </w:rPr>
      <w:instrText xml:space="preserve"> PAGE  \* MERGEFORMAT </w:instrText>
    </w:r>
    <w:r w:rsidRPr="008A43AA">
      <w:rPr>
        <w:b/>
        <w:sz w:val="18"/>
      </w:rPr>
      <w:fldChar w:fldCharType="separate"/>
    </w:r>
    <w:r w:rsidR="00BB383A">
      <w:rPr>
        <w:b/>
        <w:noProof/>
        <w:sz w:val="18"/>
      </w:rPr>
      <w:t>3</w:t>
    </w:r>
    <w:r w:rsidRPr="008A43A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51" w:rsidRPr="008A43AA" w:rsidRDefault="00EF4F51" w:rsidP="008A43A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0CF2AB6" wp14:editId="46A64BE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17-02057  (F)    280217    020317</w:t>
    </w:r>
    <w:r>
      <w:rPr>
        <w:sz w:val="20"/>
      </w:rPr>
      <w:br/>
    </w:r>
    <w:r w:rsidRPr="008A43AA">
      <w:rPr>
        <w:rFonts w:ascii="C39T30Lfz" w:hAnsi="C39T30Lfz"/>
        <w:sz w:val="56"/>
      </w:rPr>
      <w:t></w:t>
    </w:r>
    <w:r w:rsidRPr="008A43AA">
      <w:rPr>
        <w:rFonts w:ascii="C39T30Lfz" w:hAnsi="C39T30Lfz"/>
        <w:sz w:val="56"/>
      </w:rPr>
      <w:t></w:t>
    </w:r>
    <w:r w:rsidRPr="008A43AA">
      <w:rPr>
        <w:rFonts w:ascii="C39T30Lfz" w:hAnsi="C39T30Lfz"/>
        <w:sz w:val="56"/>
      </w:rPr>
      <w:t></w:t>
    </w:r>
    <w:r w:rsidRPr="008A43AA">
      <w:rPr>
        <w:rFonts w:ascii="C39T30Lfz" w:hAnsi="C39T30Lfz"/>
        <w:sz w:val="56"/>
      </w:rPr>
      <w:t></w:t>
    </w:r>
    <w:r w:rsidRPr="008A43AA">
      <w:rPr>
        <w:rFonts w:ascii="C39T30Lfz" w:hAnsi="C39T30Lfz"/>
        <w:sz w:val="56"/>
      </w:rPr>
      <w:t></w:t>
    </w:r>
    <w:r w:rsidRPr="008A43AA">
      <w:rPr>
        <w:rFonts w:ascii="C39T30Lfz" w:hAnsi="C39T30Lfz"/>
        <w:sz w:val="56"/>
      </w:rPr>
      <w:t></w:t>
    </w:r>
    <w:r w:rsidRPr="008A43AA">
      <w:rPr>
        <w:rFonts w:ascii="C39T30Lfz" w:hAnsi="C39T30Lfz"/>
        <w:sz w:val="56"/>
      </w:rPr>
      <w:t></w:t>
    </w:r>
    <w:r w:rsidRPr="008A43AA">
      <w:rPr>
        <w:rFonts w:ascii="C39T30Lfz" w:hAnsi="C39T30Lfz"/>
        <w:sz w:val="56"/>
      </w:rPr>
      <w:t></w:t>
    </w:r>
    <w:r w:rsidRPr="008A43AA">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GRE/2017/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7/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51" w:rsidRPr="00AC3823" w:rsidRDefault="00EF4F51" w:rsidP="00AC3823">
      <w:pPr>
        <w:pStyle w:val="Pieddepage"/>
        <w:tabs>
          <w:tab w:val="right" w:pos="2155"/>
        </w:tabs>
        <w:spacing w:after="80" w:line="240" w:lineRule="atLeast"/>
        <w:ind w:left="680"/>
        <w:rPr>
          <w:u w:val="single"/>
        </w:rPr>
      </w:pPr>
      <w:r>
        <w:rPr>
          <w:u w:val="single"/>
        </w:rPr>
        <w:tab/>
      </w:r>
    </w:p>
  </w:footnote>
  <w:footnote w:type="continuationSeparator" w:id="0">
    <w:p w:rsidR="00EF4F51" w:rsidRPr="00AC3823" w:rsidRDefault="00EF4F51" w:rsidP="00AC3823">
      <w:pPr>
        <w:pStyle w:val="Pieddepage"/>
        <w:tabs>
          <w:tab w:val="right" w:pos="2155"/>
        </w:tabs>
        <w:spacing w:after="80" w:line="240" w:lineRule="atLeast"/>
        <w:ind w:left="680"/>
        <w:rPr>
          <w:u w:val="single"/>
        </w:rPr>
      </w:pPr>
      <w:r>
        <w:rPr>
          <w:u w:val="single"/>
        </w:rPr>
        <w:tab/>
      </w:r>
    </w:p>
  </w:footnote>
  <w:footnote w:type="continuationNotice" w:id="1">
    <w:p w:rsidR="00EF4F51" w:rsidRPr="00AC3823" w:rsidRDefault="00EF4F51">
      <w:pPr>
        <w:spacing w:line="240" w:lineRule="auto"/>
        <w:rPr>
          <w:sz w:val="2"/>
          <w:szCs w:val="2"/>
        </w:rPr>
      </w:pPr>
    </w:p>
  </w:footnote>
  <w:footnote w:id="2">
    <w:p w:rsidR="00EF4F51" w:rsidRPr="00C52275" w:rsidRDefault="00EF4F51">
      <w:pPr>
        <w:pStyle w:val="Notedebasdepage"/>
      </w:pPr>
      <w:r>
        <w:rPr>
          <w:rStyle w:val="Appelnotedebasdep"/>
        </w:rPr>
        <w:tab/>
      </w:r>
      <w:r w:rsidRPr="00C52275">
        <w:rPr>
          <w:rStyle w:val="Appelnotedebasdep"/>
          <w:sz w:val="20"/>
          <w:vertAlign w:val="baseline"/>
        </w:rPr>
        <w:t>*</w:t>
      </w:r>
      <w:r>
        <w:rPr>
          <w:rStyle w:val="Appelnotedebasdep"/>
          <w:sz w:val="20"/>
          <w:vertAlign w:val="baseline"/>
        </w:rPr>
        <w:tab/>
      </w:r>
      <w:r w:rsidRPr="00C52275">
        <w:rPr>
          <w:spacing w:val="-2"/>
        </w:rPr>
        <w:t>Conformément au programme de travail du Comité des</w:t>
      </w:r>
      <w:r w:rsidRPr="00C52275">
        <w:t xml:space="preserve"> transports intérieurs pour la période 2016-2017 (ECE/TRANS/254, par. 159, et ECE/TRANS/2016/28/Add.1, module 3.1), le Forum mondial a</w:t>
      </w:r>
      <w:r>
        <w:t> </w:t>
      </w:r>
      <w:r w:rsidRPr="00C52275">
        <w:t>pour mission d’élaborer, d’harmoniser et de mettre à jour les Règlements en vue d’améliorer les caractéristiques fonctionnelles des véhicules. Le présent document est soumis en vertu de ce mandat.</w:t>
      </w:r>
    </w:p>
  </w:footnote>
  <w:footnote w:id="3">
    <w:p w:rsidR="00EF4F51" w:rsidRPr="00C52275" w:rsidRDefault="00EF4F51">
      <w:pPr>
        <w:pStyle w:val="Notedebasdepage"/>
      </w:pPr>
      <w:r>
        <w:rPr>
          <w:rStyle w:val="Appelnotedebasdep"/>
        </w:rPr>
        <w:tab/>
      </w:r>
      <w:r w:rsidRPr="00C52275">
        <w:rPr>
          <w:rStyle w:val="Appelnotedebasdep"/>
          <w:sz w:val="20"/>
          <w:vertAlign w:val="baseline"/>
        </w:rPr>
        <w:t>**</w:t>
      </w:r>
      <w:r>
        <w:rPr>
          <w:rStyle w:val="Appelnotedebasdep"/>
          <w:sz w:val="20"/>
          <w:vertAlign w:val="baseline"/>
        </w:rPr>
        <w:tab/>
      </w:r>
      <w:r w:rsidRPr="00C52275">
        <w:t xml:space="preserve">Le présent document a été soumis après la date limite officielle en raison de sa réception tardive.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51" w:rsidRPr="008A43AA" w:rsidRDefault="00BB383A">
    <w:pPr>
      <w:pStyle w:val="En-tte"/>
    </w:pPr>
    <w:r>
      <w:fldChar w:fldCharType="begin"/>
    </w:r>
    <w:r>
      <w:instrText xml:space="preserve"> TITLE  \* MERGEFORMAT </w:instrText>
    </w:r>
    <w:r>
      <w:fldChar w:fldCharType="separate"/>
    </w:r>
    <w:r>
      <w:t>ECE/TRANS/WP.29/GRE/2017/7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51" w:rsidRPr="008A43AA" w:rsidRDefault="00BB383A" w:rsidP="008A43AA">
    <w:pPr>
      <w:pStyle w:val="En-tte"/>
      <w:jc w:val="right"/>
    </w:pPr>
    <w:r>
      <w:fldChar w:fldCharType="begin"/>
    </w:r>
    <w:r>
      <w:instrText xml:space="preserve"> TITLE  \* MERGEFORMAT </w:instrText>
    </w:r>
    <w:r>
      <w:fldChar w:fldCharType="separate"/>
    </w:r>
    <w:r>
      <w:t>ECE/TRANS/WP.29/GRE/2017/7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5E680F2A"/>
    <w:multiLevelType w:val="hybridMultilevel"/>
    <w:tmpl w:val="FCACE7F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lvlOverride w:ilvl="0">
      <w:lvl w:ilvl="0" w:tplc="04090001">
        <w:start w:val="1"/>
        <w:numFmt w:val="bullet"/>
        <w:lvlText w:val=""/>
        <w:lvlJc w:val="left"/>
        <w:pPr>
          <w:ind w:left="1854"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4B"/>
    <w:rsid w:val="00017F94"/>
    <w:rsid w:val="00023842"/>
    <w:rsid w:val="000334F9"/>
    <w:rsid w:val="00045DB1"/>
    <w:rsid w:val="00045FEB"/>
    <w:rsid w:val="0007796D"/>
    <w:rsid w:val="000B7790"/>
    <w:rsid w:val="00111F2F"/>
    <w:rsid w:val="0014239B"/>
    <w:rsid w:val="0014365E"/>
    <w:rsid w:val="00143C66"/>
    <w:rsid w:val="00176178"/>
    <w:rsid w:val="001F525A"/>
    <w:rsid w:val="00223272"/>
    <w:rsid w:val="0024779E"/>
    <w:rsid w:val="002544CD"/>
    <w:rsid w:val="00257168"/>
    <w:rsid w:val="002744B8"/>
    <w:rsid w:val="002832AC"/>
    <w:rsid w:val="002D7C93"/>
    <w:rsid w:val="00305801"/>
    <w:rsid w:val="0035019A"/>
    <w:rsid w:val="003916DE"/>
    <w:rsid w:val="00441C3B"/>
    <w:rsid w:val="00446FE5"/>
    <w:rsid w:val="00452396"/>
    <w:rsid w:val="004837D8"/>
    <w:rsid w:val="004E468C"/>
    <w:rsid w:val="005505B7"/>
    <w:rsid w:val="00573BE5"/>
    <w:rsid w:val="00586ED3"/>
    <w:rsid w:val="00596AA9"/>
    <w:rsid w:val="006E3F4B"/>
    <w:rsid w:val="0071601D"/>
    <w:rsid w:val="007A62E6"/>
    <w:rsid w:val="007F20FA"/>
    <w:rsid w:val="0080684C"/>
    <w:rsid w:val="00862688"/>
    <w:rsid w:val="00871C75"/>
    <w:rsid w:val="008776DC"/>
    <w:rsid w:val="008A43AA"/>
    <w:rsid w:val="009446C0"/>
    <w:rsid w:val="009705C8"/>
    <w:rsid w:val="009C1CF4"/>
    <w:rsid w:val="009F6B74"/>
    <w:rsid w:val="00A05D9E"/>
    <w:rsid w:val="00A30353"/>
    <w:rsid w:val="00AC3823"/>
    <w:rsid w:val="00AE323C"/>
    <w:rsid w:val="00AF0CB5"/>
    <w:rsid w:val="00B00181"/>
    <w:rsid w:val="00B00B0D"/>
    <w:rsid w:val="00B302D0"/>
    <w:rsid w:val="00B765F7"/>
    <w:rsid w:val="00BA0CA9"/>
    <w:rsid w:val="00BB383A"/>
    <w:rsid w:val="00C02897"/>
    <w:rsid w:val="00C52275"/>
    <w:rsid w:val="00D3439C"/>
    <w:rsid w:val="00DB1831"/>
    <w:rsid w:val="00DD3BFD"/>
    <w:rsid w:val="00DF6678"/>
    <w:rsid w:val="00E85C74"/>
    <w:rsid w:val="00EA6547"/>
    <w:rsid w:val="00EF2E22"/>
    <w:rsid w:val="00EF4F51"/>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8</Pages>
  <Words>2465</Words>
  <Characters>17260</Characters>
  <Application>Microsoft Office Word</Application>
  <DocSecurity>0</DocSecurity>
  <Lines>1438</Lines>
  <Paragraphs>788</Paragraphs>
  <ScaleCrop>false</ScaleCrop>
  <HeadingPairs>
    <vt:vector size="2" baseType="variant">
      <vt:variant>
        <vt:lpstr>Titre</vt:lpstr>
      </vt:variant>
      <vt:variant>
        <vt:i4>1</vt:i4>
      </vt:variant>
    </vt:vector>
  </HeadingPairs>
  <TitlesOfParts>
    <vt:vector size="1" baseType="lpstr">
      <vt:lpstr>ECE/TRANS/WP.29/GRE/2017/7</vt:lpstr>
    </vt:vector>
  </TitlesOfParts>
  <Company>DCM</Company>
  <LinksUpToDate>false</LinksUpToDate>
  <CharactersWithSpaces>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ECE/TRANS/WP.29/GRE/2017/7</dc:title>
  <dc:creator>Fabienne Crelier</dc:creator>
  <cp:lastModifiedBy>Fabienne Crelier</cp:lastModifiedBy>
  <cp:revision>3</cp:revision>
  <cp:lastPrinted>2017-03-02T14:06:00Z</cp:lastPrinted>
  <dcterms:created xsi:type="dcterms:W3CDTF">2017-03-02T14:06:00Z</dcterms:created>
  <dcterms:modified xsi:type="dcterms:W3CDTF">2017-03-02T14:07:00Z</dcterms:modified>
</cp:coreProperties>
</file>