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D685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D685C" w:rsidP="006D685C">
            <w:pPr>
              <w:jc w:val="right"/>
            </w:pPr>
            <w:r w:rsidRPr="006D685C">
              <w:rPr>
                <w:sz w:val="40"/>
              </w:rPr>
              <w:t>ECE</w:t>
            </w:r>
            <w:r>
              <w:t>/TRANS/WP.29/GRB/2017/7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D685C" w:rsidP="00C97039">
            <w:pPr>
              <w:spacing w:before="240"/>
            </w:pPr>
            <w:proofErr w:type="spellStart"/>
            <w:r>
              <w:t>Distr</w:t>
            </w:r>
            <w:proofErr w:type="spellEnd"/>
            <w:r>
              <w:t>. générale</w:t>
            </w:r>
          </w:p>
          <w:p w:rsidR="006D685C" w:rsidRDefault="006D685C" w:rsidP="006D685C">
            <w:pPr>
              <w:spacing w:line="240" w:lineRule="exact"/>
            </w:pPr>
            <w:r>
              <w:t>16 juin 2017</w:t>
            </w:r>
          </w:p>
          <w:p w:rsidR="006D685C" w:rsidRDefault="006D685C" w:rsidP="006D685C">
            <w:pPr>
              <w:spacing w:line="240" w:lineRule="exact"/>
            </w:pPr>
            <w:r>
              <w:t>Français</w:t>
            </w:r>
          </w:p>
          <w:p w:rsidR="006D685C" w:rsidRPr="00DB58B5" w:rsidRDefault="006D685C" w:rsidP="006D685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D685C">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D685C" w:rsidRDefault="006D685C"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6D685C" w:rsidRDefault="006D685C" w:rsidP="00F9573C">
      <w:pPr>
        <w:spacing w:before="120" w:after="120" w:line="240" w:lineRule="exact"/>
        <w:rPr>
          <w:b/>
        </w:rPr>
      </w:pPr>
      <w:r>
        <w:rPr>
          <w:b/>
        </w:rPr>
        <w:t>Groupe de travail du bruit</w:t>
      </w:r>
    </w:p>
    <w:p w:rsidR="006D685C" w:rsidRPr="00846885" w:rsidRDefault="006D685C" w:rsidP="006D685C">
      <w:pPr>
        <w:spacing w:before="120"/>
        <w:rPr>
          <w:b/>
        </w:rPr>
      </w:pPr>
      <w:r w:rsidRPr="00846885">
        <w:rPr>
          <w:b/>
          <w:lang w:val="fr-FR"/>
        </w:rPr>
        <w:t>Soixante-sixième session</w:t>
      </w:r>
    </w:p>
    <w:p w:rsidR="006D685C" w:rsidRPr="00846885" w:rsidRDefault="006D685C" w:rsidP="006D685C">
      <w:r>
        <w:rPr>
          <w:lang w:val="fr-FR"/>
        </w:rPr>
        <w:t>Genève, 4-6 septembre 2017</w:t>
      </w:r>
    </w:p>
    <w:p w:rsidR="006D685C" w:rsidRPr="00846885" w:rsidRDefault="006D685C" w:rsidP="006D685C">
      <w:r>
        <w:rPr>
          <w:lang w:val="fr-FR"/>
        </w:rPr>
        <w:t>Point 7 de l’ordre du jour provisoire</w:t>
      </w:r>
    </w:p>
    <w:p w:rsidR="00F9573C" w:rsidRDefault="006D685C" w:rsidP="006D685C">
      <w:pPr>
        <w:rPr>
          <w:b/>
          <w:lang w:val="fr-FR"/>
        </w:rPr>
      </w:pPr>
      <w:r w:rsidRPr="00846885">
        <w:rPr>
          <w:b/>
          <w:lang w:val="fr-FR"/>
        </w:rPr>
        <w:t>Règlement n</w:t>
      </w:r>
      <w:r w:rsidRPr="00846885">
        <w:rPr>
          <w:b/>
          <w:vertAlign w:val="superscript"/>
          <w:lang w:val="fr-FR"/>
        </w:rPr>
        <w:t>o</w:t>
      </w:r>
      <w:r>
        <w:rPr>
          <w:b/>
          <w:lang w:val="fr-FR"/>
        </w:rPr>
        <w:t> </w:t>
      </w:r>
      <w:r w:rsidRPr="00846885">
        <w:rPr>
          <w:b/>
          <w:lang w:val="fr-FR"/>
        </w:rPr>
        <w:t>138 (Véhicules à moteur silencieux)</w:t>
      </w:r>
    </w:p>
    <w:p w:rsidR="006D685C" w:rsidRPr="00846885" w:rsidRDefault="006D685C" w:rsidP="006D685C">
      <w:pPr>
        <w:pStyle w:val="HChG"/>
      </w:pPr>
      <w:r>
        <w:rPr>
          <w:lang w:val="fr-FR"/>
        </w:rPr>
        <w:tab/>
      </w:r>
      <w:r>
        <w:rPr>
          <w:lang w:val="fr-FR"/>
        </w:rPr>
        <w:tab/>
        <w:t xml:space="preserve">Proposition de complément à la série 01 d’amendements au Règlement </w:t>
      </w:r>
      <w:r w:rsidRPr="006D685C">
        <w:rPr>
          <w:rFonts w:eastAsia="MS Mincho"/>
          <w:szCs w:val="22"/>
          <w:lang w:val="fr-FR"/>
        </w:rPr>
        <w:t>n</w:t>
      </w:r>
      <w:r w:rsidRPr="006D685C">
        <w:rPr>
          <w:rFonts w:eastAsia="MS Mincho"/>
          <w:szCs w:val="22"/>
          <w:vertAlign w:val="superscript"/>
          <w:lang w:val="fr-FR"/>
        </w:rPr>
        <w:t>o</w:t>
      </w:r>
      <w:r>
        <w:rPr>
          <w:lang w:val="fr-FR"/>
        </w:rPr>
        <w:t> 138</w:t>
      </w:r>
    </w:p>
    <w:p w:rsidR="006D685C" w:rsidRPr="00846885" w:rsidRDefault="006D685C" w:rsidP="006D685C">
      <w:pPr>
        <w:pStyle w:val="H1G"/>
      </w:pPr>
      <w:r>
        <w:rPr>
          <w:lang w:val="fr-FR"/>
        </w:rPr>
        <w:tab/>
      </w:r>
      <w:r>
        <w:rPr>
          <w:lang w:val="fr-FR"/>
        </w:rPr>
        <w:tab/>
        <w:t>Communication de l’expert de l’Organisation internationale des constructeurs d’automobiles</w:t>
      </w:r>
      <w:r w:rsidRPr="006D685C">
        <w:rPr>
          <w:rStyle w:val="FootnoteReference"/>
          <w:b w:val="0"/>
          <w:sz w:val="20"/>
          <w:vertAlign w:val="baseline"/>
        </w:rPr>
        <w:footnoteReference w:customMarkFollows="1" w:id="2"/>
        <w:t>*</w:t>
      </w:r>
    </w:p>
    <w:p w:rsidR="006D685C" w:rsidRDefault="006D685C" w:rsidP="006D685C">
      <w:pPr>
        <w:pStyle w:val="SingleTxtG"/>
        <w:ind w:firstLine="567"/>
        <w:rPr>
          <w:lang w:val="fr-FR"/>
        </w:rPr>
      </w:pPr>
      <w:r>
        <w:rPr>
          <w:lang w:val="fr-FR"/>
        </w:rPr>
        <w:t xml:space="preserve">Le texte ci-après a été établi par l’expert de l’Organisation internationale des constructeurs d’automobiles (OICA) afin de rendre le libellé des dispositions transitoires figurant dans la série 01 d’amendements au Règlement </w:t>
      </w:r>
      <w:r w:rsidRPr="006D685C">
        <w:rPr>
          <w:rFonts w:eastAsia="MS Mincho"/>
          <w:szCs w:val="22"/>
          <w:lang w:val="fr-FR"/>
        </w:rPr>
        <w:t>n</w:t>
      </w:r>
      <w:r w:rsidRPr="006D685C">
        <w:rPr>
          <w:rFonts w:eastAsia="MS Mincho"/>
          <w:szCs w:val="22"/>
          <w:vertAlign w:val="superscript"/>
          <w:lang w:val="fr-FR"/>
        </w:rPr>
        <w:t>o</w:t>
      </w:r>
      <w:r>
        <w:rPr>
          <w:lang w:val="fr-FR"/>
        </w:rPr>
        <w:t> 138 conforme au mode de présentation</w:t>
      </w:r>
      <w:r>
        <w:rPr>
          <w:b/>
          <w:bCs/>
          <w:lang w:val="fr-FR"/>
        </w:rPr>
        <w:t xml:space="preserve"> </w:t>
      </w:r>
      <w:r>
        <w:rPr>
          <w:lang w:val="fr-FR"/>
        </w:rPr>
        <w:t>spécifié dans les nouvelles directives consécutives à la révision 3 de l’Accord de 1958. Les modifications qu’il est proposé d’apporter au texte actuel du Règlement figurent en caractères gras pour les ajouts et biffés pour les suppressions.</w:t>
      </w:r>
    </w:p>
    <w:p w:rsidR="006D685C" w:rsidRPr="00846885" w:rsidRDefault="006D685C" w:rsidP="0038577F">
      <w:pPr>
        <w:pStyle w:val="HChG"/>
      </w:pPr>
      <w:r>
        <w:rPr>
          <w:lang w:val="fr-FR"/>
        </w:rPr>
        <w:br w:type="page"/>
      </w:r>
      <w:r w:rsidR="0038577F">
        <w:rPr>
          <w:lang w:val="fr-FR"/>
        </w:rPr>
        <w:lastRenderedPageBreak/>
        <w:tab/>
        <w:t>I.</w:t>
      </w:r>
      <w:r w:rsidR="0038577F">
        <w:rPr>
          <w:lang w:val="fr-FR"/>
        </w:rPr>
        <w:tab/>
      </w:r>
      <w:r>
        <w:rPr>
          <w:lang w:val="fr-FR"/>
        </w:rPr>
        <w:t>Proposition</w:t>
      </w:r>
    </w:p>
    <w:p w:rsidR="006D685C" w:rsidRPr="00846885" w:rsidRDefault="006D685C" w:rsidP="006D685C">
      <w:pPr>
        <w:pStyle w:val="SingleTxtG"/>
        <w:spacing w:after="0" w:line="240" w:lineRule="auto"/>
        <w:ind w:left="851" w:right="0" w:firstLine="283"/>
      </w:pPr>
      <w:r>
        <w:rPr>
          <w:i/>
          <w:iCs/>
          <w:lang w:val="fr-FR"/>
        </w:rPr>
        <w:t>Paragraphe 11</w:t>
      </w:r>
      <w:r>
        <w:rPr>
          <w:lang w:val="fr-FR"/>
        </w:rPr>
        <w:t xml:space="preserve">, </w:t>
      </w:r>
      <w:proofErr w:type="gramStart"/>
      <w:r>
        <w:rPr>
          <w:lang w:val="fr-FR"/>
        </w:rPr>
        <w:t>modifier</w:t>
      </w:r>
      <w:proofErr w:type="gramEnd"/>
      <w:r>
        <w:rPr>
          <w:lang w:val="fr-FR"/>
        </w:rPr>
        <w:t xml:space="preserve"> comme suit :</w:t>
      </w:r>
    </w:p>
    <w:p w:rsidR="006D685C" w:rsidRPr="00846885" w:rsidRDefault="006D685C" w:rsidP="00082197">
      <w:pPr>
        <w:pStyle w:val="HChG"/>
        <w:tabs>
          <w:tab w:val="clear" w:pos="851"/>
        </w:tabs>
      </w:pPr>
      <w:r>
        <w:rPr>
          <w:lang w:val="fr-FR"/>
        </w:rPr>
        <w:tab/>
      </w:r>
      <w:r w:rsidR="00082197">
        <w:rPr>
          <w:lang w:val="fr-FR"/>
        </w:rPr>
        <w:t>« </w:t>
      </w:r>
      <w:r>
        <w:rPr>
          <w:lang w:val="fr-FR"/>
        </w:rPr>
        <w:t>11.</w:t>
      </w:r>
      <w:r>
        <w:rPr>
          <w:lang w:val="fr-FR"/>
        </w:rPr>
        <w:tab/>
      </w:r>
      <w:r w:rsidR="00082197">
        <w:rPr>
          <w:lang w:val="fr-FR"/>
        </w:rPr>
        <w:tab/>
      </w:r>
      <w:r w:rsidR="00DC283C">
        <w:rPr>
          <w:lang w:val="fr-FR"/>
        </w:rPr>
        <w:t>Dispositions transitoires</w:t>
      </w:r>
    </w:p>
    <w:p w:rsidR="006D685C" w:rsidRPr="00846885" w:rsidRDefault="006D685C" w:rsidP="006D685C">
      <w:pPr>
        <w:pStyle w:val="para"/>
        <w:rPr>
          <w:bCs/>
          <w:iCs/>
          <w:lang w:val="fr-CH"/>
        </w:rPr>
      </w:pPr>
      <w:r>
        <w:rPr>
          <w:lang w:val="fr-FR"/>
        </w:rPr>
        <w:t>11.1</w:t>
      </w:r>
      <w:r>
        <w:rPr>
          <w:lang w:val="fr-FR"/>
        </w:rPr>
        <w:tab/>
        <w:t>Jusqu’au 30</w:t>
      </w:r>
      <w:r w:rsidR="00623101">
        <w:rPr>
          <w:lang w:val="fr-FR"/>
        </w:rPr>
        <w:t> </w:t>
      </w:r>
      <w:r>
        <w:rPr>
          <w:lang w:val="fr-FR"/>
        </w:rPr>
        <w:t>juin 2019, la norme ISO</w:t>
      </w:r>
      <w:r w:rsidR="00623101">
        <w:rPr>
          <w:lang w:val="fr-FR"/>
        </w:rPr>
        <w:t> </w:t>
      </w:r>
      <w:r>
        <w:rPr>
          <w:lang w:val="fr-FR"/>
        </w:rPr>
        <w:t xml:space="preserve">10844:1994 peut être appliquée à la place de la norme ISO 10844:2014 pour vérifier la conformité de la piste d’essai comme prescrit au paragraphe 2.1.2 de l’annexe 3 du présent Règlement </w:t>
      </w:r>
      <w:r w:rsidRPr="0034345D">
        <w:rPr>
          <w:b/>
          <w:lang w:val="fr-FR"/>
        </w:rPr>
        <w:t>ONU</w:t>
      </w:r>
      <w:r>
        <w:rPr>
          <w:lang w:val="fr-FR"/>
        </w:rPr>
        <w:t>.</w:t>
      </w:r>
    </w:p>
    <w:p w:rsidR="006D685C" w:rsidRPr="00846885" w:rsidRDefault="006D685C" w:rsidP="006D685C">
      <w:pPr>
        <w:pStyle w:val="para"/>
        <w:rPr>
          <w:bCs/>
          <w:iCs/>
          <w:lang w:val="fr-CH"/>
        </w:rPr>
      </w:pPr>
      <w:r>
        <w:rPr>
          <w:lang w:val="fr-FR"/>
        </w:rPr>
        <w:t>11.2</w:t>
      </w:r>
      <w:r>
        <w:rPr>
          <w:lang w:val="fr-FR"/>
        </w:rPr>
        <w:tab/>
        <w:t xml:space="preserve">À compter de la date officielle d’entrée en vigueur de la série 02 d’amendements, aucune Partie contractante appliquant le présent Règlement </w:t>
      </w:r>
      <w:r w:rsidRPr="0034345D">
        <w:rPr>
          <w:b/>
          <w:lang w:val="fr-FR"/>
        </w:rPr>
        <w:t>ONU</w:t>
      </w:r>
      <w:r>
        <w:rPr>
          <w:lang w:val="fr-FR"/>
        </w:rPr>
        <w:t xml:space="preserve"> ne pourra refuser d’accorder ou d’accepter une homologation de type en vertu du présent Règlement tel que modifié par la série 01 d’amendements.</w:t>
      </w:r>
    </w:p>
    <w:p w:rsidR="006D685C" w:rsidRPr="00BF78BF" w:rsidRDefault="006D685C" w:rsidP="006D685C">
      <w:pPr>
        <w:pStyle w:val="para"/>
        <w:rPr>
          <w:lang w:val="fr-FR"/>
        </w:rPr>
      </w:pPr>
      <w:r>
        <w:rPr>
          <w:lang w:val="fr-FR"/>
        </w:rPr>
        <w:t>11.3</w:t>
      </w:r>
      <w:r>
        <w:rPr>
          <w:lang w:val="fr-FR"/>
        </w:rPr>
        <w:tab/>
        <w:t>À compter du 1</w:t>
      </w:r>
      <w:r>
        <w:rPr>
          <w:vertAlign w:val="superscript"/>
          <w:lang w:val="fr-FR"/>
        </w:rPr>
        <w:t>er</w:t>
      </w:r>
      <w:r w:rsidR="00623101">
        <w:rPr>
          <w:lang w:val="fr-FR"/>
        </w:rPr>
        <w:t> </w:t>
      </w:r>
      <w:r>
        <w:rPr>
          <w:lang w:val="fr-FR"/>
        </w:rPr>
        <w:t xml:space="preserve">septembre 2019, les Parties contractantes appliquant le présent Règlement </w:t>
      </w:r>
      <w:r w:rsidRPr="0034345D">
        <w:rPr>
          <w:b/>
          <w:lang w:val="fr-FR"/>
        </w:rPr>
        <w:t>ONU</w:t>
      </w:r>
      <w:r>
        <w:rPr>
          <w:lang w:val="fr-FR"/>
        </w:rPr>
        <w:t xml:space="preserve"> ne seront plus tenues d’accepter des homologations de type délivrées au titre dudit Règlement sous sa forme initiale </w:t>
      </w:r>
      <w:r w:rsidRPr="00BF78BF">
        <w:rPr>
          <w:lang w:val="fr-FR"/>
        </w:rPr>
        <w:t>après le 1</w:t>
      </w:r>
      <w:r w:rsidRPr="00BF78BF">
        <w:rPr>
          <w:vertAlign w:val="superscript"/>
          <w:lang w:val="fr-FR"/>
        </w:rPr>
        <w:t>er</w:t>
      </w:r>
      <w:r w:rsidR="00623101">
        <w:rPr>
          <w:lang w:val="fr-FR"/>
        </w:rPr>
        <w:t> </w:t>
      </w:r>
      <w:r w:rsidRPr="00BF78BF">
        <w:rPr>
          <w:lang w:val="fr-FR"/>
        </w:rPr>
        <w:t>septembre 2019.</w:t>
      </w:r>
    </w:p>
    <w:p w:rsidR="006D685C" w:rsidRDefault="006D685C" w:rsidP="006D685C">
      <w:pPr>
        <w:pStyle w:val="para"/>
        <w:rPr>
          <w:lang w:val="fr-FR"/>
        </w:rPr>
      </w:pPr>
      <w:r>
        <w:rPr>
          <w:lang w:val="fr-FR"/>
        </w:rPr>
        <w:t>11.4</w:t>
      </w:r>
      <w:r>
        <w:rPr>
          <w:lang w:val="fr-FR"/>
        </w:rPr>
        <w:tab/>
        <w:t>Jusqu’au 1</w:t>
      </w:r>
      <w:r>
        <w:rPr>
          <w:vertAlign w:val="superscript"/>
          <w:lang w:val="fr-FR"/>
        </w:rPr>
        <w:t>er</w:t>
      </w:r>
      <w:r w:rsidR="00623101">
        <w:rPr>
          <w:lang w:val="fr-FR"/>
        </w:rPr>
        <w:t> s</w:t>
      </w:r>
      <w:r>
        <w:rPr>
          <w:lang w:val="fr-FR"/>
        </w:rPr>
        <w:t xml:space="preserve">eptembre 2021, les Parties contractantes appliquant le présent Règlement </w:t>
      </w:r>
      <w:r w:rsidRPr="0034345D">
        <w:rPr>
          <w:b/>
          <w:lang w:val="fr-FR"/>
        </w:rPr>
        <w:t>ONU</w:t>
      </w:r>
      <w:r>
        <w:rPr>
          <w:lang w:val="fr-FR"/>
        </w:rPr>
        <w:t xml:space="preserve"> sont tenues d’accepter les homologations de type délivrées au titre dudit Règlement sous sa forme initiale avant </w:t>
      </w:r>
      <w:r w:rsidRPr="00BF78BF">
        <w:rPr>
          <w:lang w:val="fr-FR"/>
        </w:rPr>
        <w:t>le 1</w:t>
      </w:r>
      <w:r w:rsidRPr="00BF78BF">
        <w:rPr>
          <w:vertAlign w:val="superscript"/>
          <w:lang w:val="fr-FR"/>
        </w:rPr>
        <w:t>er</w:t>
      </w:r>
      <w:r w:rsidR="00623101">
        <w:rPr>
          <w:lang w:val="fr-FR"/>
        </w:rPr>
        <w:t> </w:t>
      </w:r>
      <w:r w:rsidRPr="00BF78BF">
        <w:rPr>
          <w:lang w:val="fr-FR"/>
        </w:rPr>
        <w:t>septembre 2019</w:t>
      </w:r>
      <w:r>
        <w:rPr>
          <w:lang w:val="fr-FR"/>
        </w:rPr>
        <w:t>.</w:t>
      </w:r>
    </w:p>
    <w:p w:rsidR="006D685C" w:rsidRPr="00846885" w:rsidRDefault="006D685C" w:rsidP="006D685C">
      <w:pPr>
        <w:pStyle w:val="para"/>
        <w:rPr>
          <w:bCs/>
          <w:iCs/>
          <w:lang w:val="fr-CH"/>
        </w:rPr>
      </w:pPr>
      <w:r>
        <w:rPr>
          <w:lang w:val="fr-FR"/>
        </w:rPr>
        <w:t>11.5.</w:t>
      </w:r>
      <w:r>
        <w:rPr>
          <w:lang w:val="fr-FR"/>
        </w:rPr>
        <w:tab/>
        <w:t>À compter du 1</w:t>
      </w:r>
      <w:r>
        <w:rPr>
          <w:vertAlign w:val="superscript"/>
          <w:lang w:val="fr-FR"/>
        </w:rPr>
        <w:t>er</w:t>
      </w:r>
      <w:r w:rsidR="00623101">
        <w:rPr>
          <w:lang w:val="fr-FR"/>
        </w:rPr>
        <w:t> </w:t>
      </w:r>
      <w:r>
        <w:rPr>
          <w:lang w:val="fr-FR"/>
        </w:rPr>
        <w:t xml:space="preserve">septembre 2021, les Parties contractantes appliquant le présent Règlement </w:t>
      </w:r>
      <w:r w:rsidRPr="0034345D">
        <w:rPr>
          <w:b/>
          <w:lang w:val="fr-FR"/>
        </w:rPr>
        <w:t>ONU</w:t>
      </w:r>
      <w:r>
        <w:rPr>
          <w:lang w:val="fr-FR"/>
        </w:rPr>
        <w:t xml:space="preserve"> ne seront plus tenues d’accepter des homologations de type délivrées au titre dudit Règlement sous sa forme initiale.</w:t>
      </w:r>
    </w:p>
    <w:p w:rsidR="006D685C" w:rsidRPr="00846885" w:rsidRDefault="006D685C" w:rsidP="006D685C">
      <w:pPr>
        <w:pStyle w:val="para"/>
        <w:rPr>
          <w:bCs/>
          <w:iCs/>
          <w:strike/>
          <w:lang w:val="fr-CH"/>
        </w:rPr>
      </w:pPr>
      <w:r>
        <w:rPr>
          <w:lang w:val="fr-FR"/>
        </w:rPr>
        <w:t>11.6.</w:t>
      </w:r>
      <w:r>
        <w:rPr>
          <w:lang w:val="fr-FR"/>
        </w:rPr>
        <w:tab/>
      </w:r>
      <w:r w:rsidRPr="0034345D">
        <w:rPr>
          <w:strike/>
          <w:lang w:val="fr-FR"/>
        </w:rPr>
        <w:t xml:space="preserve">Nonobstant les dispositions des paragraphes 11.3 à 11.5 ci-dessus, les homologations de type délivrées au titre </w:t>
      </w:r>
      <w:r w:rsidR="00DC283C">
        <w:rPr>
          <w:strike/>
          <w:lang w:val="fr-FR"/>
        </w:rPr>
        <w:t xml:space="preserve">du </w:t>
      </w:r>
      <w:r w:rsidRPr="0034345D">
        <w:rPr>
          <w:strike/>
          <w:lang w:val="fr-FR"/>
        </w:rPr>
        <w:t>présent Règlement sous sa forme initiale qui ne sont pas concernées par la série 01 d</w:t>
      </w:r>
      <w:r>
        <w:rPr>
          <w:strike/>
          <w:lang w:val="fr-FR"/>
        </w:rPr>
        <w:t>’</w:t>
      </w:r>
      <w:r w:rsidRPr="0034345D">
        <w:rPr>
          <w:strike/>
          <w:lang w:val="fr-FR"/>
        </w:rPr>
        <w:t>amendements demeurent valables et les Parties contractantes appliquant ledit Règlement doivent continuer de les accepter.</w:t>
      </w:r>
    </w:p>
    <w:p w:rsidR="006D685C" w:rsidRPr="0034345D" w:rsidRDefault="006D685C" w:rsidP="006D685C">
      <w:pPr>
        <w:pStyle w:val="para"/>
        <w:rPr>
          <w:b/>
          <w:bCs/>
          <w:iCs/>
          <w:lang w:val="fr-CH"/>
        </w:rPr>
      </w:pPr>
      <w:r>
        <w:rPr>
          <w:lang w:val="fr-FR"/>
        </w:rPr>
        <w:tab/>
      </w:r>
      <w:r w:rsidRPr="0034345D">
        <w:rPr>
          <w:b/>
          <w:lang w:val="fr-FR"/>
        </w:rPr>
        <w:t>Nonobstant les dispositions du paragraphe 11.5 ci-dessus, les Parties contractantes appliquant le présent Règlement ONU continueront de reconnaître les homologations de type délivrées au titre de la version originale dudit Règlement, pour les véhicules non concernés par les modifications apportées par la série 01 d</w:t>
      </w:r>
      <w:r>
        <w:rPr>
          <w:b/>
          <w:lang w:val="fr-FR"/>
        </w:rPr>
        <w:t>’</w:t>
      </w:r>
      <w:r w:rsidRPr="0034345D">
        <w:rPr>
          <w:b/>
          <w:lang w:val="fr-FR"/>
        </w:rPr>
        <w:t>amendements.</w:t>
      </w:r>
    </w:p>
    <w:p w:rsidR="006D685C" w:rsidRPr="00846885" w:rsidRDefault="006D685C" w:rsidP="006D685C">
      <w:pPr>
        <w:pStyle w:val="para"/>
        <w:rPr>
          <w:bCs/>
          <w:iCs/>
          <w:lang w:val="fr-CH"/>
        </w:rPr>
      </w:pPr>
      <w:r>
        <w:rPr>
          <w:lang w:val="fr-FR"/>
        </w:rPr>
        <w:t>11.7.</w:t>
      </w:r>
      <w:r>
        <w:rPr>
          <w:lang w:val="fr-FR"/>
        </w:rPr>
        <w:tab/>
        <w:t xml:space="preserve">Nonobstant les dispositions transitoires ci-dessus, les Parties contractantes pour lesquelles le présent Règlement </w:t>
      </w:r>
      <w:r w:rsidRPr="0034345D">
        <w:rPr>
          <w:b/>
          <w:lang w:val="fr-FR"/>
        </w:rPr>
        <w:t>ONU</w:t>
      </w:r>
      <w:r>
        <w:rPr>
          <w:lang w:val="fr-FR"/>
        </w:rPr>
        <w:t xml:space="preserve"> entre en vigueur à une date ultérieure par rapport à la série 01 d’amendements ne sont pas tenues d’accepter des homologations de type accordées en vertu de la version initiale du présent Règlement, mais doivent accepter les homologations de </w:t>
      </w:r>
      <w:proofErr w:type="gramStart"/>
      <w:r>
        <w:rPr>
          <w:lang w:val="fr-FR"/>
        </w:rPr>
        <w:t>type</w:t>
      </w:r>
      <w:proofErr w:type="gramEnd"/>
      <w:r>
        <w:rPr>
          <w:lang w:val="fr-FR"/>
        </w:rPr>
        <w:t xml:space="preserve"> délivrées au titre de la série 01 d’amendements.</w:t>
      </w:r>
    </w:p>
    <w:p w:rsidR="006D685C" w:rsidRPr="00846885" w:rsidRDefault="006D685C" w:rsidP="006D685C">
      <w:pPr>
        <w:pStyle w:val="para"/>
        <w:rPr>
          <w:lang w:val="fr-CH"/>
        </w:rPr>
      </w:pPr>
      <w:r>
        <w:rPr>
          <w:lang w:val="fr-FR"/>
        </w:rPr>
        <w:t>11.8.</w:t>
      </w:r>
      <w:r>
        <w:rPr>
          <w:lang w:val="fr-FR"/>
        </w:rPr>
        <w:tab/>
        <w:t xml:space="preserve">Aucune Partie contractante appliquant le présent Règlement </w:t>
      </w:r>
      <w:r w:rsidRPr="0034345D">
        <w:rPr>
          <w:b/>
          <w:lang w:val="fr-FR"/>
        </w:rPr>
        <w:t>ONU</w:t>
      </w:r>
      <w:r>
        <w:rPr>
          <w:lang w:val="fr-FR"/>
        </w:rPr>
        <w:t xml:space="preserve"> ne peut refuser d’accorder une homologation de type ou son extension en vertu du présent Règlement sous sa forme initiale.</w:t>
      </w:r>
      <w:r w:rsidR="00623101">
        <w:rPr>
          <w:lang w:val="fr-FR"/>
        </w:rPr>
        <w:t> ».</w:t>
      </w:r>
    </w:p>
    <w:p w:rsidR="006D685C" w:rsidRPr="00BF78BF" w:rsidRDefault="00623101" w:rsidP="00623101">
      <w:pPr>
        <w:pStyle w:val="HChG"/>
        <w:rPr>
          <w:lang w:val="fr-FR"/>
        </w:rPr>
      </w:pPr>
      <w:r>
        <w:rPr>
          <w:lang w:val="fr-FR"/>
        </w:rPr>
        <w:tab/>
      </w:r>
      <w:r w:rsidR="006D685C">
        <w:rPr>
          <w:lang w:val="fr-FR"/>
        </w:rPr>
        <w:t>II.</w:t>
      </w:r>
      <w:r w:rsidR="006D685C">
        <w:rPr>
          <w:lang w:val="fr-FR"/>
        </w:rPr>
        <w:tab/>
        <w:t>Justification</w:t>
      </w:r>
    </w:p>
    <w:p w:rsidR="006D685C" w:rsidRPr="00846885" w:rsidRDefault="006D685C" w:rsidP="006D685C">
      <w:pPr>
        <w:spacing w:after="120"/>
        <w:ind w:left="1134" w:right="1134"/>
        <w:jc w:val="both"/>
      </w:pPr>
      <w:r>
        <w:rPr>
          <w:lang w:val="fr-FR"/>
        </w:rPr>
        <w:t>1.</w:t>
      </w:r>
      <w:r>
        <w:rPr>
          <w:lang w:val="fr-FR"/>
        </w:rPr>
        <w:tab/>
        <w:t xml:space="preserve">Les dispositions transitoires sont dans l’ensemble conformes à la nouvelle présentation des dispositions transitoires telle que spécifiées dans le document ECE/TRANS/WP.29/2017/53, suite à la révision 3 de l’Accord de 1958. Il y a cependant une divergence au paragraphe 11.6, qui doit donc être corrigé. </w:t>
      </w:r>
    </w:p>
    <w:p w:rsidR="006D685C" w:rsidRPr="00846885" w:rsidRDefault="006D685C" w:rsidP="006D685C">
      <w:pPr>
        <w:spacing w:after="120"/>
        <w:ind w:left="1134" w:right="1134"/>
        <w:jc w:val="both"/>
      </w:pPr>
      <w:r>
        <w:rPr>
          <w:lang w:val="fr-FR"/>
        </w:rPr>
        <w:lastRenderedPageBreak/>
        <w:t>2.</w:t>
      </w:r>
      <w:r>
        <w:rPr>
          <w:lang w:val="fr-FR"/>
        </w:rPr>
        <w:tab/>
        <w:t>La référence au paragraphe 11.3 a été supprimée parce que les nouvelles homologations délivrées après le 1</w:t>
      </w:r>
      <w:r>
        <w:rPr>
          <w:vertAlign w:val="superscript"/>
          <w:lang w:val="fr-FR"/>
        </w:rPr>
        <w:t>er</w:t>
      </w:r>
      <w:r w:rsidR="00623101">
        <w:rPr>
          <w:lang w:val="fr-FR"/>
        </w:rPr>
        <w:t> </w:t>
      </w:r>
      <w:r>
        <w:rPr>
          <w:lang w:val="fr-FR"/>
        </w:rPr>
        <w:t>septembre seront de toute façon conformes à la nouvelle série d’</w:t>
      </w:r>
      <w:r w:rsidR="00623101">
        <w:rPr>
          <w:lang w:val="fr-FR"/>
        </w:rPr>
        <w:t>amendements.</w:t>
      </w:r>
    </w:p>
    <w:p w:rsidR="006D685C" w:rsidRPr="00846885" w:rsidRDefault="006D685C" w:rsidP="006D685C">
      <w:pPr>
        <w:spacing w:after="120"/>
        <w:ind w:left="1134" w:right="1134"/>
        <w:jc w:val="both"/>
      </w:pPr>
      <w:r>
        <w:rPr>
          <w:lang w:val="fr-FR"/>
        </w:rPr>
        <w:t>3.</w:t>
      </w:r>
      <w:r>
        <w:rPr>
          <w:lang w:val="fr-FR"/>
        </w:rPr>
        <w:tab/>
        <w:t>La référence au paragraphe 11.4 a été supprimée parce que cette disposition transitoire reconnaît de toute façon</w:t>
      </w:r>
      <w:r w:rsidR="00DC283C">
        <w:rPr>
          <w:lang w:val="fr-FR"/>
        </w:rPr>
        <w:t xml:space="preserve"> </w:t>
      </w:r>
      <w:r>
        <w:rPr>
          <w:lang w:val="fr-FR"/>
        </w:rPr>
        <w:t xml:space="preserve">les homologations délivrées au titre dudit Règlement sous sa forme initiale avant </w:t>
      </w:r>
      <w:r w:rsidRPr="00BF78BF">
        <w:rPr>
          <w:lang w:val="fr-FR"/>
        </w:rPr>
        <w:t>le 1</w:t>
      </w:r>
      <w:r w:rsidRPr="00BF78BF">
        <w:rPr>
          <w:vertAlign w:val="superscript"/>
          <w:lang w:val="fr-FR"/>
        </w:rPr>
        <w:t>er</w:t>
      </w:r>
      <w:r w:rsidR="00623101">
        <w:rPr>
          <w:lang w:val="fr-FR"/>
        </w:rPr>
        <w:t> </w:t>
      </w:r>
      <w:r w:rsidRPr="00BF78BF">
        <w:rPr>
          <w:lang w:val="fr-FR"/>
        </w:rPr>
        <w:t>septembre 2019</w:t>
      </w:r>
      <w:r>
        <w:rPr>
          <w:lang w:val="fr-FR"/>
        </w:rPr>
        <w:t>.</w:t>
      </w:r>
    </w:p>
    <w:p w:rsidR="006D685C" w:rsidRDefault="006D685C" w:rsidP="00623101">
      <w:pPr>
        <w:pStyle w:val="SingleTxtG"/>
        <w:rPr>
          <w:lang w:val="fr-FR"/>
        </w:rPr>
      </w:pPr>
      <w:r>
        <w:rPr>
          <w:lang w:val="fr-FR"/>
        </w:rPr>
        <w:t>4.</w:t>
      </w:r>
      <w:r>
        <w:rPr>
          <w:lang w:val="fr-FR"/>
        </w:rPr>
        <w:tab/>
        <w:t xml:space="preserve">L’expression </w:t>
      </w:r>
      <w:r w:rsidR="00623101">
        <w:rPr>
          <w:lang w:val="fr-FR"/>
        </w:rPr>
        <w:t>« Règlement ONU »</w:t>
      </w:r>
      <w:r>
        <w:rPr>
          <w:lang w:val="fr-FR"/>
        </w:rPr>
        <w:t xml:space="preserve"> doit remplacer l</w:t>
      </w:r>
      <w:r w:rsidR="00623101">
        <w:rPr>
          <w:lang w:val="fr-FR"/>
        </w:rPr>
        <w:t>e mot « Règlement »</w:t>
      </w:r>
      <w:r>
        <w:rPr>
          <w:lang w:val="fr-FR"/>
        </w:rPr>
        <w:t xml:space="preserve"> pour qu’il n’y ait pas de confusion possible avec les règlements ou les législations des différents pays.</w:t>
      </w:r>
    </w:p>
    <w:p w:rsidR="00623101" w:rsidRPr="00623101" w:rsidRDefault="00623101" w:rsidP="00623101">
      <w:pPr>
        <w:pStyle w:val="SingleTxtG"/>
        <w:spacing w:before="240" w:after="0"/>
        <w:jc w:val="center"/>
        <w:rPr>
          <w:u w:val="single"/>
        </w:rPr>
      </w:pPr>
      <w:r>
        <w:rPr>
          <w:u w:val="single"/>
        </w:rPr>
        <w:tab/>
      </w:r>
      <w:r>
        <w:rPr>
          <w:u w:val="single"/>
        </w:rPr>
        <w:tab/>
      </w:r>
      <w:r>
        <w:rPr>
          <w:u w:val="single"/>
        </w:rPr>
        <w:tab/>
      </w:r>
    </w:p>
    <w:sectPr w:rsidR="00623101" w:rsidRPr="00623101" w:rsidSect="006D685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55F" w:rsidRDefault="0067355F" w:rsidP="00F95C08">
      <w:pPr>
        <w:spacing w:line="240" w:lineRule="auto"/>
      </w:pPr>
    </w:p>
  </w:endnote>
  <w:endnote w:type="continuationSeparator" w:id="0">
    <w:p w:rsidR="0067355F" w:rsidRPr="00AC3823" w:rsidRDefault="0067355F" w:rsidP="00AC3823">
      <w:pPr>
        <w:pStyle w:val="Footer"/>
      </w:pPr>
    </w:p>
  </w:endnote>
  <w:endnote w:type="continuationNotice" w:id="1">
    <w:p w:rsidR="0067355F" w:rsidRDefault="006735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5C" w:rsidRPr="006D685C" w:rsidRDefault="006D685C" w:rsidP="006D685C">
    <w:pPr>
      <w:pStyle w:val="Footer"/>
      <w:tabs>
        <w:tab w:val="right" w:pos="9638"/>
      </w:tabs>
    </w:pPr>
    <w:r w:rsidRPr="006D685C">
      <w:rPr>
        <w:b/>
        <w:sz w:val="18"/>
      </w:rPr>
      <w:fldChar w:fldCharType="begin"/>
    </w:r>
    <w:r w:rsidRPr="006D685C">
      <w:rPr>
        <w:b/>
        <w:sz w:val="18"/>
      </w:rPr>
      <w:instrText xml:space="preserve"> PAGE  \* MERGEFORMAT </w:instrText>
    </w:r>
    <w:r w:rsidRPr="006D685C">
      <w:rPr>
        <w:b/>
        <w:sz w:val="18"/>
      </w:rPr>
      <w:fldChar w:fldCharType="separate"/>
    </w:r>
    <w:r w:rsidR="00015C73">
      <w:rPr>
        <w:b/>
        <w:noProof/>
        <w:sz w:val="18"/>
      </w:rPr>
      <w:t>2</w:t>
    </w:r>
    <w:r w:rsidRPr="006D685C">
      <w:rPr>
        <w:b/>
        <w:sz w:val="18"/>
      </w:rPr>
      <w:fldChar w:fldCharType="end"/>
    </w:r>
    <w:r>
      <w:rPr>
        <w:b/>
        <w:sz w:val="18"/>
      </w:rPr>
      <w:tab/>
    </w:r>
    <w:r>
      <w:t>GE.17-09969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5C" w:rsidRPr="006D685C" w:rsidRDefault="006D685C" w:rsidP="006D685C">
    <w:pPr>
      <w:pStyle w:val="Footer"/>
      <w:tabs>
        <w:tab w:val="right" w:pos="9638"/>
      </w:tabs>
      <w:rPr>
        <w:b/>
        <w:sz w:val="18"/>
      </w:rPr>
    </w:pPr>
    <w:r>
      <w:t>GE.17-09969</w:t>
    </w:r>
    <w:r>
      <w:tab/>
    </w:r>
    <w:r w:rsidRPr="006D685C">
      <w:rPr>
        <w:b/>
        <w:sz w:val="18"/>
      </w:rPr>
      <w:fldChar w:fldCharType="begin"/>
    </w:r>
    <w:r w:rsidRPr="006D685C">
      <w:rPr>
        <w:b/>
        <w:sz w:val="18"/>
      </w:rPr>
      <w:instrText xml:space="preserve"> PAGE  \* MERGEFORMAT </w:instrText>
    </w:r>
    <w:r w:rsidRPr="006D685C">
      <w:rPr>
        <w:b/>
        <w:sz w:val="18"/>
      </w:rPr>
      <w:fldChar w:fldCharType="separate"/>
    </w:r>
    <w:r w:rsidR="00015C73">
      <w:rPr>
        <w:b/>
        <w:noProof/>
        <w:sz w:val="18"/>
      </w:rPr>
      <w:t>3</w:t>
    </w:r>
    <w:r w:rsidRPr="006D685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6D685C" w:rsidRDefault="006D685C" w:rsidP="006D685C">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17-09969  (F)</w:t>
    </w:r>
    <w:r w:rsidR="0038577F">
      <w:rPr>
        <w:sz w:val="20"/>
      </w:rPr>
      <w:t xml:space="preserve">    070717    070717</w:t>
    </w:r>
    <w:r>
      <w:rPr>
        <w:sz w:val="20"/>
      </w:rPr>
      <w:br/>
    </w:r>
    <w:r w:rsidRPr="006D685C">
      <w:rPr>
        <w:rFonts w:ascii="C39T30Lfz" w:hAnsi="C39T30Lfz"/>
        <w:sz w:val="56"/>
      </w:rPr>
      <w:t></w:t>
    </w:r>
    <w:r w:rsidRPr="006D685C">
      <w:rPr>
        <w:rFonts w:ascii="C39T30Lfz" w:hAnsi="C39T30Lfz"/>
        <w:sz w:val="56"/>
      </w:rPr>
      <w:t></w:t>
    </w:r>
    <w:r w:rsidRPr="006D685C">
      <w:rPr>
        <w:rFonts w:ascii="C39T30Lfz" w:hAnsi="C39T30Lfz"/>
        <w:sz w:val="56"/>
      </w:rPr>
      <w:t></w:t>
    </w:r>
    <w:r w:rsidRPr="006D685C">
      <w:rPr>
        <w:rFonts w:ascii="C39T30Lfz" w:hAnsi="C39T30Lfz"/>
        <w:sz w:val="56"/>
      </w:rPr>
      <w:t></w:t>
    </w:r>
    <w:r w:rsidRPr="006D685C">
      <w:rPr>
        <w:rFonts w:ascii="C39T30Lfz" w:hAnsi="C39T30Lfz"/>
        <w:sz w:val="56"/>
      </w:rPr>
      <w:t></w:t>
    </w:r>
    <w:r w:rsidRPr="006D685C">
      <w:rPr>
        <w:rFonts w:ascii="C39T30Lfz" w:hAnsi="C39T30Lfz"/>
        <w:sz w:val="56"/>
      </w:rPr>
      <w:t></w:t>
    </w:r>
    <w:r w:rsidRPr="006D685C">
      <w:rPr>
        <w:rFonts w:ascii="C39T30Lfz" w:hAnsi="C39T30Lfz"/>
        <w:sz w:val="56"/>
      </w:rPr>
      <w:t></w:t>
    </w:r>
    <w:r w:rsidRPr="006D685C">
      <w:rPr>
        <w:rFonts w:ascii="C39T30Lfz" w:hAnsi="C39T30Lfz"/>
        <w:sz w:val="56"/>
      </w:rPr>
      <w:t></w:t>
    </w:r>
    <w:r w:rsidRPr="006D685C">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7/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7/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55F" w:rsidRPr="00AC3823" w:rsidRDefault="0067355F" w:rsidP="00AC3823">
      <w:pPr>
        <w:pStyle w:val="Footer"/>
        <w:tabs>
          <w:tab w:val="right" w:pos="2155"/>
        </w:tabs>
        <w:spacing w:after="80" w:line="240" w:lineRule="atLeast"/>
        <w:ind w:left="680"/>
        <w:rPr>
          <w:u w:val="single"/>
        </w:rPr>
      </w:pPr>
      <w:r>
        <w:rPr>
          <w:u w:val="single"/>
        </w:rPr>
        <w:tab/>
      </w:r>
    </w:p>
  </w:footnote>
  <w:footnote w:type="continuationSeparator" w:id="0">
    <w:p w:rsidR="0067355F" w:rsidRPr="00AC3823" w:rsidRDefault="0067355F" w:rsidP="00AC3823">
      <w:pPr>
        <w:pStyle w:val="Footer"/>
        <w:tabs>
          <w:tab w:val="right" w:pos="2155"/>
        </w:tabs>
        <w:spacing w:after="80" w:line="240" w:lineRule="atLeast"/>
        <w:ind w:left="680"/>
        <w:rPr>
          <w:u w:val="single"/>
        </w:rPr>
      </w:pPr>
      <w:r>
        <w:rPr>
          <w:u w:val="single"/>
        </w:rPr>
        <w:tab/>
      </w:r>
    </w:p>
  </w:footnote>
  <w:footnote w:type="continuationNotice" w:id="1">
    <w:p w:rsidR="0067355F" w:rsidRPr="00AC3823" w:rsidRDefault="0067355F">
      <w:pPr>
        <w:spacing w:line="240" w:lineRule="auto"/>
        <w:rPr>
          <w:sz w:val="2"/>
          <w:szCs w:val="2"/>
        </w:rPr>
      </w:pPr>
    </w:p>
  </w:footnote>
  <w:footnote w:id="2">
    <w:p w:rsidR="006D685C" w:rsidRPr="006D685C" w:rsidRDefault="006D685C">
      <w:pPr>
        <w:pStyle w:val="FootnoteText"/>
      </w:pPr>
      <w:r>
        <w:rPr>
          <w:rStyle w:val="FootnoteReference"/>
        </w:rPr>
        <w:tab/>
      </w:r>
      <w:r w:rsidRPr="006D685C">
        <w:rPr>
          <w:rStyle w:val="FootnoteReference"/>
          <w:sz w:val="20"/>
          <w:vertAlign w:val="baseline"/>
        </w:rPr>
        <w:t>*</w:t>
      </w:r>
      <w:r>
        <w:rPr>
          <w:rStyle w:val="FootnoteReference"/>
          <w:sz w:val="20"/>
          <w:vertAlign w:val="baseline"/>
        </w:rPr>
        <w:tab/>
      </w:r>
      <w:r w:rsidRPr="006D685C">
        <w:rPr>
          <w:spacing w:val="-2"/>
          <w:lang w:val="fr-FR"/>
        </w:rPr>
        <w:t>Conformément au programme de travail du Comité des transports</w:t>
      </w:r>
      <w:r>
        <w:rPr>
          <w:lang w:val="fr-FR"/>
        </w:rPr>
        <w:t xml:space="preserve"> intérieurs pour la période 2016</w:t>
      </w:r>
      <w:r>
        <w:rPr>
          <w:lang w:val="fr-FR"/>
        </w:rPr>
        <w:noBreakHyphen/>
        <w:t>2017 (ECE/TRANS/254, par. 159, et ECE/TRANS/2016/28/Add.1, module 3.2),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5C" w:rsidRPr="006D685C" w:rsidRDefault="00015C73">
    <w:pPr>
      <w:pStyle w:val="Header"/>
    </w:pPr>
    <w:r>
      <w:fldChar w:fldCharType="begin"/>
    </w:r>
    <w:r>
      <w:instrText xml:space="preserve"> TITLE  \* MERGEFORMAT </w:instrText>
    </w:r>
    <w:r>
      <w:fldChar w:fldCharType="separate"/>
    </w:r>
    <w:r w:rsidR="00E9607F">
      <w:t>ECE/TRANS/WP.29/GRB/2017/7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5C" w:rsidRPr="006D685C" w:rsidRDefault="00015C73" w:rsidP="006D685C">
    <w:pPr>
      <w:pStyle w:val="Header"/>
      <w:jc w:val="right"/>
    </w:pPr>
    <w:r>
      <w:fldChar w:fldCharType="begin"/>
    </w:r>
    <w:r>
      <w:instrText xml:space="preserve"> TITLE  \* MERGEFORMAT </w:instrText>
    </w:r>
    <w:r>
      <w:fldChar w:fldCharType="separate"/>
    </w:r>
    <w:r w:rsidR="00E9607F">
      <w:t>ECE/TRANS/WP.29/GRB/2017/7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5F"/>
    <w:rsid w:val="00015C73"/>
    <w:rsid w:val="00017F94"/>
    <w:rsid w:val="00023842"/>
    <w:rsid w:val="000334F9"/>
    <w:rsid w:val="00045FEB"/>
    <w:rsid w:val="0007796D"/>
    <w:rsid w:val="00082197"/>
    <w:rsid w:val="000B7790"/>
    <w:rsid w:val="00111F2F"/>
    <w:rsid w:val="0014365E"/>
    <w:rsid w:val="00143C66"/>
    <w:rsid w:val="00176178"/>
    <w:rsid w:val="001F525A"/>
    <w:rsid w:val="00223272"/>
    <w:rsid w:val="0024779E"/>
    <w:rsid w:val="00257168"/>
    <w:rsid w:val="002744B8"/>
    <w:rsid w:val="002832AC"/>
    <w:rsid w:val="002A7888"/>
    <w:rsid w:val="002D7C93"/>
    <w:rsid w:val="00305801"/>
    <w:rsid w:val="0038577F"/>
    <w:rsid w:val="003916DE"/>
    <w:rsid w:val="00441C3B"/>
    <w:rsid w:val="00446FE5"/>
    <w:rsid w:val="00452396"/>
    <w:rsid w:val="004837D8"/>
    <w:rsid w:val="004E468C"/>
    <w:rsid w:val="00514BFB"/>
    <w:rsid w:val="005505B7"/>
    <w:rsid w:val="00573BE5"/>
    <w:rsid w:val="00586ED3"/>
    <w:rsid w:val="00596AA9"/>
    <w:rsid w:val="00623101"/>
    <w:rsid w:val="0067355F"/>
    <w:rsid w:val="006D685C"/>
    <w:rsid w:val="0071601D"/>
    <w:rsid w:val="007A62E6"/>
    <w:rsid w:val="007F20FA"/>
    <w:rsid w:val="0080684C"/>
    <w:rsid w:val="00871C75"/>
    <w:rsid w:val="008776DC"/>
    <w:rsid w:val="00892D88"/>
    <w:rsid w:val="009446C0"/>
    <w:rsid w:val="009705C8"/>
    <w:rsid w:val="009C1CF4"/>
    <w:rsid w:val="009F6B74"/>
    <w:rsid w:val="00A30353"/>
    <w:rsid w:val="00AC3823"/>
    <w:rsid w:val="00AE323C"/>
    <w:rsid w:val="00AF0CB5"/>
    <w:rsid w:val="00B00181"/>
    <w:rsid w:val="00B00B0D"/>
    <w:rsid w:val="00B765F7"/>
    <w:rsid w:val="00BA0CA9"/>
    <w:rsid w:val="00C02897"/>
    <w:rsid w:val="00C52608"/>
    <w:rsid w:val="00C97039"/>
    <w:rsid w:val="00D3439C"/>
    <w:rsid w:val="00DB1831"/>
    <w:rsid w:val="00DC283C"/>
    <w:rsid w:val="00DD3BFD"/>
    <w:rsid w:val="00DF6678"/>
    <w:rsid w:val="00E85C74"/>
    <w:rsid w:val="00E9607F"/>
    <w:rsid w:val="00EA6547"/>
    <w:rsid w:val="00EF2E22"/>
    <w:rsid w:val="00F35BAF"/>
    <w:rsid w:val="00F660DF"/>
    <w:rsid w:val="00F94664"/>
    <w:rsid w:val="00F9573C"/>
    <w:rsid w:val="00F95C08"/>
    <w:rsid w:val="00FE66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6D685C"/>
    <w:rPr>
      <w:rFonts w:ascii="Times New Roman" w:hAnsi="Times New Roman" w:cs="Times New Roman"/>
      <w:b/>
      <w:sz w:val="24"/>
      <w:szCs w:val="20"/>
      <w:lang w:eastAsia="en-US"/>
    </w:rPr>
  </w:style>
  <w:style w:type="character" w:customStyle="1" w:styleId="HChGChar">
    <w:name w:val="_ H _Ch_G Char"/>
    <w:link w:val="HChG"/>
    <w:rsid w:val="006D685C"/>
    <w:rPr>
      <w:rFonts w:ascii="Times New Roman" w:hAnsi="Times New Roman" w:cs="Times New Roman"/>
      <w:b/>
      <w:sz w:val="28"/>
      <w:szCs w:val="20"/>
      <w:lang w:eastAsia="en-US"/>
    </w:rPr>
  </w:style>
  <w:style w:type="paragraph" w:customStyle="1" w:styleId="para">
    <w:name w:val="para"/>
    <w:basedOn w:val="Normal"/>
    <w:link w:val="paraChar"/>
    <w:qFormat/>
    <w:rsid w:val="006D685C"/>
    <w:pPr>
      <w:kinsoku/>
      <w:overflowPunct/>
      <w:autoSpaceDE/>
      <w:autoSpaceDN/>
      <w:adjustRightInd/>
      <w:snapToGrid/>
      <w:spacing w:after="120"/>
      <w:ind w:left="2268" w:right="1134" w:hanging="1134"/>
      <w:jc w:val="both"/>
    </w:pPr>
    <w:rPr>
      <w:lang w:val="en-GB"/>
    </w:rPr>
  </w:style>
  <w:style w:type="character" w:customStyle="1" w:styleId="SingleTxtGChar">
    <w:name w:val="_ Single Txt_G Char"/>
    <w:link w:val="SingleTxtG"/>
    <w:rsid w:val="006D685C"/>
    <w:rPr>
      <w:rFonts w:ascii="Times New Roman" w:hAnsi="Times New Roman" w:cs="Times New Roman"/>
      <w:sz w:val="20"/>
      <w:szCs w:val="20"/>
      <w:lang w:eastAsia="en-US"/>
    </w:rPr>
  </w:style>
  <w:style w:type="character" w:customStyle="1" w:styleId="paraChar">
    <w:name w:val="para Char"/>
    <w:link w:val="para"/>
    <w:rsid w:val="006D685C"/>
    <w:rPr>
      <w:rFonts w:ascii="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1GChar">
    <w:name w:val="_ H_1_G Char"/>
    <w:link w:val="H1G"/>
    <w:rsid w:val="006D685C"/>
    <w:rPr>
      <w:rFonts w:ascii="Times New Roman" w:hAnsi="Times New Roman" w:cs="Times New Roman"/>
      <w:b/>
      <w:sz w:val="24"/>
      <w:szCs w:val="20"/>
      <w:lang w:eastAsia="en-US"/>
    </w:rPr>
  </w:style>
  <w:style w:type="character" w:customStyle="1" w:styleId="HChGChar">
    <w:name w:val="_ H _Ch_G Char"/>
    <w:link w:val="HChG"/>
    <w:rsid w:val="006D685C"/>
    <w:rPr>
      <w:rFonts w:ascii="Times New Roman" w:hAnsi="Times New Roman" w:cs="Times New Roman"/>
      <w:b/>
      <w:sz w:val="28"/>
      <w:szCs w:val="20"/>
      <w:lang w:eastAsia="en-US"/>
    </w:rPr>
  </w:style>
  <w:style w:type="paragraph" w:customStyle="1" w:styleId="para">
    <w:name w:val="para"/>
    <w:basedOn w:val="Normal"/>
    <w:link w:val="paraChar"/>
    <w:qFormat/>
    <w:rsid w:val="006D685C"/>
    <w:pPr>
      <w:kinsoku/>
      <w:overflowPunct/>
      <w:autoSpaceDE/>
      <w:autoSpaceDN/>
      <w:adjustRightInd/>
      <w:snapToGrid/>
      <w:spacing w:after="120"/>
      <w:ind w:left="2268" w:right="1134" w:hanging="1134"/>
      <w:jc w:val="both"/>
    </w:pPr>
    <w:rPr>
      <w:lang w:val="en-GB"/>
    </w:rPr>
  </w:style>
  <w:style w:type="character" w:customStyle="1" w:styleId="SingleTxtGChar">
    <w:name w:val="_ Single Txt_G Char"/>
    <w:link w:val="SingleTxtG"/>
    <w:rsid w:val="006D685C"/>
    <w:rPr>
      <w:rFonts w:ascii="Times New Roman" w:hAnsi="Times New Roman" w:cs="Times New Roman"/>
      <w:sz w:val="20"/>
      <w:szCs w:val="20"/>
      <w:lang w:eastAsia="en-US"/>
    </w:rPr>
  </w:style>
  <w:style w:type="character" w:customStyle="1" w:styleId="paraChar">
    <w:name w:val="para Char"/>
    <w:link w:val="para"/>
    <w:rsid w:val="006D685C"/>
    <w:rPr>
      <w:rFonts w:ascii="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3933</Characters>
  <Application>Microsoft Office Word</Application>
  <DocSecurity>4</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ECE/TRANS/WP.29/GRB/2017/7</vt:lpstr>
      <vt:lpstr>ECE/TRANS/WP.29/GRB/2017/7</vt:lpstr>
    </vt:vector>
  </TitlesOfParts>
  <Company>DCM</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ECE/TRANS/WP.29/GRB/2017/7</dc:title>
  <dc:creator>Fabienne CRELIER</dc:creator>
  <cp:lastModifiedBy>Benedicte Boudol</cp:lastModifiedBy>
  <cp:revision>2</cp:revision>
  <cp:lastPrinted>2017-07-07T09:53:00Z</cp:lastPrinted>
  <dcterms:created xsi:type="dcterms:W3CDTF">2017-07-07T12:06:00Z</dcterms:created>
  <dcterms:modified xsi:type="dcterms:W3CDTF">2017-07-07T12:06:00Z</dcterms:modified>
</cp:coreProperties>
</file>