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D1" w:rsidRDefault="005B5DAD" w:rsidP="001A5A55">
      <w:pPr>
        <w:pStyle w:val="HChG"/>
        <w:tabs>
          <w:tab w:val="clear" w:pos="851"/>
        </w:tabs>
        <w:spacing w:before="120" w:after="0"/>
        <w:ind w:left="907" w:right="1138" w:firstLine="0"/>
        <w:jc w:val="center"/>
        <w:rPr>
          <w:lang w:val="en-US"/>
        </w:rPr>
      </w:pPr>
      <w:r>
        <w:rPr>
          <w:lang w:val="en-US"/>
        </w:rPr>
        <w:t xml:space="preserve">Proposal for </w:t>
      </w:r>
      <w:r w:rsidR="006425D1">
        <w:rPr>
          <w:lang w:val="en-US"/>
        </w:rPr>
        <w:t>transitional provisions for inclusion in UN R79</w:t>
      </w:r>
    </w:p>
    <w:p w:rsidR="006425D1" w:rsidRDefault="006425D1" w:rsidP="00EB1BC7">
      <w:pPr>
        <w:pStyle w:val="HChG"/>
        <w:tabs>
          <w:tab w:val="clear" w:pos="851"/>
        </w:tabs>
        <w:spacing w:before="0"/>
        <w:ind w:left="540" w:right="144" w:hanging="540"/>
        <w:jc w:val="center"/>
        <w:rPr>
          <w:lang w:val="en-US"/>
        </w:rPr>
      </w:pPr>
      <w:r>
        <w:rPr>
          <w:lang w:val="en-US"/>
        </w:rPr>
        <w:t>(ECE/TRANS/WP29/2017/10, as amended</w:t>
      </w:r>
      <w:r w:rsidR="0077336D">
        <w:rPr>
          <w:lang w:val="en-US"/>
        </w:rPr>
        <w:t xml:space="preserve"> by</w:t>
      </w:r>
      <w:r>
        <w:rPr>
          <w:lang w:val="en-US"/>
        </w:rPr>
        <w:t xml:space="preserve"> </w:t>
      </w:r>
      <w:r w:rsidR="0077336D">
        <w:rPr>
          <w:lang w:val="en-US"/>
        </w:rPr>
        <w:t>WP29-171-06)</w:t>
      </w:r>
    </w:p>
    <w:p w:rsidR="001A5A55" w:rsidRPr="001A5A55" w:rsidRDefault="001A5A55" w:rsidP="001A5A55">
      <w:pPr>
        <w:rPr>
          <w:lang w:val="en-US"/>
        </w:rPr>
      </w:pPr>
    </w:p>
    <w:p w:rsidR="0092040C" w:rsidRDefault="0092040C" w:rsidP="00243DDC">
      <w:pPr>
        <w:pStyle w:val="HChG"/>
        <w:tabs>
          <w:tab w:val="clear" w:pos="851"/>
          <w:tab w:val="left" w:pos="1080"/>
        </w:tabs>
        <w:spacing w:before="120" w:line="240" w:lineRule="auto"/>
        <w:ind w:left="562" w:right="1138" w:firstLine="0"/>
        <w:rPr>
          <w:vertAlign w:val="superscript"/>
          <w:lang w:val="en-GB"/>
        </w:rPr>
      </w:pPr>
      <w:r>
        <w:rPr>
          <w:lang w:val="en-US"/>
        </w:rPr>
        <w:t>I.</w:t>
      </w:r>
      <w:r>
        <w:rPr>
          <w:sz w:val="24"/>
          <w:lang w:val="en-GB"/>
        </w:rPr>
        <w:tab/>
      </w:r>
      <w:r>
        <w:rPr>
          <w:lang w:val="en-GB"/>
        </w:rPr>
        <w:t>Proposal</w:t>
      </w:r>
    </w:p>
    <w:p w:rsidR="00875CB7" w:rsidRDefault="00875CB7" w:rsidP="00875CB7">
      <w:pPr>
        <w:pStyle w:val="SingleTxtG"/>
        <w:ind w:left="2268" w:hanging="1134"/>
        <w:rPr>
          <w:lang w:val="en-US"/>
        </w:rPr>
      </w:pPr>
      <w:r w:rsidRPr="003C4043">
        <w:rPr>
          <w:i/>
          <w:iCs/>
          <w:lang w:val="en-US"/>
        </w:rPr>
        <w:t>Insert a new paragraph 12</w:t>
      </w:r>
      <w:r>
        <w:rPr>
          <w:lang w:val="en-US"/>
        </w:rPr>
        <w:t>, to read:</w:t>
      </w:r>
    </w:p>
    <w:p w:rsidR="00875CB7" w:rsidRPr="00782F5B" w:rsidRDefault="00875CB7" w:rsidP="00875CB7">
      <w:pPr>
        <w:pStyle w:val="SingleTxtG"/>
        <w:ind w:left="2268" w:hanging="1134"/>
        <w:rPr>
          <w:lang w:val="en-US"/>
        </w:rPr>
      </w:pPr>
      <w:r w:rsidRPr="00782F5B">
        <w:rPr>
          <w:lang w:val="en-US"/>
        </w:rPr>
        <w:t>"12.</w:t>
      </w:r>
      <w:r w:rsidRPr="00782F5B">
        <w:rPr>
          <w:lang w:val="en-US"/>
        </w:rPr>
        <w:tab/>
        <w:t>Transitional provisions</w:t>
      </w:r>
    </w:p>
    <w:p w:rsidR="00875CB7" w:rsidRDefault="00875CB7" w:rsidP="00875CB7">
      <w:pPr>
        <w:pStyle w:val="SingleTxtG"/>
        <w:ind w:left="2268" w:hanging="1134"/>
        <w:rPr>
          <w:lang w:val="en-US"/>
        </w:rPr>
      </w:pPr>
      <w:r w:rsidRPr="00782F5B">
        <w:rPr>
          <w:lang w:val="en-US"/>
        </w:rPr>
        <w:t>12.1</w:t>
      </w:r>
      <w:r w:rsidRPr="00782F5B">
        <w:rPr>
          <w:lang w:val="en-US"/>
        </w:rPr>
        <w:tab/>
        <w:t xml:space="preserve">As from the official date of entry into force of the 02 series of amendments, no Contracting Party applying this </w:t>
      </w:r>
      <w:r w:rsidRPr="00782F5B">
        <w:rPr>
          <w:lang w:val="en-US" w:eastAsia="ja-JP"/>
        </w:rPr>
        <w:t xml:space="preserve">UN </w:t>
      </w:r>
      <w:r w:rsidRPr="00782F5B">
        <w:rPr>
          <w:lang w:val="en-US"/>
        </w:rPr>
        <w:t xml:space="preserve">Regulation shall refuse to grant or refuse to accept UN type approvals under this </w:t>
      </w:r>
      <w:r w:rsidRPr="00782F5B">
        <w:rPr>
          <w:lang w:val="en-US" w:eastAsia="ja-JP"/>
        </w:rPr>
        <w:t xml:space="preserve">UN </w:t>
      </w:r>
      <w:r w:rsidRPr="00782F5B">
        <w:rPr>
          <w:lang w:val="en-US"/>
        </w:rPr>
        <w:t>Regulation as amended by the 02 series of amendments.</w:t>
      </w:r>
    </w:p>
    <w:p w:rsidR="00C9387E" w:rsidRPr="002535C0" w:rsidRDefault="00875CB7" w:rsidP="00875CB7">
      <w:pPr>
        <w:pStyle w:val="SingleTxtG"/>
        <w:ind w:left="2268" w:hanging="1134"/>
        <w:rPr>
          <w:lang w:val="en-US"/>
        </w:rPr>
      </w:pPr>
      <w:r w:rsidRPr="00782F5B">
        <w:rPr>
          <w:lang w:val="en-US"/>
        </w:rPr>
        <w:t>12.2</w:t>
      </w:r>
      <w:r w:rsidRPr="00782F5B">
        <w:rPr>
          <w:lang w:val="en-US"/>
        </w:rPr>
        <w:tab/>
        <w:t xml:space="preserve">As </w:t>
      </w:r>
      <w:r w:rsidRPr="002535C0">
        <w:rPr>
          <w:lang w:val="en-US"/>
        </w:rPr>
        <w:t xml:space="preserve">from 1 </w:t>
      </w:r>
      <w:r w:rsidR="009F32B4" w:rsidRPr="002535C0">
        <w:rPr>
          <w:lang w:val="en-US"/>
        </w:rPr>
        <w:t>September</w:t>
      </w:r>
      <w:r w:rsidRPr="002535C0">
        <w:rPr>
          <w:lang w:val="en-US"/>
        </w:rPr>
        <w:t xml:space="preserve"> 2018, Contracting Parties applying this </w:t>
      </w:r>
      <w:r w:rsidRPr="002535C0">
        <w:rPr>
          <w:lang w:val="en-US" w:eastAsia="ja-JP"/>
        </w:rPr>
        <w:t xml:space="preserve">UN </w:t>
      </w:r>
      <w:r w:rsidRPr="002535C0">
        <w:rPr>
          <w:lang w:val="en-US"/>
        </w:rPr>
        <w:t xml:space="preserve">Regulation shall </w:t>
      </w:r>
      <w:r w:rsidR="00C9387E" w:rsidRPr="002535C0">
        <w:rPr>
          <w:lang w:val="en-GB"/>
        </w:rPr>
        <w:t>not be obliged to accept UN type-approvals to the preceding series of amendments, first issued after 1 September 2018.</w:t>
      </w:r>
    </w:p>
    <w:p w:rsidR="00C9387E" w:rsidRPr="002535C0" w:rsidRDefault="00875CB7" w:rsidP="00C9387E">
      <w:pPr>
        <w:spacing w:after="120"/>
        <w:ind w:left="2268" w:right="1134" w:hanging="1134"/>
        <w:jc w:val="both"/>
        <w:rPr>
          <w:rFonts w:eastAsia="MS Mincho"/>
          <w:b/>
          <w:lang w:val="en-GB" w:eastAsia="ja-JP"/>
        </w:rPr>
      </w:pPr>
      <w:r w:rsidRPr="002535C0">
        <w:rPr>
          <w:lang w:val="en-US"/>
        </w:rPr>
        <w:t>12.3</w:t>
      </w:r>
      <w:r w:rsidRPr="002535C0">
        <w:rPr>
          <w:lang w:val="en-US"/>
        </w:rPr>
        <w:tab/>
      </w:r>
      <w:r w:rsidR="00C9387E" w:rsidRPr="002535C0">
        <w:rPr>
          <w:lang w:val="en-US"/>
        </w:rPr>
        <w:t>Until</w:t>
      </w:r>
      <w:r w:rsidR="00C9387E" w:rsidRPr="002535C0">
        <w:rPr>
          <w:lang w:val="en-GB"/>
        </w:rPr>
        <w:t xml:space="preserve"> 1 September 2024, Contracting Parties applying this UN Regulation shall accept UN type-approvals to the preceding series of amendments, first issued before 1 September 2018</w:t>
      </w:r>
      <w:r w:rsidR="00C9387E" w:rsidRPr="002535C0">
        <w:rPr>
          <w:lang w:val="en-GB" w:eastAsia="ja-JP"/>
        </w:rPr>
        <w:t>.</w:t>
      </w:r>
    </w:p>
    <w:p w:rsidR="00C9387E" w:rsidRPr="002535C0" w:rsidRDefault="00C9387E" w:rsidP="00C9387E">
      <w:pPr>
        <w:spacing w:after="120"/>
        <w:ind w:left="2268" w:right="1134" w:hanging="1134"/>
        <w:jc w:val="both"/>
        <w:rPr>
          <w:lang w:val="en-GB"/>
        </w:rPr>
      </w:pPr>
      <w:r w:rsidRPr="002535C0">
        <w:rPr>
          <w:lang w:val="en-GB"/>
        </w:rPr>
        <w:t>12.4.</w:t>
      </w:r>
      <w:r w:rsidRPr="002535C0">
        <w:rPr>
          <w:lang w:val="en-GB"/>
        </w:rPr>
        <w:tab/>
        <w:t xml:space="preserve">As </w:t>
      </w:r>
      <w:r w:rsidRPr="002535C0">
        <w:rPr>
          <w:rFonts w:eastAsia="MS Mincho"/>
          <w:lang w:val="en-GB" w:eastAsia="ja-JP"/>
        </w:rPr>
        <w:t>from</w:t>
      </w:r>
      <w:r w:rsidRPr="002535C0">
        <w:rPr>
          <w:lang w:val="en-GB"/>
        </w:rPr>
        <w:t xml:space="preserve"> 1 September 2024, Contracting Parties applying this UN</w:t>
      </w:r>
      <w:r w:rsidRPr="002535C0">
        <w:rPr>
          <w:rFonts w:asciiTheme="minorEastAsia" w:hAnsiTheme="minorEastAsia"/>
          <w:lang w:val="en-GB" w:eastAsia="ja-JP"/>
        </w:rPr>
        <w:t xml:space="preserve"> </w:t>
      </w:r>
      <w:r w:rsidRPr="002535C0">
        <w:rPr>
          <w:lang w:val="en-GB"/>
        </w:rPr>
        <w:t>Regulation shall not be obliged to accept type-approvals issued to the preceding series of amendments to this Regulation.</w:t>
      </w:r>
    </w:p>
    <w:p w:rsidR="00E0396A" w:rsidRPr="002535C0" w:rsidRDefault="00E0396A" w:rsidP="00E0396A">
      <w:pPr>
        <w:suppressAutoHyphens w:val="0"/>
        <w:spacing w:after="120" w:line="240" w:lineRule="exact"/>
        <w:ind w:left="2268" w:right="1134" w:hanging="1134"/>
        <w:jc w:val="both"/>
        <w:rPr>
          <w:rFonts w:eastAsia="MS Mincho"/>
          <w:snapToGrid w:val="0"/>
          <w:lang w:val="en-GB" w:eastAsia="ja-JP"/>
        </w:rPr>
      </w:pPr>
      <w:r w:rsidRPr="002535C0">
        <w:rPr>
          <w:rFonts w:eastAsia="MS PGothic"/>
          <w:iCs/>
          <w:snapToGrid w:val="0"/>
          <w:lang w:val="en-GB" w:eastAsia="ja-JP"/>
        </w:rPr>
        <w:t>12.5.</w:t>
      </w:r>
      <w:r w:rsidRPr="002535C0">
        <w:rPr>
          <w:rFonts w:eastAsia="MS PGothic"/>
          <w:iCs/>
          <w:snapToGrid w:val="0"/>
          <w:lang w:val="en-GB" w:eastAsia="ja-JP"/>
        </w:rPr>
        <w:tab/>
        <w:t xml:space="preserve">Notwithstanding paragraph 12.4, </w:t>
      </w:r>
      <w:r w:rsidRPr="002535C0">
        <w:rPr>
          <w:rFonts w:eastAsia="MS Mincho"/>
          <w:snapToGrid w:val="0"/>
          <w:lang w:val="en-GB" w:eastAsia="ja-JP"/>
        </w:rPr>
        <w:t xml:space="preserve">Contracting Parties applying this UN Regulation shall continue to accept UN type-approvals </w:t>
      </w:r>
      <w:r w:rsidRPr="002535C0">
        <w:rPr>
          <w:lang w:val="en-GB"/>
        </w:rPr>
        <w:t>issued</w:t>
      </w:r>
      <w:r w:rsidRPr="002535C0">
        <w:rPr>
          <w:iCs/>
          <w:spacing w:val="-2"/>
          <w:lang w:val="en-GB" w:eastAsia="ja-JP"/>
        </w:rPr>
        <w:t xml:space="preserve"> </w:t>
      </w:r>
      <w:r w:rsidRPr="002535C0">
        <w:rPr>
          <w:lang w:val="en-GB"/>
        </w:rPr>
        <w:t>according</w:t>
      </w:r>
      <w:r w:rsidRPr="002535C0">
        <w:rPr>
          <w:iCs/>
          <w:spacing w:val="-2"/>
          <w:lang w:val="en-GB" w:eastAsia="ja-JP"/>
        </w:rPr>
        <w:t xml:space="preserve"> </w:t>
      </w:r>
      <w:r w:rsidRPr="002535C0">
        <w:rPr>
          <w:rFonts w:eastAsia="MS Mincho"/>
          <w:snapToGrid w:val="0"/>
          <w:lang w:val="en-GB" w:eastAsia="ja-JP"/>
        </w:rPr>
        <w:t>to the preceding series of amendments to this UN Regulation, for the vehicles/vehicle systems which are not affected by the changes introduced by the 02 series of amendments.</w:t>
      </w:r>
    </w:p>
    <w:p w:rsidR="00875CB7" w:rsidRDefault="00875CB7" w:rsidP="00875CB7">
      <w:pPr>
        <w:pStyle w:val="SingleTxtG"/>
        <w:ind w:left="2268" w:hanging="1134"/>
        <w:rPr>
          <w:lang w:val="en-US"/>
        </w:rPr>
      </w:pPr>
      <w:r w:rsidRPr="002535C0">
        <w:rPr>
          <w:lang w:val="en-US"/>
        </w:rPr>
        <w:t>12.6.</w:t>
      </w:r>
      <w:r w:rsidRPr="002535C0">
        <w:rPr>
          <w:lang w:val="en-US"/>
        </w:rPr>
        <w:tab/>
      </w:r>
      <w:r w:rsidR="006425D1">
        <w:rPr>
          <w:lang w:val="en-US"/>
        </w:rPr>
        <w:t>U</w:t>
      </w:r>
      <w:r w:rsidR="00A0157C">
        <w:rPr>
          <w:lang w:val="en-US"/>
        </w:rPr>
        <w:t>ntil</w:t>
      </w:r>
      <w:r w:rsidRPr="002535C0">
        <w:rPr>
          <w:lang w:val="en-GB"/>
        </w:rPr>
        <w:t xml:space="preserve"> 1 </w:t>
      </w:r>
      <w:r w:rsidR="008B02EA" w:rsidRPr="002535C0">
        <w:rPr>
          <w:lang w:val="en-GB"/>
        </w:rPr>
        <w:t>September</w:t>
      </w:r>
      <w:r w:rsidRPr="002535C0">
        <w:rPr>
          <w:lang w:val="en-GB"/>
        </w:rPr>
        <w:t xml:space="preserve"> 2020, type </w:t>
      </w:r>
      <w:r w:rsidR="00A0157C">
        <w:rPr>
          <w:lang w:val="en-GB"/>
        </w:rPr>
        <w:t>a</w:t>
      </w:r>
      <w:r w:rsidRPr="002535C0">
        <w:rPr>
          <w:lang w:val="en-GB"/>
        </w:rPr>
        <w:t xml:space="preserve">pprovals may be granted </w:t>
      </w:r>
      <w:r w:rsidR="00A0157C" w:rsidRPr="002535C0">
        <w:rPr>
          <w:lang w:val="en-GB"/>
        </w:rPr>
        <w:t>according</w:t>
      </w:r>
      <w:r w:rsidR="00A0157C" w:rsidRPr="002535C0">
        <w:rPr>
          <w:iCs/>
          <w:spacing w:val="-2"/>
          <w:lang w:val="en-GB" w:eastAsia="ja-JP"/>
        </w:rPr>
        <w:t xml:space="preserve"> </w:t>
      </w:r>
      <w:r w:rsidR="00A0157C">
        <w:rPr>
          <w:rFonts w:eastAsia="MS Mincho"/>
          <w:snapToGrid w:val="0"/>
          <w:lang w:val="en-GB" w:eastAsia="ja-JP"/>
        </w:rPr>
        <w:t>to the 02</w:t>
      </w:r>
      <w:r w:rsidR="00A0157C" w:rsidRPr="002535C0">
        <w:rPr>
          <w:rFonts w:eastAsia="MS Mincho"/>
          <w:snapToGrid w:val="0"/>
          <w:lang w:val="en-GB" w:eastAsia="ja-JP"/>
        </w:rPr>
        <w:t xml:space="preserve"> series of amendments to this UN Regulation</w:t>
      </w:r>
      <w:r w:rsidR="00A0157C" w:rsidRPr="002535C0">
        <w:rPr>
          <w:lang w:val="en-GB"/>
        </w:rPr>
        <w:t xml:space="preserve"> </w:t>
      </w:r>
      <w:r w:rsidRPr="002535C0">
        <w:rPr>
          <w:lang w:val="en-GB"/>
        </w:rPr>
        <w:t>to new vehicle types not complying with the red</w:t>
      </w:r>
      <w:r w:rsidRPr="00782F5B">
        <w:rPr>
          <w:lang w:val="en-GB"/>
        </w:rPr>
        <w:t xml:space="preserve"> colour for the hands-off warning signal, mandated in paragraph 5.6.2.2.5., and having multi information displays installed in the instrument cluster not capable of indicating red waning signals or using standalone tell-tales only</w:t>
      </w:r>
    </w:p>
    <w:p w:rsidR="00C9387E" w:rsidRPr="00E0396A" w:rsidRDefault="00E0396A" w:rsidP="00E0396A">
      <w:pPr>
        <w:suppressAutoHyphens w:val="0"/>
        <w:spacing w:after="120" w:line="240" w:lineRule="exact"/>
        <w:ind w:left="2268" w:right="1134" w:hanging="1134"/>
        <w:jc w:val="both"/>
        <w:rPr>
          <w:rFonts w:eastAsia="MS PGothic"/>
          <w:iCs/>
          <w:snapToGrid w:val="0"/>
          <w:lang w:val="en-GB" w:eastAsia="ja-JP"/>
        </w:rPr>
      </w:pPr>
      <w:r>
        <w:rPr>
          <w:rFonts w:eastAsia="MS PGothic"/>
          <w:iCs/>
          <w:snapToGrid w:val="0"/>
          <w:lang w:val="en-GB" w:eastAsia="ja-JP"/>
        </w:rPr>
        <w:t>12.7</w:t>
      </w:r>
      <w:r w:rsidR="00C9387E" w:rsidRPr="00E0396A">
        <w:rPr>
          <w:rFonts w:eastAsia="MS PGothic"/>
          <w:iCs/>
          <w:snapToGrid w:val="0"/>
          <w:lang w:val="en-GB" w:eastAsia="ja-JP"/>
        </w:rPr>
        <w:t>.</w:t>
      </w:r>
      <w:r w:rsidR="00C9387E" w:rsidRPr="00E0396A">
        <w:rPr>
          <w:rFonts w:eastAsia="MS PGothic"/>
          <w:iCs/>
          <w:snapToGrid w:val="0"/>
          <w:lang w:val="en-GB" w:eastAsia="ja-JP"/>
        </w:rPr>
        <w:tab/>
        <w:t>Contracting Parties applying this UN Regulation shall not refuse to grant UN type-approvals according to any preceding series of amendments to this UN Regulation or extensions thereof."</w:t>
      </w:r>
    </w:p>
    <w:p w:rsidR="00ED44DA" w:rsidRPr="001A5A55" w:rsidRDefault="00ED44DA" w:rsidP="00ED44DA">
      <w:pPr>
        <w:pStyle w:val="HChG"/>
        <w:tabs>
          <w:tab w:val="clear" w:pos="851"/>
          <w:tab w:val="left" w:pos="1080"/>
        </w:tabs>
        <w:spacing w:line="240" w:lineRule="auto"/>
        <w:ind w:left="567" w:firstLine="0"/>
        <w:rPr>
          <w:lang w:val="en-GB"/>
        </w:rPr>
      </w:pPr>
      <w:r>
        <w:rPr>
          <w:lang w:val="en-US"/>
        </w:rPr>
        <w:t>II.</w:t>
      </w:r>
      <w:r>
        <w:rPr>
          <w:sz w:val="24"/>
          <w:lang w:val="en-GB"/>
        </w:rPr>
        <w:tab/>
      </w:r>
      <w:r>
        <w:rPr>
          <w:lang w:val="en-GB"/>
        </w:rPr>
        <w:t>Justification</w:t>
      </w:r>
    </w:p>
    <w:p w:rsidR="005854F9" w:rsidRDefault="005854F9" w:rsidP="00243DDC">
      <w:pPr>
        <w:spacing w:after="120"/>
        <w:ind w:left="1080" w:right="999"/>
        <w:jc w:val="both"/>
        <w:rPr>
          <w:lang w:val="en-GB"/>
        </w:rPr>
      </w:pPr>
      <w:r w:rsidRPr="002535C0">
        <w:rPr>
          <w:lang w:val="en-GB"/>
        </w:rPr>
        <w:t xml:space="preserve">An agreement was reached in the ACSF informal group (shared by D, J, UK, F, S, NL, KOR, OICA, CLEPA), to </w:t>
      </w:r>
      <w:r w:rsidR="009F32B4" w:rsidRPr="002535C0">
        <w:rPr>
          <w:lang w:val="en-GB"/>
        </w:rPr>
        <w:t xml:space="preserve">introduce the requirements for CSF, ACSF-A and ACSF-B1 through a </w:t>
      </w:r>
      <w:r w:rsidRPr="002535C0">
        <w:rPr>
          <w:lang w:val="en-GB"/>
        </w:rPr>
        <w:t>supplement</w:t>
      </w:r>
      <w:r w:rsidR="009F32B4" w:rsidRPr="002535C0">
        <w:rPr>
          <w:lang w:val="en-GB"/>
        </w:rPr>
        <w:t xml:space="preserve"> to the current version of the regulation</w:t>
      </w:r>
      <w:r w:rsidRPr="002535C0">
        <w:rPr>
          <w:lang w:val="en-GB"/>
        </w:rPr>
        <w:t>, while taking care to explicitly clarify with GRRF and WP29 that the existing types and the</w:t>
      </w:r>
      <w:r w:rsidRPr="005854F9">
        <w:rPr>
          <w:lang w:val="en-GB"/>
        </w:rPr>
        <w:t>ir subsequent extensions won’t be affected by the new technical requirements (see informal document GRRF-83-21 for complete background). The target of the group was indeed to regulate new systems coming to the market, and not to impact existing systems.</w:t>
      </w:r>
    </w:p>
    <w:p w:rsidR="00875CB7" w:rsidRPr="005854F9" w:rsidRDefault="005854F9" w:rsidP="00243DDC">
      <w:pPr>
        <w:spacing w:after="120"/>
        <w:ind w:left="1080" w:right="999"/>
        <w:jc w:val="both"/>
        <w:rPr>
          <w:lang w:val="en-GB"/>
        </w:rPr>
      </w:pPr>
      <w:r w:rsidRPr="005854F9">
        <w:rPr>
          <w:lang w:val="en-GB"/>
        </w:rPr>
        <w:lastRenderedPageBreak/>
        <w:t>A</w:t>
      </w:r>
      <w:r w:rsidR="00875CB7" w:rsidRPr="005854F9">
        <w:rPr>
          <w:lang w:val="en-GB"/>
        </w:rPr>
        <w:t>t the end of the 83</w:t>
      </w:r>
      <w:r w:rsidR="00875CB7" w:rsidRPr="005854F9">
        <w:rPr>
          <w:vertAlign w:val="superscript"/>
          <w:lang w:val="en-GB"/>
        </w:rPr>
        <w:t>rd</w:t>
      </w:r>
      <w:r w:rsidR="00875CB7" w:rsidRPr="005854F9">
        <w:rPr>
          <w:lang w:val="en-GB"/>
        </w:rPr>
        <w:t xml:space="preserve"> session of GRRF, and contrary to the decision of the 82</w:t>
      </w:r>
      <w:r w:rsidR="00875CB7" w:rsidRPr="005854F9">
        <w:rPr>
          <w:vertAlign w:val="superscript"/>
          <w:lang w:val="en-GB"/>
        </w:rPr>
        <w:t>nd</w:t>
      </w:r>
      <w:r w:rsidR="00875CB7" w:rsidRPr="005854F9">
        <w:rPr>
          <w:lang w:val="en-GB"/>
        </w:rPr>
        <w:t xml:space="preserve"> session, it was </w:t>
      </w:r>
      <w:r w:rsidR="009F32B4">
        <w:rPr>
          <w:lang w:val="en-GB"/>
        </w:rPr>
        <w:t>decided</w:t>
      </w:r>
      <w:r w:rsidR="00875CB7" w:rsidRPr="005854F9">
        <w:rPr>
          <w:lang w:val="en-GB"/>
        </w:rPr>
        <w:t xml:space="preserve"> to introduce the provisions of GRRF-83-08 through a 02 series of amendment instead of a supplement 6 to 01 series. See extract from GRRF-82 report: “</w:t>
      </w:r>
      <w:r w:rsidR="00875CB7" w:rsidRPr="009F32B4">
        <w:rPr>
          <w:i/>
          <w:lang w:val="en-GB"/>
        </w:rPr>
        <w:t>56. GRRF adopted GRRF-82-12-Rev.3, subject to confirmation in January 2017 by GRRF, and requested the secretariat to submit it to WP.29 and AC.1 as a draft Supplement 6 to the 01 series of amendments to Regulation No. 79 (Steering equipment) for consider</w:t>
      </w:r>
      <w:r w:rsidRPr="009F32B4">
        <w:rPr>
          <w:i/>
          <w:lang w:val="en-GB"/>
        </w:rPr>
        <w:t>ation and vote in March 2017</w:t>
      </w:r>
      <w:r w:rsidRPr="005854F9">
        <w:rPr>
          <w:lang w:val="en-GB"/>
        </w:rPr>
        <w:t xml:space="preserve">.”. </w:t>
      </w:r>
      <w:r w:rsidR="00875CB7" w:rsidRPr="005854F9">
        <w:rPr>
          <w:lang w:val="en-GB"/>
        </w:rPr>
        <w:t>Informal document GRRF-83-08</w:t>
      </w:r>
      <w:r w:rsidRPr="005854F9">
        <w:rPr>
          <w:lang w:val="en-GB"/>
        </w:rPr>
        <w:t>-</w:t>
      </w:r>
      <w:r w:rsidR="00875CB7" w:rsidRPr="005854F9">
        <w:rPr>
          <w:lang w:val="en-GB"/>
        </w:rPr>
        <w:t xml:space="preserve">rev2 was adopted without transitional </w:t>
      </w:r>
      <w:r w:rsidRPr="005854F9">
        <w:rPr>
          <w:lang w:val="en-GB"/>
        </w:rPr>
        <w:t>provisions;</w:t>
      </w:r>
      <w:r w:rsidR="00875CB7" w:rsidRPr="005854F9">
        <w:rPr>
          <w:lang w:val="en-GB"/>
        </w:rPr>
        <w:t xml:space="preserve"> however, a discussion took place on the app</w:t>
      </w:r>
      <w:r w:rsidRPr="005854F9">
        <w:rPr>
          <w:lang w:val="en-GB"/>
        </w:rPr>
        <w:t>lication date to Existing types:</w:t>
      </w:r>
      <w:r w:rsidR="00875CB7" w:rsidRPr="005854F9">
        <w:rPr>
          <w:lang w:val="en-GB"/>
        </w:rPr>
        <w:t xml:space="preserve"> </w:t>
      </w:r>
      <w:r w:rsidRPr="005854F9">
        <w:rPr>
          <w:lang w:val="en-GB"/>
        </w:rPr>
        <w:t>t</w:t>
      </w:r>
      <w:r w:rsidR="009F32B4">
        <w:rPr>
          <w:lang w:val="en-GB"/>
        </w:rPr>
        <w:t xml:space="preserve">he European Commission </w:t>
      </w:r>
      <w:r w:rsidR="00875CB7" w:rsidRPr="005854F9">
        <w:rPr>
          <w:lang w:val="en-GB"/>
        </w:rPr>
        <w:t xml:space="preserve">proposed 2021, while industry suggested </w:t>
      </w:r>
      <w:r w:rsidR="00551323">
        <w:rPr>
          <w:lang w:val="en-GB"/>
        </w:rPr>
        <w:t xml:space="preserve">a date not earlier than </w:t>
      </w:r>
      <w:r w:rsidR="00875CB7" w:rsidRPr="005854F9">
        <w:rPr>
          <w:lang w:val="en-GB"/>
        </w:rPr>
        <w:t>2024, subject to confirmation.</w:t>
      </w:r>
    </w:p>
    <w:p w:rsidR="00875CB7" w:rsidRPr="002535C0" w:rsidRDefault="00875CB7" w:rsidP="00243DDC">
      <w:pPr>
        <w:spacing w:after="120"/>
        <w:ind w:left="1080" w:right="999"/>
        <w:jc w:val="both"/>
        <w:rPr>
          <w:lang w:val="en-GB"/>
        </w:rPr>
      </w:pPr>
      <w:r w:rsidRPr="002535C0">
        <w:rPr>
          <w:lang w:val="en-GB"/>
        </w:rPr>
        <w:t xml:space="preserve">Since GRRF-83 session, industry </w:t>
      </w:r>
      <w:r w:rsidR="002535C0" w:rsidRPr="002535C0">
        <w:rPr>
          <w:lang w:val="en-GB"/>
        </w:rPr>
        <w:t xml:space="preserve">confirmed the </w:t>
      </w:r>
      <w:r w:rsidRPr="002535C0">
        <w:rPr>
          <w:lang w:val="en-GB"/>
        </w:rPr>
        <w:t xml:space="preserve">date of 2024 for Existing Types. Apart from </w:t>
      </w:r>
      <w:r w:rsidR="005854F9" w:rsidRPr="002535C0">
        <w:rPr>
          <w:lang w:val="en-GB"/>
        </w:rPr>
        <w:t xml:space="preserve">the fact </w:t>
      </w:r>
      <w:r w:rsidRPr="002535C0">
        <w:rPr>
          <w:lang w:val="en-GB"/>
        </w:rPr>
        <w:t xml:space="preserve">that the </w:t>
      </w:r>
      <w:r w:rsidR="009F32B4" w:rsidRPr="002535C0">
        <w:rPr>
          <w:lang w:val="en-GB"/>
        </w:rPr>
        <w:t>decision of GRRF-82, subsequently confirmed by th</w:t>
      </w:r>
      <w:r w:rsidRPr="002535C0">
        <w:rPr>
          <w:lang w:val="en-GB"/>
        </w:rPr>
        <w:t>e ACSF informal group</w:t>
      </w:r>
      <w:r w:rsidR="009F32B4" w:rsidRPr="002535C0">
        <w:rPr>
          <w:lang w:val="en-GB"/>
        </w:rPr>
        <w:t>,</w:t>
      </w:r>
      <w:r w:rsidRPr="002535C0">
        <w:rPr>
          <w:lang w:val="en-GB"/>
        </w:rPr>
        <w:t xml:space="preserve"> </w:t>
      </w:r>
      <w:r w:rsidR="005854F9" w:rsidRPr="002535C0">
        <w:rPr>
          <w:lang w:val="en-GB"/>
        </w:rPr>
        <w:t xml:space="preserve">was to </w:t>
      </w:r>
      <w:r w:rsidR="009F32B4" w:rsidRPr="002535C0">
        <w:rPr>
          <w:lang w:val="en-GB"/>
        </w:rPr>
        <w:t>introduce the provisions by</w:t>
      </w:r>
      <w:r w:rsidR="005854F9" w:rsidRPr="002535C0">
        <w:rPr>
          <w:lang w:val="en-GB"/>
        </w:rPr>
        <w:t xml:space="preserve"> a supplement</w:t>
      </w:r>
      <w:r w:rsidR="00D35AB1" w:rsidRPr="002535C0">
        <w:rPr>
          <w:lang w:val="en-GB"/>
        </w:rPr>
        <w:t xml:space="preserve"> </w:t>
      </w:r>
      <w:r w:rsidR="005854F9" w:rsidRPr="002535C0">
        <w:rPr>
          <w:lang w:val="en-GB"/>
        </w:rPr>
        <w:t xml:space="preserve">and </w:t>
      </w:r>
      <w:r w:rsidR="00D35AB1" w:rsidRPr="002535C0">
        <w:rPr>
          <w:lang w:val="en-GB"/>
        </w:rPr>
        <w:t xml:space="preserve">to </w:t>
      </w:r>
      <w:r w:rsidRPr="002535C0">
        <w:rPr>
          <w:lang w:val="en-GB"/>
        </w:rPr>
        <w:t xml:space="preserve">clarify with GRRF that the existing types and their subsequent extensions won’t be affected, the justifications for </w:t>
      </w:r>
      <w:r w:rsidR="009F32B4" w:rsidRPr="002535C0">
        <w:rPr>
          <w:lang w:val="en-GB"/>
        </w:rPr>
        <w:t xml:space="preserve">a date of </w:t>
      </w:r>
      <w:r w:rsidRPr="002535C0">
        <w:rPr>
          <w:lang w:val="en-GB"/>
        </w:rPr>
        <w:t>2024</w:t>
      </w:r>
      <w:r w:rsidR="009F32B4" w:rsidRPr="002535C0">
        <w:rPr>
          <w:lang w:val="en-GB"/>
        </w:rPr>
        <w:t xml:space="preserve"> for the existing types</w:t>
      </w:r>
      <w:r w:rsidRPr="002535C0">
        <w:rPr>
          <w:lang w:val="en-GB"/>
        </w:rPr>
        <w:t xml:space="preserve"> are mainly based on the following technical and regulatory rationales:</w:t>
      </w:r>
    </w:p>
    <w:p w:rsidR="001170F1" w:rsidRPr="002535C0" w:rsidRDefault="008B02EA" w:rsidP="00243DDC">
      <w:pPr>
        <w:pStyle w:val="ListParagraph"/>
        <w:numPr>
          <w:ilvl w:val="0"/>
          <w:numId w:val="3"/>
        </w:numPr>
        <w:spacing w:after="120"/>
        <w:ind w:left="1620" w:right="999"/>
        <w:jc w:val="both"/>
        <w:rPr>
          <w:lang w:val="en-GB"/>
        </w:rPr>
      </w:pPr>
      <w:r w:rsidRPr="002535C0">
        <w:rPr>
          <w:lang w:val="en-GB"/>
        </w:rPr>
        <w:t xml:space="preserve">A date of introduction of April 2018 for New Types will </w:t>
      </w:r>
      <w:r w:rsidR="0014195C" w:rsidRPr="002535C0">
        <w:rPr>
          <w:lang w:val="en-GB"/>
        </w:rPr>
        <w:t xml:space="preserve">conflict with the forthcoming adoption of </w:t>
      </w:r>
      <w:r w:rsidR="001A5A55">
        <w:rPr>
          <w:lang w:val="en-GB"/>
        </w:rPr>
        <w:t>I</w:t>
      </w:r>
      <w:r w:rsidR="0014195C" w:rsidRPr="002535C0">
        <w:rPr>
          <w:lang w:val="en-GB"/>
        </w:rPr>
        <w:t xml:space="preserve">WVTA. </w:t>
      </w:r>
      <w:r w:rsidR="001170F1" w:rsidRPr="002535C0">
        <w:rPr>
          <w:lang w:val="en-GB"/>
        </w:rPr>
        <w:t>Industry hence proposes to turn this date to September 2018.</w:t>
      </w:r>
    </w:p>
    <w:p w:rsidR="0014195C" w:rsidRPr="002535C0" w:rsidRDefault="001170F1" w:rsidP="00243DDC">
      <w:pPr>
        <w:pStyle w:val="ListParagraph"/>
        <w:numPr>
          <w:ilvl w:val="0"/>
          <w:numId w:val="3"/>
        </w:numPr>
        <w:spacing w:after="120"/>
        <w:ind w:left="1620" w:right="999"/>
        <w:jc w:val="both"/>
        <w:rPr>
          <w:lang w:val="en-GB"/>
        </w:rPr>
      </w:pPr>
      <w:r w:rsidRPr="002535C0">
        <w:rPr>
          <w:lang w:val="en-GB"/>
        </w:rPr>
        <w:t xml:space="preserve">Furthermore, this would provide </w:t>
      </w:r>
      <w:r w:rsidR="002535C0" w:rsidRPr="002535C0">
        <w:rPr>
          <w:lang w:val="en-GB"/>
        </w:rPr>
        <w:t xml:space="preserve">slightly </w:t>
      </w:r>
      <w:r w:rsidRPr="002535C0">
        <w:rPr>
          <w:lang w:val="en-GB"/>
        </w:rPr>
        <w:t xml:space="preserve">more time for OEMs to comply with these requirements, especially for already frozen designs. </w:t>
      </w:r>
    </w:p>
    <w:p w:rsidR="00875CB7" w:rsidRPr="002535C0" w:rsidRDefault="00875CB7" w:rsidP="00243DDC">
      <w:pPr>
        <w:pStyle w:val="ListParagraph"/>
        <w:numPr>
          <w:ilvl w:val="0"/>
          <w:numId w:val="3"/>
        </w:numPr>
        <w:spacing w:after="120"/>
        <w:ind w:left="1620" w:right="999"/>
        <w:jc w:val="both"/>
        <w:rPr>
          <w:lang w:val="en-GB"/>
        </w:rPr>
      </w:pPr>
      <w:r w:rsidRPr="002535C0">
        <w:rPr>
          <w:lang w:val="en-GB"/>
        </w:rPr>
        <w:t xml:space="preserve">These new technical requirements impact 100% of the models equipped with CSF/ACSF functions, which represents 100% of the volumes </w:t>
      </w:r>
      <w:r w:rsidR="00D35AB1" w:rsidRPr="002535C0">
        <w:rPr>
          <w:lang w:val="en-GB"/>
        </w:rPr>
        <w:t xml:space="preserve">for </w:t>
      </w:r>
      <w:r w:rsidRPr="002535C0">
        <w:rPr>
          <w:lang w:val="en-GB"/>
        </w:rPr>
        <w:t>some OEMs, and almost all OEMs selling vehicles on the UNECE markets.</w:t>
      </w:r>
    </w:p>
    <w:p w:rsidR="00875CB7" w:rsidRPr="002535C0" w:rsidRDefault="00875CB7" w:rsidP="00243DDC">
      <w:pPr>
        <w:pStyle w:val="ListParagraph"/>
        <w:numPr>
          <w:ilvl w:val="0"/>
          <w:numId w:val="3"/>
        </w:numPr>
        <w:spacing w:after="120"/>
        <w:ind w:left="1620" w:right="999"/>
        <w:jc w:val="both"/>
        <w:rPr>
          <w:lang w:val="en-GB"/>
        </w:rPr>
      </w:pPr>
      <w:r w:rsidRPr="002535C0">
        <w:rPr>
          <w:lang w:val="en-GB"/>
        </w:rPr>
        <w:t>All CSF and ACSF functions existing today are impacted (i.e. not only LKAS but also lane departure avoidance, ESC by steering, side wind compensation, park assist, remote parking control etc.), as well as those which are ready for market introduction.</w:t>
      </w:r>
    </w:p>
    <w:p w:rsidR="00875CB7" w:rsidRPr="002535C0" w:rsidRDefault="00875CB7" w:rsidP="00243DDC">
      <w:pPr>
        <w:pStyle w:val="ListParagraph"/>
        <w:numPr>
          <w:ilvl w:val="0"/>
          <w:numId w:val="3"/>
        </w:numPr>
        <w:spacing w:after="120"/>
        <w:ind w:left="1620" w:right="999"/>
        <w:jc w:val="both"/>
        <w:rPr>
          <w:lang w:val="en-GB"/>
        </w:rPr>
      </w:pPr>
      <w:r w:rsidRPr="002535C0">
        <w:rPr>
          <w:lang w:val="en-GB"/>
        </w:rPr>
        <w:t>The technical impacts are heavy and will request industry to reapprove and redesign all these functions, for example in the case of LKAS:</w:t>
      </w:r>
    </w:p>
    <w:p w:rsidR="00875CB7" w:rsidRPr="002535C0" w:rsidRDefault="00875CB7" w:rsidP="00243DDC">
      <w:pPr>
        <w:pStyle w:val="ListParagraph"/>
        <w:numPr>
          <w:ilvl w:val="1"/>
          <w:numId w:val="3"/>
        </w:numPr>
        <w:spacing w:after="120"/>
        <w:ind w:left="2340" w:right="999" w:hanging="450"/>
        <w:jc w:val="both"/>
        <w:rPr>
          <w:lang w:val="en-GB"/>
        </w:rPr>
      </w:pPr>
      <w:r w:rsidRPr="002535C0">
        <w:rPr>
          <w:lang w:val="en-GB"/>
        </w:rPr>
        <w:t>Hands-off detection</w:t>
      </w:r>
    </w:p>
    <w:p w:rsidR="00875CB7" w:rsidRPr="002535C0" w:rsidRDefault="00875CB7" w:rsidP="00243DDC">
      <w:pPr>
        <w:pStyle w:val="ListParagraph"/>
        <w:numPr>
          <w:ilvl w:val="1"/>
          <w:numId w:val="3"/>
        </w:numPr>
        <w:spacing w:after="120"/>
        <w:ind w:left="2340" w:right="999" w:hanging="450"/>
        <w:jc w:val="both"/>
        <w:rPr>
          <w:lang w:val="en-GB"/>
        </w:rPr>
      </w:pPr>
      <w:r w:rsidRPr="002535C0">
        <w:rPr>
          <w:lang w:val="en-GB"/>
        </w:rPr>
        <w:t>Hardware and software changes to avoid false detection</w:t>
      </w:r>
    </w:p>
    <w:p w:rsidR="00875CB7" w:rsidRPr="002535C0" w:rsidRDefault="00875CB7" w:rsidP="00243DDC">
      <w:pPr>
        <w:pStyle w:val="ListParagraph"/>
        <w:numPr>
          <w:ilvl w:val="1"/>
          <w:numId w:val="3"/>
        </w:numPr>
        <w:spacing w:after="120"/>
        <w:ind w:left="2340" w:right="999" w:hanging="450"/>
        <w:jc w:val="both"/>
        <w:rPr>
          <w:lang w:val="en-GB"/>
        </w:rPr>
      </w:pPr>
      <w:r w:rsidRPr="002535C0">
        <w:rPr>
          <w:lang w:val="en-GB"/>
        </w:rPr>
        <w:t>Development and verification of new algorithms, new software etc.</w:t>
      </w:r>
    </w:p>
    <w:p w:rsidR="00875CB7" w:rsidRPr="002535C0" w:rsidRDefault="00875CB7" w:rsidP="00243DDC">
      <w:pPr>
        <w:pStyle w:val="ListParagraph"/>
        <w:numPr>
          <w:ilvl w:val="1"/>
          <w:numId w:val="3"/>
        </w:numPr>
        <w:spacing w:after="120"/>
        <w:ind w:left="2340" w:right="999" w:hanging="450"/>
        <w:jc w:val="both"/>
        <w:rPr>
          <w:lang w:val="en-GB"/>
        </w:rPr>
      </w:pPr>
      <w:r w:rsidRPr="002535C0">
        <w:rPr>
          <w:lang w:val="en-GB"/>
        </w:rPr>
        <w:t>On-road validation of system robustness</w:t>
      </w:r>
    </w:p>
    <w:p w:rsidR="00875CB7" w:rsidRPr="002535C0" w:rsidRDefault="00875CB7" w:rsidP="00243DDC">
      <w:pPr>
        <w:pStyle w:val="ListParagraph"/>
        <w:numPr>
          <w:ilvl w:val="1"/>
          <w:numId w:val="3"/>
        </w:numPr>
        <w:spacing w:after="120"/>
        <w:ind w:left="2340" w:right="999" w:hanging="450"/>
        <w:jc w:val="both"/>
        <w:rPr>
          <w:lang w:val="en-GB"/>
        </w:rPr>
      </w:pPr>
      <w:r w:rsidRPr="002535C0">
        <w:rPr>
          <w:lang w:val="en-GB"/>
        </w:rPr>
        <w:t>Modification of the instrument cluster</w:t>
      </w:r>
    </w:p>
    <w:p w:rsidR="00875CB7" w:rsidRPr="002535C0" w:rsidRDefault="00875CB7" w:rsidP="00243DDC">
      <w:pPr>
        <w:pStyle w:val="ListParagraph"/>
        <w:numPr>
          <w:ilvl w:val="1"/>
          <w:numId w:val="3"/>
        </w:numPr>
        <w:spacing w:after="120"/>
        <w:ind w:left="2340" w:right="999" w:hanging="450"/>
        <w:jc w:val="both"/>
        <w:rPr>
          <w:lang w:val="en-GB"/>
        </w:rPr>
      </w:pPr>
      <w:r w:rsidRPr="002535C0">
        <w:rPr>
          <w:lang w:val="en-GB"/>
        </w:rPr>
        <w:t>Implementation of new test procedu</w:t>
      </w:r>
      <w:r w:rsidR="00D35AB1" w:rsidRPr="002535C0">
        <w:rPr>
          <w:lang w:val="en-GB"/>
        </w:rPr>
        <w:t>res possibly on new test tracks (@ OEM and technical Sces)</w:t>
      </w:r>
    </w:p>
    <w:p w:rsidR="00875CB7" w:rsidRPr="002535C0" w:rsidRDefault="009F32B4" w:rsidP="00243DDC">
      <w:pPr>
        <w:pStyle w:val="ListParagraph"/>
        <w:numPr>
          <w:ilvl w:val="1"/>
          <w:numId w:val="3"/>
        </w:numPr>
        <w:spacing w:after="120"/>
        <w:ind w:left="2340" w:right="999" w:hanging="450"/>
        <w:jc w:val="both"/>
        <w:rPr>
          <w:lang w:val="en-GB"/>
        </w:rPr>
      </w:pPr>
      <w:r w:rsidRPr="002535C0">
        <w:rPr>
          <w:lang w:val="en-GB"/>
        </w:rPr>
        <w:t>Reapproving</w:t>
      </w:r>
      <w:r w:rsidR="00875CB7" w:rsidRPr="002535C0">
        <w:rPr>
          <w:lang w:val="en-GB"/>
        </w:rPr>
        <w:t xml:space="preserve"> some CSF functions as ACSF.</w:t>
      </w:r>
    </w:p>
    <w:p w:rsidR="00D35AB1" w:rsidRPr="002535C0" w:rsidRDefault="00D35AB1" w:rsidP="00243DDC">
      <w:pPr>
        <w:pStyle w:val="ListParagraph"/>
        <w:numPr>
          <w:ilvl w:val="1"/>
          <w:numId w:val="3"/>
        </w:numPr>
        <w:spacing w:after="120"/>
        <w:ind w:left="2340" w:right="999" w:hanging="450"/>
        <w:jc w:val="both"/>
        <w:rPr>
          <w:lang w:val="en-GB"/>
        </w:rPr>
      </w:pPr>
      <w:r w:rsidRPr="002535C0">
        <w:rPr>
          <w:lang w:val="en-GB"/>
        </w:rPr>
        <w:t>Industrial, commercial and After-sale impacts</w:t>
      </w:r>
    </w:p>
    <w:p w:rsidR="00875CB7" w:rsidRPr="002535C0" w:rsidRDefault="00875CB7" w:rsidP="00243DDC">
      <w:pPr>
        <w:pStyle w:val="ListParagraph"/>
        <w:numPr>
          <w:ilvl w:val="0"/>
          <w:numId w:val="3"/>
        </w:numPr>
        <w:spacing w:after="120"/>
        <w:ind w:left="1620" w:right="999"/>
        <w:jc w:val="both"/>
        <w:rPr>
          <w:lang w:val="en-GB"/>
        </w:rPr>
      </w:pPr>
      <w:r w:rsidRPr="002535C0">
        <w:rPr>
          <w:lang w:val="en-GB"/>
        </w:rPr>
        <w:t xml:space="preserve">Some current CSF functions </w:t>
      </w:r>
      <w:r w:rsidR="00D35AB1" w:rsidRPr="002535C0">
        <w:rPr>
          <w:lang w:val="en-GB"/>
        </w:rPr>
        <w:t xml:space="preserve">may </w:t>
      </w:r>
      <w:r w:rsidRPr="002535C0">
        <w:rPr>
          <w:lang w:val="en-GB"/>
        </w:rPr>
        <w:t xml:space="preserve">no longer </w:t>
      </w:r>
      <w:r w:rsidR="00D35AB1" w:rsidRPr="002535C0">
        <w:rPr>
          <w:lang w:val="en-GB"/>
        </w:rPr>
        <w:t xml:space="preserve">be </w:t>
      </w:r>
      <w:r w:rsidRPr="002535C0">
        <w:rPr>
          <w:lang w:val="en-GB"/>
        </w:rPr>
        <w:t>covered by the new CSF definition</w:t>
      </w:r>
      <w:r w:rsidR="00D35AB1" w:rsidRPr="002535C0">
        <w:rPr>
          <w:lang w:val="en-GB"/>
        </w:rPr>
        <w:t xml:space="preserve">, </w:t>
      </w:r>
      <w:r w:rsidRPr="002535C0">
        <w:rPr>
          <w:lang w:val="en-GB"/>
        </w:rPr>
        <w:t xml:space="preserve">e.g. Emergency steering functions </w:t>
      </w:r>
      <w:r w:rsidR="00D35AB1" w:rsidRPr="002535C0">
        <w:rPr>
          <w:lang w:val="en-GB"/>
        </w:rPr>
        <w:t>(</w:t>
      </w:r>
      <w:r w:rsidRPr="002535C0">
        <w:rPr>
          <w:lang w:val="en-GB"/>
        </w:rPr>
        <w:t xml:space="preserve">ESF), which </w:t>
      </w:r>
      <w:r w:rsidR="00D35AB1" w:rsidRPr="002535C0">
        <w:rPr>
          <w:lang w:val="en-GB"/>
        </w:rPr>
        <w:t>will create</w:t>
      </w:r>
      <w:r w:rsidRPr="002535C0">
        <w:rPr>
          <w:lang w:val="en-GB"/>
        </w:rPr>
        <w:t xml:space="preserve"> a problem when reapproving the vehicles</w:t>
      </w:r>
      <w:r w:rsidR="00D35AB1" w:rsidRPr="002535C0">
        <w:rPr>
          <w:lang w:val="en-GB"/>
        </w:rPr>
        <w:t xml:space="preserve"> to the 02 series</w:t>
      </w:r>
      <w:r w:rsidRPr="002535C0">
        <w:rPr>
          <w:lang w:val="en-GB"/>
        </w:rPr>
        <w:t>, the issue being that the provisions for these ESF functions are undefined today.</w:t>
      </w:r>
      <w:bookmarkStart w:id="0" w:name="_GoBack"/>
      <w:bookmarkEnd w:id="0"/>
    </w:p>
    <w:p w:rsidR="00875CB7" w:rsidRDefault="00D35AB1" w:rsidP="00243DDC">
      <w:pPr>
        <w:spacing w:after="120"/>
        <w:ind w:left="1080" w:right="999"/>
        <w:jc w:val="both"/>
        <w:rPr>
          <w:lang w:val="en-GB"/>
        </w:rPr>
      </w:pPr>
      <w:r w:rsidRPr="002535C0">
        <w:rPr>
          <w:lang w:val="en-GB"/>
        </w:rPr>
        <w:t>As a consequence, a</w:t>
      </w:r>
      <w:r w:rsidR="00875CB7" w:rsidRPr="002535C0">
        <w:rPr>
          <w:lang w:val="en-GB"/>
        </w:rPr>
        <w:t xml:space="preserve">n earlier date than 2024 may lead to temporarily remove some functions/models from the market, which would on the principle </w:t>
      </w:r>
      <w:r w:rsidR="008B02EA" w:rsidRPr="002535C0">
        <w:rPr>
          <w:lang w:val="en-GB"/>
        </w:rPr>
        <w:t>jeopardise</w:t>
      </w:r>
      <w:r w:rsidR="00875CB7" w:rsidRPr="002535C0">
        <w:rPr>
          <w:lang w:val="en-GB"/>
        </w:rPr>
        <w:t xml:space="preserve"> systems which are </w:t>
      </w:r>
      <w:r w:rsidRPr="002535C0">
        <w:rPr>
          <w:lang w:val="en-GB"/>
        </w:rPr>
        <w:t>often</w:t>
      </w:r>
      <w:r w:rsidR="00875CB7" w:rsidRPr="002535C0">
        <w:rPr>
          <w:lang w:val="en-GB"/>
        </w:rPr>
        <w:t xml:space="preserve"> beneficial for safety, </w:t>
      </w:r>
      <w:r w:rsidRPr="002535C0">
        <w:rPr>
          <w:lang w:val="en-GB"/>
        </w:rPr>
        <w:t xml:space="preserve">while </w:t>
      </w:r>
      <w:r w:rsidR="00875CB7" w:rsidRPr="002535C0">
        <w:rPr>
          <w:lang w:val="en-GB"/>
        </w:rPr>
        <w:t xml:space="preserve">never detrimental. Such a situation is not acceptable for industry, all the more as </w:t>
      </w:r>
      <w:r w:rsidR="00C97071" w:rsidRPr="002535C0">
        <w:rPr>
          <w:lang w:val="en-GB"/>
        </w:rPr>
        <w:t>one</w:t>
      </w:r>
      <w:r w:rsidR="00875CB7" w:rsidRPr="002535C0">
        <w:rPr>
          <w:lang w:val="en-GB"/>
        </w:rPr>
        <w:t xml:space="preserve"> target of the group was to regulate new systems coming to the market, and not to heavily impact existing systems which are beneficial for safety</w:t>
      </w:r>
      <w:r w:rsidR="00875CB7">
        <w:rPr>
          <w:lang w:val="en-GB"/>
        </w:rPr>
        <w:t xml:space="preserve"> (</w:t>
      </w:r>
      <w:r w:rsidR="00551323">
        <w:rPr>
          <w:lang w:val="en-GB"/>
        </w:rPr>
        <w:t xml:space="preserve">e.g. </w:t>
      </w:r>
      <w:r w:rsidR="00875CB7">
        <w:rPr>
          <w:lang w:val="en-GB"/>
        </w:rPr>
        <w:t>with short lead-times leading to deletion from the market).</w:t>
      </w:r>
    </w:p>
    <w:p w:rsidR="00243DDC" w:rsidRDefault="002535C0" w:rsidP="00243DDC">
      <w:pPr>
        <w:spacing w:after="120"/>
        <w:ind w:left="1080" w:right="999"/>
        <w:jc w:val="both"/>
        <w:rPr>
          <w:lang w:val="en-GB"/>
        </w:rPr>
      </w:pPr>
      <w:r>
        <w:rPr>
          <w:lang w:val="en-GB"/>
        </w:rPr>
        <w:t>Finally, OICA proposes to use the standard wording for transitional provisions, as agreed in the IWVTA informal group, taking into account that Revision 3 to the 1958 Agreement is due to enter into force on 15 September 2017.</w:t>
      </w:r>
    </w:p>
    <w:p w:rsidR="001A5A55" w:rsidRPr="00875CB7" w:rsidRDefault="001A5A55" w:rsidP="00243DDC">
      <w:pPr>
        <w:spacing w:after="120"/>
        <w:ind w:left="1080" w:right="999"/>
        <w:jc w:val="center"/>
        <w:rPr>
          <w:lang w:val="en-GB"/>
        </w:rPr>
      </w:pPr>
      <w:r>
        <w:rPr>
          <w:lang w:val="en-GB"/>
        </w:rPr>
        <w:t>__________</w:t>
      </w:r>
    </w:p>
    <w:sectPr w:rsidR="001A5A55" w:rsidRPr="00875CB7" w:rsidSect="00676449">
      <w:headerReference w:type="even" r:id="rId8"/>
      <w:footerReference w:type="even" r:id="rId9"/>
      <w:footerReference w:type="default" r:id="rId10"/>
      <w:headerReference w:type="first" r:id="rId11"/>
      <w:foot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97" w:rsidRDefault="003F2D97" w:rsidP="0082180C">
      <w:pPr>
        <w:spacing w:line="240" w:lineRule="auto"/>
      </w:pPr>
      <w:r>
        <w:separator/>
      </w:r>
    </w:p>
  </w:endnote>
  <w:endnote w:type="continuationSeparator" w:id="0">
    <w:p w:rsidR="003F2D97" w:rsidRDefault="003F2D97" w:rsidP="00821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CA7AB9" w:rsidP="009A6A9E">
    <w:pPr>
      <w:pStyle w:val="Footer"/>
      <w:tabs>
        <w:tab w:val="right" w:pos="9638"/>
      </w:tabs>
    </w:pPr>
    <w:r>
      <w:fldChar w:fldCharType="begin"/>
    </w:r>
    <w:r>
      <w:instrText xml:space="preserve"> PAGE  \* MERGEFORMAT </w:instrText>
    </w:r>
    <w:r>
      <w:fldChar w:fldCharType="separate"/>
    </w:r>
    <w:r w:rsidR="00676449" w:rsidRPr="00676449">
      <w:rPr>
        <w:b/>
        <w:noProof/>
        <w:sz w:val="18"/>
      </w:rPr>
      <w:t>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BD5A6B" w:rsidP="009A6A9E">
    <w:pPr>
      <w:pStyle w:val="Footer"/>
      <w:tabs>
        <w:tab w:val="right" w:pos="9638"/>
      </w:tabs>
      <w:rPr>
        <w:b/>
        <w:sz w:val="18"/>
      </w:rPr>
    </w:pPr>
    <w:r>
      <w:tab/>
    </w:r>
    <w:r w:rsidR="00CA7AB9">
      <w:fldChar w:fldCharType="begin"/>
    </w:r>
    <w:r w:rsidR="00CA7AB9">
      <w:instrText xml:space="preserve"> PAGE  \* MERGEFORMAT </w:instrText>
    </w:r>
    <w:r w:rsidR="00CA7AB9">
      <w:fldChar w:fldCharType="separate"/>
    </w:r>
    <w:r w:rsidR="00676449" w:rsidRPr="00676449">
      <w:rPr>
        <w:b/>
        <w:noProof/>
        <w:sz w:val="18"/>
      </w:rPr>
      <w:t>2</w:t>
    </w:r>
    <w:r w:rsidR="00CA7AB9">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49" w:rsidRPr="00676449" w:rsidRDefault="00676449" w:rsidP="00676449">
    <w:pPr>
      <w:spacing w:line="240" w:lineRule="auto"/>
      <w:jc w:val="right"/>
      <w:rPr>
        <w:b/>
        <w:lang w:val="en-GB"/>
      </w:rPr>
    </w:pPr>
    <w:r w:rsidRPr="00884F75">
      <w:rPr>
        <w:b/>
        <w:lang w:val="en-GB"/>
      </w:rPr>
      <w:fldChar w:fldCharType="begin"/>
    </w:r>
    <w:r w:rsidRPr="00884F75">
      <w:rPr>
        <w:b/>
        <w:lang w:val="en-GB"/>
      </w:rPr>
      <w:instrText xml:space="preserve"> PAGE   \* MERGEFORMAT </w:instrText>
    </w:r>
    <w:r w:rsidRPr="00884F75">
      <w:rPr>
        <w:b/>
        <w:lang w:val="en-GB"/>
      </w:rPr>
      <w:fldChar w:fldCharType="separate"/>
    </w:r>
    <w:r>
      <w:rPr>
        <w:b/>
        <w:noProof/>
        <w:lang w:val="en-GB"/>
      </w:rPr>
      <w:t>1</w:t>
    </w:r>
    <w:r w:rsidRPr="00884F75">
      <w:rPr>
        <w:b/>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97" w:rsidRDefault="003F2D97" w:rsidP="0082180C">
      <w:pPr>
        <w:spacing w:line="240" w:lineRule="auto"/>
      </w:pPr>
      <w:r>
        <w:separator/>
      </w:r>
    </w:p>
  </w:footnote>
  <w:footnote w:type="continuationSeparator" w:id="0">
    <w:p w:rsidR="003F2D97" w:rsidRDefault="003F2D97" w:rsidP="00821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676449" w:rsidRDefault="00676449" w:rsidP="00676449">
    <w:pPr>
      <w:pBdr>
        <w:bottom w:val="single" w:sz="4" w:space="1" w:color="auto"/>
      </w:pBdr>
      <w:spacing w:line="240" w:lineRule="auto"/>
      <w:rPr>
        <w:b/>
        <w:sz w:val="18"/>
        <w:lang w:val="en-GB"/>
      </w:rPr>
    </w:pPr>
    <w:r w:rsidRPr="00884F75">
      <w:rPr>
        <w:b/>
        <w:sz w:val="18"/>
      </w:rPr>
      <w:t>WP.29-17</w:t>
    </w:r>
    <w:r>
      <w:rPr>
        <w:b/>
        <w:sz w:val="18"/>
      </w:rPr>
      <w:t>1</w:t>
    </w:r>
    <w:r w:rsidRPr="00884F75">
      <w:rPr>
        <w:b/>
        <w:sz w:val="18"/>
      </w:rPr>
      <w:t>-</w:t>
    </w:r>
    <w:r>
      <w:rPr>
        <w:b/>
        <w:sz w:val="18"/>
      </w:rPr>
      <w:t>2</w:t>
    </w:r>
    <w:r>
      <w:rPr>
        <w:b/>
        <w:sz w:val="18"/>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Look w:val="04A0" w:firstRow="1" w:lastRow="0" w:firstColumn="1" w:lastColumn="0" w:noHBand="0" w:noVBand="1"/>
    </w:tblPr>
    <w:tblGrid>
      <w:gridCol w:w="5148"/>
      <w:gridCol w:w="4700"/>
    </w:tblGrid>
    <w:tr w:rsidR="005B5DAD" w:rsidRPr="00243DDC">
      <w:tc>
        <w:tcPr>
          <w:tcW w:w="5148" w:type="dxa"/>
        </w:tcPr>
        <w:p w:rsidR="005B5DAD" w:rsidRPr="0092040C" w:rsidRDefault="005B5DAD" w:rsidP="00E00B09">
          <w:pPr>
            <w:ind w:left="120"/>
            <w:rPr>
              <w:lang w:val="en-US"/>
            </w:rPr>
          </w:pPr>
          <w:r w:rsidRPr="0092040C">
            <w:rPr>
              <w:lang w:val="en-US"/>
            </w:rPr>
            <w:t xml:space="preserve">Submitted </w:t>
          </w:r>
          <w:r w:rsidR="00E00B09" w:rsidRPr="0092040C">
            <w:rPr>
              <w:lang w:val="en-US"/>
            </w:rPr>
            <w:t>the experts from OICA</w:t>
          </w:r>
        </w:p>
      </w:tc>
      <w:tc>
        <w:tcPr>
          <w:tcW w:w="4700" w:type="dxa"/>
        </w:tcPr>
        <w:p w:rsidR="005B5DAD" w:rsidRPr="0092040C" w:rsidRDefault="0030567C" w:rsidP="00BF7F15">
          <w:pPr>
            <w:ind w:left="120"/>
            <w:rPr>
              <w:b/>
              <w:bCs/>
              <w:lang w:val="en-US"/>
            </w:rPr>
          </w:pPr>
          <w:r w:rsidRPr="0092040C">
            <w:rPr>
              <w:u w:val="single"/>
              <w:lang w:val="en-US"/>
            </w:rPr>
            <w:t>Informal document</w:t>
          </w:r>
          <w:r w:rsidRPr="0092040C">
            <w:rPr>
              <w:lang w:val="en-US"/>
            </w:rPr>
            <w:t xml:space="preserve"> </w:t>
          </w:r>
          <w:r w:rsidR="0092040C">
            <w:rPr>
              <w:b/>
              <w:bCs/>
              <w:lang w:val="en-US"/>
            </w:rPr>
            <w:t>WP29-171-</w:t>
          </w:r>
          <w:r w:rsidR="00676449">
            <w:rPr>
              <w:b/>
              <w:bCs/>
              <w:lang w:val="en-US"/>
            </w:rPr>
            <w:t>28</w:t>
          </w:r>
        </w:p>
        <w:p w:rsidR="005B5DAD" w:rsidRPr="0092040C" w:rsidRDefault="0092040C" w:rsidP="005B5DAD">
          <w:pPr>
            <w:pStyle w:val="Header"/>
            <w:pBdr>
              <w:bottom w:val="none" w:sz="0" w:space="0" w:color="auto"/>
            </w:pBdr>
            <w:ind w:left="120"/>
            <w:rPr>
              <w:b w:val="0"/>
              <w:bCs/>
              <w:sz w:val="20"/>
              <w:lang w:val="en-US"/>
            </w:rPr>
          </w:pPr>
          <w:r w:rsidRPr="0092040C">
            <w:rPr>
              <w:b w:val="0"/>
              <w:lang w:val="pt-BR"/>
            </w:rPr>
            <w:t>(171st WP.29, 14-17 March 2017,</w:t>
          </w:r>
          <w:r w:rsidRPr="0092040C">
            <w:rPr>
              <w:b w:val="0"/>
              <w:lang w:val="pt-BR"/>
            </w:rPr>
            <w:br/>
            <w:t xml:space="preserve">agenda item </w:t>
          </w:r>
          <w:r>
            <w:rPr>
              <w:b w:val="0"/>
              <w:lang w:val="pt-BR"/>
            </w:rPr>
            <w:t>4.7.3.</w:t>
          </w:r>
          <w:r w:rsidRPr="0092040C">
            <w:rPr>
              <w:b w:val="0"/>
              <w:lang w:val="pt-BR"/>
            </w:rPr>
            <w:t>)</w:t>
          </w:r>
        </w:p>
      </w:tc>
    </w:tr>
  </w:tbl>
  <w:p w:rsidR="005B5DAD" w:rsidRPr="005B5DAD" w:rsidRDefault="005B5DAD" w:rsidP="005B5DAD">
    <w:pPr>
      <w:pStyle w:val="Header"/>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E07"/>
    <w:multiLevelType w:val="hybridMultilevel"/>
    <w:tmpl w:val="60900ED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6DFF14D3"/>
    <w:multiLevelType w:val="hybridMultilevel"/>
    <w:tmpl w:val="54360F6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7239361A"/>
    <w:multiLevelType w:val="hybridMultilevel"/>
    <w:tmpl w:val="80B42040"/>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0C"/>
    <w:rsid w:val="000955CF"/>
    <w:rsid w:val="000B08F8"/>
    <w:rsid w:val="000B35A4"/>
    <w:rsid w:val="000C2C70"/>
    <w:rsid w:val="000D72CB"/>
    <w:rsid w:val="000E5301"/>
    <w:rsid w:val="000E644D"/>
    <w:rsid w:val="00104B2B"/>
    <w:rsid w:val="001170F1"/>
    <w:rsid w:val="0014195C"/>
    <w:rsid w:val="001A5A55"/>
    <w:rsid w:val="00223D9D"/>
    <w:rsid w:val="00233A9B"/>
    <w:rsid w:val="00243DDC"/>
    <w:rsid w:val="002535C0"/>
    <w:rsid w:val="00291C0E"/>
    <w:rsid w:val="002B1A85"/>
    <w:rsid w:val="002B40AD"/>
    <w:rsid w:val="002E071E"/>
    <w:rsid w:val="002F3B22"/>
    <w:rsid w:val="0030567C"/>
    <w:rsid w:val="00360FE7"/>
    <w:rsid w:val="00392A2E"/>
    <w:rsid w:val="003C4043"/>
    <w:rsid w:val="003F2D97"/>
    <w:rsid w:val="004124D9"/>
    <w:rsid w:val="004222A0"/>
    <w:rsid w:val="004322A3"/>
    <w:rsid w:val="004378FD"/>
    <w:rsid w:val="004421DC"/>
    <w:rsid w:val="004C0C26"/>
    <w:rsid w:val="004E6C4C"/>
    <w:rsid w:val="004F7B64"/>
    <w:rsid w:val="005138D9"/>
    <w:rsid w:val="0051429D"/>
    <w:rsid w:val="00551323"/>
    <w:rsid w:val="00575111"/>
    <w:rsid w:val="005854F9"/>
    <w:rsid w:val="00593D2C"/>
    <w:rsid w:val="005B3E33"/>
    <w:rsid w:val="005B5DAD"/>
    <w:rsid w:val="005C1F60"/>
    <w:rsid w:val="005E7A21"/>
    <w:rsid w:val="00616286"/>
    <w:rsid w:val="006425D1"/>
    <w:rsid w:val="00671A4C"/>
    <w:rsid w:val="00676449"/>
    <w:rsid w:val="007400CA"/>
    <w:rsid w:val="0077336D"/>
    <w:rsid w:val="0078706D"/>
    <w:rsid w:val="007C4B9A"/>
    <w:rsid w:val="007C4F82"/>
    <w:rsid w:val="008034AE"/>
    <w:rsid w:val="0082180C"/>
    <w:rsid w:val="008651BD"/>
    <w:rsid w:val="00867D84"/>
    <w:rsid w:val="00875CB7"/>
    <w:rsid w:val="00895DF7"/>
    <w:rsid w:val="008B02EA"/>
    <w:rsid w:val="00905833"/>
    <w:rsid w:val="00905FF1"/>
    <w:rsid w:val="0092040C"/>
    <w:rsid w:val="00964CB5"/>
    <w:rsid w:val="009978F2"/>
    <w:rsid w:val="009A1835"/>
    <w:rsid w:val="009F32B4"/>
    <w:rsid w:val="00A0157C"/>
    <w:rsid w:val="00A16745"/>
    <w:rsid w:val="00A619FD"/>
    <w:rsid w:val="00A72D11"/>
    <w:rsid w:val="00A87F35"/>
    <w:rsid w:val="00B2326C"/>
    <w:rsid w:val="00B26A25"/>
    <w:rsid w:val="00B27103"/>
    <w:rsid w:val="00B43B80"/>
    <w:rsid w:val="00B55C0B"/>
    <w:rsid w:val="00BD5A6B"/>
    <w:rsid w:val="00C13D35"/>
    <w:rsid w:val="00C15EB4"/>
    <w:rsid w:val="00C37694"/>
    <w:rsid w:val="00C9387E"/>
    <w:rsid w:val="00C97071"/>
    <w:rsid w:val="00CA4169"/>
    <w:rsid w:val="00CA7AB9"/>
    <w:rsid w:val="00CD0F3D"/>
    <w:rsid w:val="00CE2B50"/>
    <w:rsid w:val="00CF532B"/>
    <w:rsid w:val="00D20F53"/>
    <w:rsid w:val="00D35AB1"/>
    <w:rsid w:val="00D9307A"/>
    <w:rsid w:val="00E00B09"/>
    <w:rsid w:val="00E0396A"/>
    <w:rsid w:val="00E37DF5"/>
    <w:rsid w:val="00E404F7"/>
    <w:rsid w:val="00E57EC7"/>
    <w:rsid w:val="00EB1BC7"/>
    <w:rsid w:val="00EB71F2"/>
    <w:rsid w:val="00ED44DA"/>
    <w:rsid w:val="00EE16B3"/>
    <w:rsid w:val="00F14341"/>
    <w:rsid w:val="00F35823"/>
    <w:rsid w:val="00F874D5"/>
    <w:rsid w:val="00FA3F28"/>
    <w:rsid w:val="00FB3EDF"/>
    <w:rsid w:val="00FD1A5C"/>
    <w:rsid w:val="00FE72D3"/>
    <w:rsid w:val="00FF2C9C"/>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6B84"/>
  <w15:docId w15:val="{90D93C0C-8A87-4FA6-B2EE-5E1D0DB4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 w:type="paragraph" w:styleId="ListParagraph">
    <w:name w:val="List Paragraph"/>
    <w:basedOn w:val="Normal"/>
    <w:uiPriority w:val="34"/>
    <w:qFormat/>
    <w:rsid w:val="00B27103"/>
    <w:pPr>
      <w:ind w:left="720"/>
      <w:contextualSpacing/>
    </w:pPr>
  </w:style>
  <w:style w:type="character" w:styleId="FootnoteReference">
    <w:name w:val="footnote reference"/>
    <w:aliases w:val="4_G,-E Fußnotenzeichen,(Footnote Reference),BVI fnr, BVI fnr,Footnote symbol,Footnote,Footnote Reference Superscript,SUPERS"/>
    <w:rsid w:val="00C37694"/>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8258">
      <w:bodyDiv w:val="1"/>
      <w:marLeft w:val="0"/>
      <w:marRight w:val="0"/>
      <w:marTop w:val="0"/>
      <w:marBottom w:val="0"/>
      <w:divBdr>
        <w:top w:val="none" w:sz="0" w:space="0" w:color="auto"/>
        <w:left w:val="none" w:sz="0" w:space="0" w:color="auto"/>
        <w:bottom w:val="none" w:sz="0" w:space="0" w:color="auto"/>
        <w:right w:val="none" w:sz="0" w:space="0" w:color="auto"/>
      </w:divBdr>
    </w:div>
    <w:div w:id="15345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356C-FC06-48F6-B00B-52397B69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5205</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Schäfer CC/PJ-RO</dc:creator>
  <cp:lastModifiedBy>Caillot</cp:lastModifiedBy>
  <cp:revision>2</cp:revision>
  <dcterms:created xsi:type="dcterms:W3CDTF">2017-03-13T16:38:00Z</dcterms:created>
  <dcterms:modified xsi:type="dcterms:W3CDTF">2017-03-13T16:38:00Z</dcterms:modified>
</cp:coreProperties>
</file>