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3" w:rsidRPr="00751D5E" w:rsidRDefault="00E535EE" w:rsidP="0075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bookmarkStart w:id="0" w:name="_GoBack"/>
      <w:bookmarkEnd w:id="0"/>
      <w:r w:rsidRPr="00751D5E">
        <w:rPr>
          <w:b/>
        </w:rPr>
        <w:t>Note on DETA following the call for donations sent by the ES to all CPs of the 1958 Agreement</w:t>
      </w:r>
    </w:p>
    <w:p w:rsidR="00E535EE" w:rsidRPr="00751D5E" w:rsidRDefault="00E535EE" w:rsidP="00751D5E">
      <w:pPr>
        <w:pStyle w:val="HChG"/>
        <w:tabs>
          <w:tab w:val="left" w:pos="9356"/>
        </w:tabs>
        <w:spacing w:line="240" w:lineRule="auto"/>
        <w:rPr>
          <w:rFonts w:asciiTheme="minorHAnsi" w:hAnsiTheme="minorHAnsi"/>
        </w:rPr>
      </w:pPr>
      <w:r w:rsidRPr="00751D5E">
        <w:rPr>
          <w:rFonts w:asciiTheme="minorHAnsi" w:hAnsiTheme="minorHAnsi"/>
        </w:rPr>
        <w:t>Background</w:t>
      </w:r>
    </w:p>
    <w:p w:rsidR="00E535EE" w:rsidRDefault="00E535EE" w:rsidP="00E535EE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DETA is an IT system aimed at facilitating the exchange of information among Authorities</w:t>
      </w:r>
    </w:p>
    <w:p w:rsidR="00E535EE" w:rsidRDefault="00E535EE" w:rsidP="00E535EE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Contracting Parties expect DETA to be installed at UNECE in September 2017 </w:t>
      </w:r>
    </w:p>
    <w:p w:rsidR="00E535EE" w:rsidRDefault="00E535EE" w:rsidP="00E535EE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Contracting Parties expect</w:t>
      </w:r>
      <w:r w:rsidR="00285E18">
        <w:rPr>
          <w:lang w:val="en-GB"/>
        </w:rPr>
        <w:t>ed</w:t>
      </w:r>
      <w:r>
        <w:rPr>
          <w:lang w:val="en-GB"/>
        </w:rPr>
        <w:t xml:space="preserve"> that UNECE covers the related costs through the Regular Budget, as expressed several times at WP.29 and ITC in 2014, 2016 and 2017.</w:t>
      </w:r>
    </w:p>
    <w:p w:rsidR="00E535EE" w:rsidRDefault="00E535EE" w:rsidP="00E535EE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EXCOM discussed on </w:t>
      </w:r>
      <w:r w:rsidRPr="00E535EE">
        <w:rPr>
          <w:lang w:val="en-GB"/>
        </w:rPr>
        <w:t>24 March 2017</w:t>
      </w:r>
      <w:r>
        <w:rPr>
          <w:lang w:val="en-GB"/>
        </w:rPr>
        <w:t xml:space="preserve"> the following options for financing DETA:</w:t>
      </w:r>
    </w:p>
    <w:p w:rsidR="00E535EE" w:rsidRDefault="00E535EE" w:rsidP="00A95A0D">
      <w:pPr>
        <w:pStyle w:val="ListParagraph"/>
        <w:numPr>
          <w:ilvl w:val="1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Cover DETA through the additional Regular Budget (RB) that shall be requested</w:t>
      </w:r>
    </w:p>
    <w:p w:rsidR="00E535EE" w:rsidRDefault="00E535EE" w:rsidP="00A95A0D">
      <w:pPr>
        <w:pStyle w:val="ListParagraph"/>
        <w:numPr>
          <w:ilvl w:val="1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Cover DETA though Extra Budgetary (XB) funding</w:t>
      </w:r>
    </w:p>
    <w:p w:rsidR="00E535EE" w:rsidRDefault="00E535EE" w:rsidP="00A95A0D">
      <w:pPr>
        <w:pStyle w:val="ListParagraph"/>
        <w:numPr>
          <w:ilvl w:val="1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Cover recurrent hosting costs by RB and one-time investment for new functionalities by XB</w:t>
      </w:r>
    </w:p>
    <w:p w:rsidR="00E535EE" w:rsidRPr="00A95A0D" w:rsidRDefault="00A95A0D" w:rsidP="00A95A0D">
      <w:pPr>
        <w:pStyle w:val="SingleTxtG"/>
        <w:tabs>
          <w:tab w:val="left" w:pos="1134"/>
        </w:tabs>
        <w:spacing w:line="240" w:lineRule="auto"/>
        <w:ind w:left="0" w:right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="00E535EE" w:rsidRPr="00A95A0D">
        <w:rPr>
          <w:rFonts w:asciiTheme="minorHAnsi" w:hAnsiTheme="minorHAnsi"/>
          <w:sz w:val="22"/>
          <w:szCs w:val="22"/>
        </w:rPr>
        <w:t xml:space="preserve">For option </w:t>
      </w:r>
      <w:proofErr w:type="gramStart"/>
      <w:r w:rsidR="00E535EE" w:rsidRPr="00A95A0D">
        <w:rPr>
          <w:rFonts w:asciiTheme="minorHAnsi" w:hAnsiTheme="minorHAnsi"/>
          <w:sz w:val="22"/>
          <w:szCs w:val="22"/>
        </w:rPr>
        <w:t>a or</w:t>
      </w:r>
      <w:proofErr w:type="gramEnd"/>
      <w:r w:rsidR="00E535EE" w:rsidRPr="00A95A0D">
        <w:rPr>
          <w:rFonts w:asciiTheme="minorHAnsi" w:hAnsiTheme="minorHAnsi"/>
          <w:sz w:val="22"/>
          <w:szCs w:val="22"/>
        </w:rPr>
        <w:t xml:space="preserve"> c, the timeline would be as follows:</w:t>
      </w:r>
    </w:p>
    <w:p w:rsidR="00E535EE" w:rsidRPr="00A95A0D" w:rsidRDefault="00E535EE" w:rsidP="00A95A0D">
      <w:pPr>
        <w:autoSpaceDE w:val="0"/>
        <w:autoSpaceDN w:val="0"/>
        <w:adjustRightInd w:val="0"/>
        <w:spacing w:after="0" w:line="240" w:lineRule="auto"/>
        <w:ind w:left="1418"/>
        <w:rPr>
          <w:rFonts w:eastAsia="Times New Roman" w:cs="Times New Roman"/>
          <w:lang w:val="en-GB"/>
        </w:rPr>
      </w:pPr>
      <w:r w:rsidRPr="00A95A0D">
        <w:rPr>
          <w:rFonts w:cs="Helv"/>
          <w:color w:val="000000"/>
        </w:rPr>
        <w:t xml:space="preserve">- </w:t>
      </w:r>
      <w:r w:rsidRPr="00A95A0D">
        <w:rPr>
          <w:rFonts w:eastAsia="Times New Roman" w:cs="Times New Roman"/>
          <w:lang w:val="en-GB"/>
        </w:rPr>
        <w:t>EXCOM: 24 March</w:t>
      </w:r>
    </w:p>
    <w:p w:rsidR="00E535EE" w:rsidRPr="00A95A0D" w:rsidRDefault="00E535EE" w:rsidP="00A95A0D">
      <w:pPr>
        <w:autoSpaceDE w:val="0"/>
        <w:autoSpaceDN w:val="0"/>
        <w:adjustRightInd w:val="0"/>
        <w:spacing w:after="0" w:line="240" w:lineRule="auto"/>
        <w:ind w:left="1418"/>
        <w:rPr>
          <w:rFonts w:eastAsia="Times New Roman" w:cs="Times New Roman"/>
          <w:lang w:val="en-GB"/>
        </w:rPr>
      </w:pPr>
      <w:r w:rsidRPr="00A95A0D">
        <w:rPr>
          <w:rFonts w:eastAsia="Times New Roman" w:cs="Times New Roman"/>
          <w:lang w:val="en-GB"/>
        </w:rPr>
        <w:t>- Commission decision on DETA resolution for submission to ECOSOC: 27 April</w:t>
      </w:r>
    </w:p>
    <w:p w:rsidR="00E535EE" w:rsidRPr="00A95A0D" w:rsidRDefault="00E535EE" w:rsidP="00A95A0D">
      <w:pPr>
        <w:autoSpaceDE w:val="0"/>
        <w:autoSpaceDN w:val="0"/>
        <w:adjustRightInd w:val="0"/>
        <w:spacing w:after="0" w:line="240" w:lineRule="auto"/>
        <w:ind w:left="1418"/>
        <w:rPr>
          <w:rFonts w:eastAsia="Times New Roman" w:cs="Times New Roman"/>
          <w:lang w:val="en-GB"/>
        </w:rPr>
      </w:pPr>
      <w:r w:rsidRPr="00A95A0D">
        <w:rPr>
          <w:rFonts w:eastAsia="Times New Roman" w:cs="Times New Roman"/>
          <w:lang w:val="en-GB"/>
        </w:rPr>
        <w:t>- ECOSOC decision: July 2017</w:t>
      </w:r>
    </w:p>
    <w:p w:rsidR="00E535EE" w:rsidRPr="00A95A0D" w:rsidRDefault="00E535EE" w:rsidP="00A95A0D">
      <w:pPr>
        <w:autoSpaceDE w:val="0"/>
        <w:autoSpaceDN w:val="0"/>
        <w:adjustRightInd w:val="0"/>
        <w:spacing w:after="0" w:line="240" w:lineRule="auto"/>
        <w:ind w:left="1418"/>
        <w:rPr>
          <w:rFonts w:eastAsia="Times New Roman" w:cs="Times New Roman"/>
          <w:lang w:val="en-GB"/>
        </w:rPr>
      </w:pPr>
      <w:r w:rsidRPr="00A95A0D">
        <w:rPr>
          <w:rFonts w:eastAsia="Times New Roman" w:cs="Times New Roman"/>
          <w:lang w:val="en-GB"/>
        </w:rPr>
        <w:t>- ACABQ - review of PPB 2018-2019: September-November 2017</w:t>
      </w:r>
    </w:p>
    <w:p w:rsidR="00A95A0D" w:rsidRDefault="00A95A0D" w:rsidP="00A95A0D">
      <w:pPr>
        <w:autoSpaceDE w:val="0"/>
        <w:autoSpaceDN w:val="0"/>
        <w:adjustRightInd w:val="0"/>
        <w:spacing w:after="0" w:line="240" w:lineRule="auto"/>
        <w:ind w:left="1418"/>
        <w:rPr>
          <w:rFonts w:eastAsia="Times New Roman" w:cs="Times New Roman"/>
          <w:sz w:val="20"/>
          <w:szCs w:val="20"/>
          <w:lang w:val="en-GB"/>
        </w:rPr>
      </w:pPr>
    </w:p>
    <w:p w:rsidR="00A95A0D" w:rsidRPr="00A95A0D" w:rsidRDefault="00A95A0D" w:rsidP="00A95A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31"/>
        <w:rPr>
          <w:rFonts w:eastAsia="Times New Roman" w:cs="Times New Roman"/>
          <w:sz w:val="20"/>
          <w:szCs w:val="20"/>
          <w:lang w:val="en-GB"/>
        </w:rPr>
      </w:pPr>
      <w:r>
        <w:rPr>
          <w:lang w:val="en-GB"/>
        </w:rPr>
        <w:t>EXCOM showed preference for option c. Therefore a Commission decision on DETA was prepared and internal consultations with member States were initiated.</w:t>
      </w:r>
    </w:p>
    <w:p w:rsidR="00A95A0D" w:rsidRPr="00A95A0D" w:rsidRDefault="00A95A0D" w:rsidP="00A95A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31"/>
        <w:rPr>
          <w:rFonts w:eastAsia="Times New Roman" w:cs="Times New Roman"/>
          <w:sz w:val="20"/>
          <w:szCs w:val="20"/>
          <w:lang w:val="en-GB"/>
        </w:rPr>
      </w:pPr>
      <w:r>
        <w:rPr>
          <w:lang w:val="en-GB"/>
        </w:rPr>
        <w:t>As during these informal consultations no consensus by member States could be reached, the PBI (Programme Budget Implication) process was discontinued.</w:t>
      </w:r>
    </w:p>
    <w:p w:rsidR="00A95A0D" w:rsidRPr="00A95A0D" w:rsidRDefault="00A95A0D" w:rsidP="00A95A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31"/>
        <w:rPr>
          <w:rFonts w:eastAsia="Times New Roman" w:cs="Times New Roman"/>
          <w:sz w:val="20"/>
          <w:szCs w:val="20"/>
          <w:lang w:val="en-GB"/>
        </w:rPr>
      </w:pPr>
      <w:r>
        <w:rPr>
          <w:lang w:val="en-GB"/>
        </w:rPr>
        <w:t xml:space="preserve">Taking note of these developments, WP.29 at its 2017 June session decided </w:t>
      </w:r>
      <w:r w:rsidR="00751D5E">
        <w:rPr>
          <w:lang w:val="en-GB"/>
        </w:rPr>
        <w:t>to follow the XB funding option as any attempts for RB would result in a delay at least until the 2020/2021 Budget cycle. To this effect WP.29 requested the secretariat to initiate a letter to all Contracting Parties of the 1958 Agreement, signed by the Executive Secretary, asking for donations to establish and operate DETA at UNECE as a XB Project</w:t>
      </w:r>
      <w:r w:rsidR="00285E18">
        <w:rPr>
          <w:lang w:val="en-GB"/>
        </w:rPr>
        <w:t xml:space="preserve"> (ECE/TRANS/WP.29/1131, para. 66)</w:t>
      </w:r>
      <w:r w:rsidR="00751D5E">
        <w:rPr>
          <w:lang w:val="en-GB"/>
        </w:rPr>
        <w:t>.</w:t>
      </w:r>
    </w:p>
    <w:p w:rsidR="00751D5E" w:rsidRDefault="00751D5E" w:rsidP="00A95A0D">
      <w:pPr>
        <w:pStyle w:val="HChG"/>
        <w:tabs>
          <w:tab w:val="left" w:pos="9356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Cost estimates</w:t>
      </w:r>
    </w:p>
    <w:p w:rsidR="00A95A0D" w:rsidRDefault="004B3908" w:rsidP="00A95A0D">
      <w:pPr>
        <w:pStyle w:val="SingleTxtG"/>
        <w:tabs>
          <w:tab w:val="left" w:pos="9356"/>
        </w:tabs>
        <w:spacing w:line="240" w:lineRule="auto"/>
        <w:ind w:left="0" w:right="4"/>
        <w:rPr>
          <w:rFonts w:asciiTheme="minorHAnsi" w:hAnsiTheme="minorHAnsi"/>
        </w:rPr>
      </w:pPr>
      <w:r>
        <w:rPr>
          <w:rFonts w:asciiTheme="minorHAnsi" w:hAnsiTheme="minorHAnsi"/>
        </w:rPr>
        <w:t>As circulated before EXCOM financing</w:t>
      </w:r>
      <w:r w:rsidR="00A95A0D">
        <w:rPr>
          <w:rFonts w:asciiTheme="minorHAnsi" w:hAnsiTheme="minorHAnsi"/>
        </w:rPr>
        <w:t xml:space="preserve"> DETA from Regular Budget</w:t>
      </w:r>
      <w:r>
        <w:rPr>
          <w:rFonts w:asciiTheme="minorHAnsi" w:hAnsiTheme="minorHAnsi"/>
        </w:rPr>
        <w:t>, c</w:t>
      </w:r>
      <w:r w:rsidR="00A95A0D">
        <w:rPr>
          <w:rFonts w:asciiTheme="minorHAnsi" w:hAnsiTheme="minorHAnsi"/>
        </w:rPr>
        <w:t xml:space="preserve">osts </w:t>
      </w:r>
      <w:r>
        <w:rPr>
          <w:rFonts w:asciiTheme="minorHAnsi" w:hAnsiTheme="minorHAnsi"/>
        </w:rPr>
        <w:t>were</w:t>
      </w:r>
      <w:r w:rsidR="00A95A0D">
        <w:rPr>
          <w:rFonts w:asciiTheme="minorHAnsi" w:hAnsiTheme="minorHAnsi"/>
        </w:rPr>
        <w:t xml:space="preserve"> estimated as follows:</w:t>
      </w:r>
    </w:p>
    <w:p w:rsidR="00A95A0D" w:rsidRDefault="00A95A0D" w:rsidP="009D04CB">
      <w:pPr>
        <w:pStyle w:val="H1G"/>
        <w:tabs>
          <w:tab w:val="left" w:pos="9356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A/</w:t>
      </w:r>
      <w:r>
        <w:rPr>
          <w:rFonts w:asciiTheme="minorHAnsi" w:hAnsiTheme="minorHAnsi"/>
        </w:rPr>
        <w:tab/>
        <w:t>Administering and hosting DETA   – recurring costs</w:t>
      </w:r>
    </w:p>
    <w:p w:rsidR="00A95A0D" w:rsidRDefault="00A95A0D" w:rsidP="00A95A0D">
      <w:pPr>
        <w:pStyle w:val="SingleTxtG"/>
        <w:numPr>
          <w:ilvl w:val="0"/>
          <w:numId w:val="2"/>
        </w:numPr>
        <w:tabs>
          <w:tab w:val="left" w:pos="9356"/>
        </w:tabs>
        <w:spacing w:line="240" w:lineRule="auto"/>
        <w:ind w:right="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 fair estimation of the recurring annual costs for technically hosting DETA (i.e. IT services by ECE and UNOG, as well as license fee to software provider) </w:t>
      </w:r>
      <w:proofErr w:type="gramStart"/>
      <w:r>
        <w:rPr>
          <w:rFonts w:asciiTheme="minorHAnsi" w:hAnsiTheme="minorHAnsi"/>
          <w:i/>
        </w:rPr>
        <w:t>is  estimated</w:t>
      </w:r>
      <w:proofErr w:type="gramEnd"/>
      <w:r>
        <w:rPr>
          <w:rFonts w:asciiTheme="minorHAnsi" w:hAnsiTheme="minorHAnsi"/>
          <w:i/>
        </w:rPr>
        <w:t xml:space="preserve"> to be $45.000.</w:t>
      </w:r>
    </w:p>
    <w:p w:rsidR="00A95A0D" w:rsidRDefault="00A95A0D" w:rsidP="00A95A0D">
      <w:pPr>
        <w:pStyle w:val="SingleTxtG"/>
        <w:numPr>
          <w:ilvl w:val="0"/>
          <w:numId w:val="2"/>
        </w:numPr>
        <w:tabs>
          <w:tab w:val="left" w:pos="9356"/>
        </w:tabs>
        <w:spacing w:line="240" w:lineRule="auto"/>
        <w:ind w:right="4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For administering and hosting DETA HR needs are estimated as </w:t>
      </w:r>
      <w:proofErr w:type="gramStart"/>
      <w:r>
        <w:rPr>
          <w:rFonts w:asciiTheme="minorHAnsi" w:hAnsiTheme="minorHAnsi"/>
          <w:i/>
        </w:rPr>
        <w:t>follows :</w:t>
      </w:r>
      <w:proofErr w:type="gramEnd"/>
      <w:r>
        <w:rPr>
          <w:rFonts w:asciiTheme="minorHAnsi" w:hAnsiTheme="minorHAnsi"/>
        </w:rPr>
        <w:t xml:space="preserve"> staff time equivalent of 50 % P2 or P3 and 50% G5. </w:t>
      </w:r>
    </w:p>
    <w:p w:rsidR="00A95A0D" w:rsidRDefault="00A95A0D" w:rsidP="009D04CB">
      <w:pPr>
        <w:pStyle w:val="H1G"/>
        <w:tabs>
          <w:tab w:val="left" w:pos="9356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B/</w:t>
      </w:r>
      <w:r>
        <w:rPr>
          <w:rFonts w:asciiTheme="minorHAnsi" w:hAnsiTheme="minorHAnsi"/>
        </w:rPr>
        <w:tab/>
        <w:t>New functionalities of DETA – one time investment costs</w:t>
      </w:r>
    </w:p>
    <w:p w:rsidR="00A95A0D" w:rsidRDefault="00A95A0D" w:rsidP="00D20D81">
      <w:pPr>
        <w:pStyle w:val="SingleTxtG"/>
        <w:numPr>
          <w:ilvl w:val="0"/>
          <w:numId w:val="10"/>
        </w:numPr>
        <w:tabs>
          <w:tab w:val="left" w:pos="9356"/>
        </w:tabs>
        <w:spacing w:line="240" w:lineRule="auto"/>
        <w:ind w:right="4"/>
        <w:rPr>
          <w:rFonts w:asciiTheme="minorHAnsi" w:hAnsiTheme="minorHAnsi"/>
          <w:i/>
        </w:rPr>
      </w:pPr>
      <w:r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the development of the additional functionalities UI and </w:t>
      </w:r>
      <w:proofErr w:type="spellStart"/>
      <w:r>
        <w:rPr>
          <w:rFonts w:asciiTheme="minorHAnsi" w:hAnsiTheme="minorHAnsi"/>
          <w:i/>
        </w:rPr>
        <w:t>DoC</w:t>
      </w:r>
      <w:proofErr w:type="spellEnd"/>
      <w:r>
        <w:rPr>
          <w:rFonts w:asciiTheme="minorHAnsi" w:hAnsiTheme="minorHAnsi"/>
          <w:i/>
        </w:rPr>
        <w:t xml:space="preserve"> are estimated</w:t>
      </w:r>
      <w:r w:rsidRPr="00D20D81">
        <w:footnoteReference w:id="1"/>
      </w:r>
      <w:r>
        <w:rPr>
          <w:rFonts w:asciiTheme="minorHAnsi" w:hAnsiTheme="minorHAnsi"/>
          <w:i/>
        </w:rPr>
        <w:t xml:space="preserve"> to cost around $300.000,- (one time investment)</w:t>
      </w:r>
    </w:p>
    <w:p w:rsidR="00A95A0D" w:rsidRDefault="00A95A0D" w:rsidP="00A95A0D">
      <w:pPr>
        <w:pStyle w:val="SingleTxtG"/>
        <w:spacing w:line="240" w:lineRule="auto"/>
        <w:ind w:left="0" w:right="4"/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>However, the preliminary estimated costs listed above will need to be verified according to UN Standard Costing Procedures.</w:t>
      </w:r>
    </w:p>
    <w:p w:rsidR="00E535EE" w:rsidRDefault="004B3908" w:rsidP="00E535EE">
      <w:pPr>
        <w:rPr>
          <w:lang w:val="en-GB"/>
        </w:rPr>
      </w:pPr>
      <w:r>
        <w:rPr>
          <w:lang w:val="en-GB"/>
        </w:rPr>
        <w:t>Following the request to ask for donations to establish and operate DETA as XB project; a full project proposal following UN internal rules and UN Standard Costing Procedures resulted in the following budget request</w:t>
      </w:r>
      <w:r w:rsidR="00746C4B">
        <w:rPr>
          <w:lang w:val="en-GB"/>
        </w:rPr>
        <w:t xml:space="preserve"> for a five years period including the development of additional functionalities and full staff costs as absorbing certain activities by existing </w:t>
      </w:r>
      <w:r w:rsidR="00285E18">
        <w:rPr>
          <w:lang w:val="en-GB"/>
        </w:rPr>
        <w:t xml:space="preserve">RB </w:t>
      </w:r>
      <w:r w:rsidR="00746C4B">
        <w:rPr>
          <w:lang w:val="en-GB"/>
        </w:rPr>
        <w:t>staff is not permitted within XB projects</w:t>
      </w:r>
      <w:r>
        <w:rPr>
          <w:lang w:val="en-GB"/>
        </w:rPr>
        <w:t>:</w:t>
      </w:r>
    </w:p>
    <w:p w:rsidR="004B3908" w:rsidRPr="009D04CB" w:rsidRDefault="00121AE8" w:rsidP="00E535EE">
      <w:pPr>
        <w:rPr>
          <w:b/>
          <w:lang w:val="en-GB"/>
        </w:rPr>
      </w:pPr>
      <w:r>
        <w:rPr>
          <w:b/>
          <w:lang w:val="en-GB"/>
        </w:rPr>
        <w:t xml:space="preserve">A/ </w:t>
      </w:r>
      <w:r w:rsidR="00746C4B" w:rsidRPr="009D04CB">
        <w:rPr>
          <w:b/>
          <w:lang w:val="en-GB"/>
        </w:rPr>
        <w:t xml:space="preserve">Annual </w:t>
      </w:r>
      <w:r w:rsidR="009D04CB" w:rsidRPr="009D04CB">
        <w:rPr>
          <w:b/>
          <w:lang w:val="en-GB"/>
        </w:rPr>
        <w:t>recurring</w:t>
      </w:r>
      <w:r w:rsidR="00746C4B" w:rsidRPr="009D04CB">
        <w:rPr>
          <w:b/>
          <w:lang w:val="en-GB"/>
        </w:rPr>
        <w:t xml:space="preserve"> costs:</w:t>
      </w:r>
    </w:p>
    <w:tbl>
      <w:tblPr>
        <w:tblW w:w="10397" w:type="dxa"/>
        <w:tblInd w:w="-619" w:type="dxa"/>
        <w:tblLook w:val="04A0" w:firstRow="1" w:lastRow="0" w:firstColumn="1" w:lastColumn="0" w:noHBand="0" w:noVBand="1"/>
      </w:tblPr>
      <w:tblGrid>
        <w:gridCol w:w="456"/>
        <w:gridCol w:w="7721"/>
        <w:gridCol w:w="1984"/>
        <w:gridCol w:w="236"/>
      </w:tblGrid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 of Budget Class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in USD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and other personnel costs (Incl. Consultants)</w:t>
            </w:r>
            <w:r w:rsidR="009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$509,600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$26,000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Contractual Services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 and Other Direct Costs</w:t>
            </w:r>
            <w:r w:rsidR="009D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$45,000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Supplies, consumables and materials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Vehicles and Furniture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Transfers and Grants Issued to Implementing partners (grants amount above US$50,000)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Grants Out to end beneficiaries (grants amount below US$ 50,000)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IP-PSC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9D04C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UN-PSC (13%)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$76,128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Budget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(recurring)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$661,728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746C4B" w:rsidTr="00D20D8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C4B" w:rsidRPr="00746C4B" w:rsidRDefault="00746C4B" w:rsidP="0074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6C4B" w:rsidRPr="009D04CB" w:rsidRDefault="009D04CB" w:rsidP="009D04CB">
      <w:pPr>
        <w:ind w:left="360"/>
        <w:rPr>
          <w:lang w:val="en-GB"/>
        </w:rPr>
      </w:pPr>
      <w:r>
        <w:rPr>
          <w:lang w:val="en-GB"/>
        </w:rPr>
        <w:t>*</w:t>
      </w:r>
      <w:proofErr w:type="gramStart"/>
      <w:r w:rsidRPr="009D04CB">
        <w:rPr>
          <w:lang w:val="en-GB"/>
        </w:rPr>
        <w:t>staff</w:t>
      </w:r>
      <w:proofErr w:type="gramEnd"/>
      <w:r w:rsidRPr="009D04CB">
        <w:rPr>
          <w:lang w:val="en-GB"/>
        </w:rPr>
        <w:t xml:space="preserve"> includes one project manager (P3), one IT expert (P2) and one support staff (G5)</w:t>
      </w:r>
    </w:p>
    <w:p w:rsidR="004B3908" w:rsidRDefault="00121AE8" w:rsidP="00E535EE">
      <w:pPr>
        <w:rPr>
          <w:lang w:val="en-GB"/>
        </w:rPr>
      </w:pPr>
      <w:r w:rsidRPr="00121AE8">
        <w:rPr>
          <w:b/>
          <w:lang w:val="en-GB"/>
        </w:rPr>
        <w:t>B/</w:t>
      </w:r>
      <w:r w:rsidR="009D04CB">
        <w:rPr>
          <w:lang w:val="en-GB"/>
        </w:rPr>
        <w:t xml:space="preserve"> </w:t>
      </w:r>
      <w:r w:rsidR="009D04CB" w:rsidRPr="009D04CB">
        <w:rPr>
          <w:b/>
          <w:lang w:val="en-GB"/>
        </w:rPr>
        <w:t>five years operation and</w:t>
      </w:r>
      <w:r>
        <w:rPr>
          <w:b/>
          <w:lang w:val="en-GB"/>
        </w:rPr>
        <w:t xml:space="preserve"> one time</w:t>
      </w:r>
      <w:r w:rsidR="009D04CB" w:rsidRPr="009D04CB">
        <w:rPr>
          <w:b/>
          <w:lang w:val="en-GB"/>
        </w:rPr>
        <w:t xml:space="preserve"> investment</w:t>
      </w:r>
      <w:r w:rsidR="009D04CB">
        <w:rPr>
          <w:lang w:val="en-GB"/>
        </w:rPr>
        <w:t xml:space="preserve"> in</w:t>
      </w:r>
      <w:r>
        <w:rPr>
          <w:lang w:val="en-GB"/>
        </w:rPr>
        <w:t xml:space="preserve"> the additional functionalities:</w:t>
      </w:r>
    </w:p>
    <w:tbl>
      <w:tblPr>
        <w:tblW w:w="9737" w:type="dxa"/>
        <w:tblInd w:w="-176" w:type="dxa"/>
        <w:tblLook w:val="04A0" w:firstRow="1" w:lastRow="0" w:firstColumn="1" w:lastColumn="0" w:noHBand="0" w:noVBand="1"/>
      </w:tblPr>
      <w:tblGrid>
        <w:gridCol w:w="1229"/>
        <w:gridCol w:w="1465"/>
        <w:gridCol w:w="1559"/>
        <w:gridCol w:w="1418"/>
        <w:gridCol w:w="714"/>
        <w:gridCol w:w="517"/>
        <w:gridCol w:w="1037"/>
        <w:gridCol w:w="1798"/>
      </w:tblGrid>
      <w:tr w:rsidR="009D04CB" w:rsidRPr="009D04CB" w:rsidTr="00C319D2">
        <w:trPr>
          <w:trHeight w:val="300"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04CB" w:rsidRPr="009D04CB" w:rsidRDefault="009D04CB" w:rsidP="0012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Five years operation and one </w:t>
            </w:r>
            <w:r w:rsidR="0012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investment in </w:t>
            </w:r>
            <w:r w:rsidR="0012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</w:t>
            </w: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functionalities</w:t>
            </w:r>
          </w:p>
        </w:tc>
      </w:tr>
      <w:tr w:rsidR="00C319D2" w:rsidRPr="009D04CB" w:rsidTr="005F0324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D2" w:rsidRPr="009D04CB" w:rsidRDefault="00C319D2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operation</w:t>
            </w:r>
            <w:r w:rsidRPr="009D04CB">
              <w:rPr>
                <w:rFonts w:ascii="Calibri" w:eastAsia="Times New Roman" w:hAnsi="Calibri" w:cs="Times New Roman"/>
                <w:color w:val="000000"/>
              </w:rPr>
              <w:t xml:space="preserve"> costs for 5 years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D2" w:rsidRPr="009D04CB" w:rsidRDefault="00C319D2" w:rsidP="009D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$3,308,640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D2" w:rsidRPr="009D04CB" w:rsidRDefault="00C319D2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D2" w:rsidRPr="009D04CB" w:rsidRDefault="00C319D2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one time </w:t>
            </w:r>
            <w:r w:rsidRPr="009D04CB">
              <w:rPr>
                <w:rFonts w:ascii="Calibri" w:eastAsia="Times New Roman" w:hAnsi="Calibri" w:cs="Times New Roman"/>
                <w:color w:val="000000"/>
              </w:rPr>
              <w:t>Investment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D2" w:rsidRPr="009D04CB" w:rsidRDefault="00C319D2" w:rsidP="009D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$300,000 </w:t>
            </w:r>
          </w:p>
        </w:tc>
      </w:tr>
      <w:tr w:rsidR="009D04CB" w:rsidRPr="009D04CB" w:rsidTr="00C319D2">
        <w:trPr>
          <w:trHeight w:val="3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4CB">
              <w:rPr>
                <w:rFonts w:ascii="Calibri" w:eastAsia="Times New Roman" w:hAnsi="Calibri" w:cs="Times New Roman"/>
                <w:color w:val="000000"/>
              </w:rPr>
              <w:t>13% PSC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$39,000 </w:t>
            </w:r>
          </w:p>
        </w:tc>
      </w:tr>
      <w:tr w:rsidR="009D04CB" w:rsidRPr="009D04CB" w:rsidTr="00C319D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4CB">
              <w:rPr>
                <w:rFonts w:ascii="Calibri" w:eastAsia="Times New Roman" w:hAnsi="Calibri" w:cs="Times New Roman"/>
                <w:color w:val="000000"/>
              </w:rPr>
              <w:t>Investment costs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$339,000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CB" w:rsidRPr="009D04CB" w:rsidTr="00C319D2">
        <w:trPr>
          <w:trHeight w:val="315"/>
        </w:trPr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4CB">
              <w:rPr>
                <w:rFonts w:ascii="Calibri" w:eastAsia="Times New Roman" w:hAnsi="Calibri" w:cs="Times New Roman"/>
                <w:color w:val="000000"/>
              </w:rPr>
              <w:t>Investment costs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4CB" w:rsidRPr="009D04CB" w:rsidRDefault="009D04CB" w:rsidP="009D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$339,000 </w:t>
            </w:r>
          </w:p>
        </w:tc>
      </w:tr>
      <w:tr w:rsidR="00121AE8" w:rsidRPr="009D04CB" w:rsidTr="00C319D2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AE8" w:rsidRPr="009D04CB" w:rsidRDefault="00121AE8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Budget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years)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21AE8" w:rsidRPr="009D04CB" w:rsidRDefault="00121AE8" w:rsidP="009D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$3,647,640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E8" w:rsidRPr="009D04CB" w:rsidRDefault="00121AE8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E8" w:rsidRPr="009D04CB" w:rsidRDefault="00121AE8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E8" w:rsidRPr="009D04CB" w:rsidRDefault="00121AE8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E8" w:rsidRPr="009D04CB" w:rsidRDefault="00121AE8" w:rsidP="009D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04CB" w:rsidRDefault="009D04CB" w:rsidP="00E535EE">
      <w:pPr>
        <w:rPr>
          <w:lang w:val="en-GB"/>
        </w:rPr>
      </w:pPr>
    </w:p>
    <w:p w:rsidR="009D04CB" w:rsidRDefault="00D20D81" w:rsidP="00E535EE">
      <w:pPr>
        <w:rPr>
          <w:lang w:val="en-GB"/>
        </w:rPr>
      </w:pPr>
      <w:r>
        <w:rPr>
          <w:lang w:val="en-GB"/>
        </w:rPr>
        <w:t>As regards the calculation for a five years operation period, this is not linked to UN budget cycles but based on basic rules of IT projects where during a such period no further investments in software and /or hardware upgrade are expected (IT systems life-cycle)</w:t>
      </w:r>
    </w:p>
    <w:p w:rsidR="000C5DA5" w:rsidRDefault="000C5DA5" w:rsidP="00E535EE">
      <w:pPr>
        <w:rPr>
          <w:lang w:val="en-GB"/>
        </w:rPr>
      </w:pPr>
      <w:r>
        <w:rPr>
          <w:lang w:val="en-GB"/>
        </w:rPr>
        <w:t xml:space="preserve">Annex </w:t>
      </w:r>
      <w:proofErr w:type="gramStart"/>
      <w:r>
        <w:rPr>
          <w:lang w:val="en-GB"/>
        </w:rPr>
        <w:t>I</w:t>
      </w:r>
      <w:proofErr w:type="gramEnd"/>
      <w:r>
        <w:rPr>
          <w:lang w:val="en-GB"/>
        </w:rPr>
        <w:t>:  Letter sent to all Contracting Parties</w:t>
      </w:r>
    </w:p>
    <w:p w:rsidR="00EB275B" w:rsidRDefault="00EB275B" w:rsidP="00E535EE">
      <w:pPr>
        <w:rPr>
          <w:lang w:val="en-GB"/>
        </w:rPr>
      </w:pPr>
      <w:r>
        <w:rPr>
          <w:lang w:val="en-GB"/>
        </w:rPr>
        <w:lastRenderedPageBreak/>
        <w:t>Below is the table with the process for the decision and implementation of XB projects:</w:t>
      </w:r>
    </w:p>
    <w:p w:rsidR="00000000" w:rsidRPr="00EB275B" w:rsidRDefault="00EB275B" w:rsidP="00EB275B">
      <w:pPr>
        <w:numPr>
          <w:ilvl w:val="0"/>
          <w:numId w:val="11"/>
        </w:numPr>
      </w:pPr>
      <w:r w:rsidRPr="00EB275B">
        <w:t>Pledge / Donor Agreement</w:t>
      </w:r>
    </w:p>
    <w:p w:rsidR="00000000" w:rsidRPr="00EB275B" w:rsidRDefault="00EB275B" w:rsidP="00EB275B">
      <w:pPr>
        <w:numPr>
          <w:ilvl w:val="0"/>
          <w:numId w:val="11"/>
        </w:numPr>
      </w:pPr>
      <w:r w:rsidRPr="00EB275B">
        <w:t>Concept note</w:t>
      </w:r>
    </w:p>
    <w:p w:rsidR="00000000" w:rsidRPr="00EB275B" w:rsidRDefault="00EB275B" w:rsidP="00EB275B">
      <w:pPr>
        <w:numPr>
          <w:ilvl w:val="1"/>
          <w:numId w:val="11"/>
        </w:numPr>
      </w:pPr>
      <w:r w:rsidRPr="00EB275B">
        <w:t>Aim</w:t>
      </w:r>
    </w:p>
    <w:p w:rsidR="00000000" w:rsidRPr="00EB275B" w:rsidRDefault="00EB275B" w:rsidP="00EB275B">
      <w:pPr>
        <w:numPr>
          <w:ilvl w:val="1"/>
          <w:numId w:val="11"/>
        </w:numPr>
      </w:pPr>
      <w:r w:rsidRPr="00EB275B">
        <w:t>Cost plan</w:t>
      </w:r>
    </w:p>
    <w:p w:rsidR="00000000" w:rsidRPr="00EB275B" w:rsidRDefault="00EB275B" w:rsidP="00EB275B">
      <w:pPr>
        <w:numPr>
          <w:ilvl w:val="1"/>
          <w:numId w:val="11"/>
        </w:numPr>
      </w:pPr>
      <w:r w:rsidRPr="00EB275B">
        <w:t>Timeline</w:t>
      </w:r>
    </w:p>
    <w:p w:rsidR="00000000" w:rsidRPr="00EB275B" w:rsidRDefault="00EB275B" w:rsidP="00EB275B">
      <w:pPr>
        <w:numPr>
          <w:ilvl w:val="1"/>
          <w:numId w:val="11"/>
        </w:numPr>
      </w:pPr>
      <w:r w:rsidRPr="00EB275B">
        <w:t>…</w:t>
      </w:r>
    </w:p>
    <w:p w:rsidR="00000000" w:rsidRPr="00EB275B" w:rsidRDefault="00EB275B" w:rsidP="00EB275B">
      <w:pPr>
        <w:numPr>
          <w:ilvl w:val="0"/>
          <w:numId w:val="11"/>
        </w:numPr>
      </w:pPr>
      <w:r w:rsidRPr="00EB275B">
        <w:t>Preparation of the EXCOM documentation</w:t>
      </w:r>
    </w:p>
    <w:p w:rsidR="00000000" w:rsidRPr="00EB275B" w:rsidRDefault="00EB275B" w:rsidP="00EB275B">
      <w:pPr>
        <w:numPr>
          <w:ilvl w:val="1"/>
          <w:numId w:val="11"/>
        </w:numPr>
      </w:pPr>
      <w:r w:rsidRPr="00EB275B">
        <w:t>PMU</w:t>
      </w:r>
    </w:p>
    <w:p w:rsidR="00000000" w:rsidRPr="00EB275B" w:rsidRDefault="00EB275B" w:rsidP="00EB275B">
      <w:pPr>
        <w:numPr>
          <w:ilvl w:val="0"/>
          <w:numId w:val="11"/>
        </w:numPr>
      </w:pPr>
      <w:r w:rsidRPr="00EB275B">
        <w:t>EXCOM decision</w:t>
      </w:r>
    </w:p>
    <w:p w:rsidR="00EB275B" w:rsidRDefault="00EB275B" w:rsidP="00E535EE">
      <w:pPr>
        <w:rPr>
          <w:lang w:val="en-GB"/>
        </w:rPr>
      </w:pPr>
    </w:p>
    <w:p w:rsidR="000C5DA5" w:rsidRDefault="000C5DA5" w:rsidP="00EB275B">
      <w:pPr>
        <w:pageBreakBefore/>
        <w:rPr>
          <w:lang w:val="en-GB"/>
        </w:rPr>
      </w:pPr>
      <w:r>
        <w:rPr>
          <w:lang w:val="en-GB"/>
        </w:rPr>
        <w:lastRenderedPageBreak/>
        <w:t>Annex I</w:t>
      </w:r>
    </w:p>
    <w:p w:rsidR="000C5DA5" w:rsidRPr="002A44DE" w:rsidRDefault="000C5DA5" w:rsidP="000C5DA5">
      <w:pPr>
        <w:pStyle w:val="Style6"/>
        <w:rPr>
          <w:lang w:val="en-US"/>
        </w:rPr>
      </w:pPr>
      <w:r w:rsidRPr="002A44DE">
        <w:rPr>
          <w:lang w:val="en-US"/>
        </w:rPr>
        <w:t xml:space="preserve">Ref.: </w:t>
      </w:r>
      <w:sdt>
        <w:sdtPr>
          <w:alias w:val="Year"/>
          <w:tag w:val="Year"/>
          <w:id w:val="1110708072"/>
          <w:placeholder>
            <w:docPart w:val="B190AC3EBA0F469B938DEF050112E0D5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</w:dropDownList>
        </w:sdtPr>
        <w:sdtEndPr/>
        <w:sdtContent>
          <w:r>
            <w:t>2017</w:t>
          </w:r>
        </w:sdtContent>
      </w:sdt>
      <w:r w:rsidRPr="002A44DE">
        <w:t>/</w:t>
      </w:r>
      <w:r>
        <w:t>OES/…/</w:t>
      </w:r>
      <w:sdt>
        <w:sdtPr>
          <w:alias w:val="Division acronym"/>
          <w:tag w:val="Division acronym"/>
          <w:id w:val="-1993241634"/>
          <w:placeholder>
            <w:docPart w:val="0AC9F7414F4D44DC93BF1444FFF8396B"/>
          </w:placeholder>
          <w:dropDownList>
            <w:listItem w:value="Choose Division"/>
            <w:listItem w:displayText="ECTD" w:value="ECTD"/>
            <w:listItem w:displayText="ENV" w:value="ENV"/>
            <w:listItem w:displayText="FLH" w:value="FLH"/>
            <w:listItem w:displayText="OES" w:value="OES"/>
            <w:listItem w:displayText="PAU" w:value="PAU"/>
            <w:listItem w:displayText="SDGU" w:value="SDGU"/>
            <w:listItem w:displayText="SED" w:value="SED"/>
            <w:listItem w:displayText="STAT" w:value="STAT"/>
            <w:listItem w:displayText="TRANS" w:value="TRANS"/>
          </w:dropDownList>
        </w:sdtPr>
        <w:sdtEndPr/>
        <w:sdtContent>
          <w:r w:rsidRPr="002A44DE">
            <w:t>TRANS</w:t>
          </w:r>
        </w:sdtContent>
      </w:sdt>
      <w:r w:rsidRPr="002A44DE">
        <w:t>/</w:t>
      </w:r>
      <w:r>
        <w:t>..</w:t>
      </w:r>
    </w:p>
    <w:p w:rsidR="000C5DA5" w:rsidRPr="002A44DE" w:rsidRDefault="000C5DA5" w:rsidP="000C5DA5">
      <w:pPr>
        <w:ind w:right="95"/>
        <w:jc w:val="right"/>
      </w:pPr>
      <w:r w:rsidRPr="002A44DE">
        <w:t xml:space="preserve"> </w:t>
      </w:r>
      <w:r w:rsidRPr="002A44DE">
        <w:fldChar w:fldCharType="begin"/>
      </w:r>
      <w:r w:rsidRPr="002A44DE">
        <w:instrText xml:space="preserve"> DATE  \@ "d MMMM yyyy"  \* MERGEFORMAT </w:instrText>
      </w:r>
      <w:r w:rsidRPr="002A44DE">
        <w:fldChar w:fldCharType="separate"/>
      </w:r>
      <w:r w:rsidR="00EB275B">
        <w:rPr>
          <w:noProof/>
        </w:rPr>
        <w:t>13 November 2017</w:t>
      </w:r>
      <w:r w:rsidRPr="002A44DE">
        <w:fldChar w:fldCharType="end"/>
      </w:r>
    </w:p>
    <w:p w:rsidR="000C5DA5" w:rsidRPr="0015410D" w:rsidRDefault="000C5DA5" w:rsidP="000C5DA5">
      <w:pPr>
        <w:pStyle w:val="Style7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5410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Excellency,</w:t>
      </w:r>
    </w:p>
    <w:p w:rsidR="000C5DA5" w:rsidRDefault="000C5DA5" w:rsidP="000C5DA5">
      <w:pPr>
        <w:rPr>
          <w:color w:val="000000"/>
        </w:rPr>
      </w:pPr>
      <w:r>
        <w:rPr>
          <w:color w:val="000000"/>
        </w:rPr>
        <w:tab/>
        <w:t xml:space="preserve">I have the </w:t>
      </w:r>
      <w:proofErr w:type="spellStart"/>
      <w:r>
        <w:rPr>
          <w:color w:val="000000"/>
        </w:rPr>
        <w:t>honour</w:t>
      </w:r>
      <w:proofErr w:type="spellEnd"/>
      <w:r>
        <w:rPr>
          <w:color w:val="000000"/>
        </w:rPr>
        <w:t xml:space="preserve"> of writing to you further to a request from the </w:t>
      </w:r>
      <w:r w:rsidRPr="004C5091">
        <w:rPr>
          <w:color w:val="000000"/>
        </w:rPr>
        <w:t>World Forum for the Harmonization of Vehicle Regulations (WP.29)</w:t>
      </w:r>
      <w:r>
        <w:rPr>
          <w:color w:val="000000"/>
        </w:rPr>
        <w:t xml:space="preserve"> to provide you with background information on the </w:t>
      </w:r>
      <w:r w:rsidRPr="004C5091">
        <w:rPr>
          <w:color w:val="000000"/>
        </w:rPr>
        <w:t>Database for the Exchange of Vehicle Type Approvals</w:t>
      </w:r>
      <w:r>
        <w:rPr>
          <w:color w:val="000000"/>
        </w:rPr>
        <w:t xml:space="preserve"> (DETA) and invite voluntary contributions.   </w:t>
      </w:r>
    </w:p>
    <w:p w:rsidR="000C5DA5" w:rsidRDefault="000C5DA5" w:rsidP="000C5DA5">
      <w:pPr>
        <w:rPr>
          <w:color w:val="000000"/>
        </w:rPr>
      </w:pPr>
    </w:p>
    <w:p w:rsidR="000C5DA5" w:rsidRDefault="000C5DA5" w:rsidP="000C5DA5">
      <w:pPr>
        <w:ind w:firstLine="720"/>
        <w:rPr>
          <w:color w:val="000000"/>
        </w:rPr>
      </w:pPr>
      <w:r>
        <w:rPr>
          <w:color w:val="000000"/>
        </w:rPr>
        <w:t xml:space="preserve">The </w:t>
      </w:r>
      <w:r w:rsidRPr="004C5091">
        <w:rPr>
          <w:color w:val="000000"/>
        </w:rPr>
        <w:t>1958 Agreement on harmonized technical United Nations regulations for the approval of wheeled vehicles, equipment and parts</w:t>
      </w:r>
      <w:r>
        <w:rPr>
          <w:color w:val="000000"/>
        </w:rPr>
        <w:t xml:space="preserve"> and their reciprocal recognition by its Contracting Parties relies on the exchange of information on granted approvals among the authorities of its member countries.</w:t>
      </w:r>
      <w:r w:rsidRPr="000C54E5">
        <w:rPr>
          <w:color w:val="000000"/>
        </w:rPr>
        <w:t xml:space="preserve"> </w:t>
      </w:r>
      <w:r w:rsidRPr="004C5091">
        <w:rPr>
          <w:color w:val="000000"/>
        </w:rPr>
        <w:t>Traditionally, such information</w:t>
      </w:r>
      <w:r>
        <w:rPr>
          <w:color w:val="000000"/>
        </w:rPr>
        <w:t xml:space="preserve"> has been</w:t>
      </w:r>
      <w:r w:rsidRPr="004C5091">
        <w:rPr>
          <w:color w:val="000000"/>
        </w:rPr>
        <w:t xml:space="preserve"> shared among relevant government authorities by post or fax, which takes time, can be cumbersome and costly.</w:t>
      </w:r>
      <w:r>
        <w:rPr>
          <w:color w:val="000000"/>
        </w:rPr>
        <w:t xml:space="preserve"> Advancements in information and communication technology provide new opportunities for information sharing. </w:t>
      </w:r>
    </w:p>
    <w:p w:rsidR="000C5DA5" w:rsidRDefault="000C5DA5" w:rsidP="000C5DA5">
      <w:pPr>
        <w:ind w:firstLine="720"/>
        <w:rPr>
          <w:color w:val="000000"/>
        </w:rPr>
      </w:pPr>
    </w:p>
    <w:p w:rsidR="000C5DA5" w:rsidRDefault="000C5DA5" w:rsidP="000C5DA5">
      <w:pPr>
        <w:ind w:firstLine="720"/>
        <w:rPr>
          <w:color w:val="000000"/>
        </w:rPr>
      </w:pPr>
      <w:r>
        <w:rPr>
          <w:color w:val="000000"/>
        </w:rPr>
        <w:t>Revision 3 to the 1958 Agreement requests the establishment of the electronic database (DETA)</w:t>
      </w:r>
      <w:r w:rsidRPr="004C5091">
        <w:rPr>
          <w:color w:val="000000"/>
        </w:rPr>
        <w:t xml:space="preserve">. </w:t>
      </w:r>
      <w:r>
        <w:rPr>
          <w:color w:val="000000"/>
        </w:rPr>
        <w:t>T</w:t>
      </w:r>
      <w:r w:rsidRPr="004C5091">
        <w:rPr>
          <w:color w:val="000000"/>
        </w:rPr>
        <w:t>he Contracting Parties identified UNECE</w:t>
      </w:r>
      <w:r>
        <w:rPr>
          <w:color w:val="000000"/>
        </w:rPr>
        <w:t>, the custodian of the 1958 Agreement,</w:t>
      </w:r>
      <w:r w:rsidRPr="004C5091">
        <w:rPr>
          <w:color w:val="000000"/>
        </w:rPr>
        <w:t xml:space="preserve"> as the neutral place to host DETA.</w:t>
      </w:r>
    </w:p>
    <w:p w:rsidR="000C5DA5" w:rsidRDefault="000C5DA5" w:rsidP="000C5DA5">
      <w:pPr>
        <w:ind w:firstLine="720"/>
        <w:rPr>
          <w:color w:val="000000"/>
        </w:rPr>
      </w:pPr>
    </w:p>
    <w:p w:rsidR="000C5DA5" w:rsidRPr="002A44DE" w:rsidRDefault="000C5DA5" w:rsidP="000C5DA5">
      <w:pPr>
        <w:ind w:firstLine="720"/>
        <w:rPr>
          <w:color w:val="000000"/>
        </w:rPr>
      </w:pPr>
      <w:r>
        <w:rPr>
          <w:color w:val="000000"/>
        </w:rPr>
        <w:t xml:space="preserve">DETA </w:t>
      </w:r>
      <w:r w:rsidRPr="004C5091">
        <w:rPr>
          <w:color w:val="000000"/>
        </w:rPr>
        <w:t>aim</w:t>
      </w:r>
      <w:r>
        <w:rPr>
          <w:color w:val="000000"/>
        </w:rPr>
        <w:t>s</w:t>
      </w:r>
      <w:r w:rsidRPr="004C5091">
        <w:rPr>
          <w:color w:val="000000"/>
        </w:rPr>
        <w:t xml:space="preserve"> </w:t>
      </w:r>
      <w:r>
        <w:rPr>
          <w:color w:val="000000"/>
        </w:rPr>
        <w:t>to</w:t>
      </w:r>
      <w:r w:rsidRPr="004C5091">
        <w:rPr>
          <w:color w:val="000000"/>
        </w:rPr>
        <w:t xml:space="preserve"> enhanc</w:t>
      </w:r>
      <w:r>
        <w:rPr>
          <w:color w:val="000000"/>
        </w:rPr>
        <w:t>e</w:t>
      </w:r>
      <w:r w:rsidRPr="004C5091">
        <w:rPr>
          <w:color w:val="000000"/>
        </w:rPr>
        <w:t xml:space="preserve"> the efficiency of the exchange of important information related to the construction of road vehicles.</w:t>
      </w:r>
      <w:r>
        <w:rPr>
          <w:color w:val="000000"/>
        </w:rPr>
        <w:t xml:space="preserve"> Further, it is </w:t>
      </w:r>
      <w:r w:rsidRPr="004C5091">
        <w:rPr>
          <w:color w:val="000000"/>
        </w:rPr>
        <w:t>expected to significantly increase the performance of the automotive sector governance and thus contribut</w:t>
      </w:r>
      <w:r>
        <w:rPr>
          <w:color w:val="000000"/>
        </w:rPr>
        <w:t>e</w:t>
      </w:r>
      <w:r w:rsidRPr="004C5091">
        <w:rPr>
          <w:color w:val="000000"/>
        </w:rPr>
        <w:t xml:space="preserve"> to the progress towards achieving the Sustainable Development Goals</w:t>
      </w:r>
      <w:r>
        <w:rPr>
          <w:color w:val="000000"/>
        </w:rPr>
        <w:t>.</w:t>
      </w:r>
    </w:p>
    <w:p w:rsidR="000C5DA5" w:rsidRPr="004C5091" w:rsidRDefault="000C5DA5" w:rsidP="000C5DA5">
      <w:pPr>
        <w:ind w:firstLine="720"/>
        <w:rPr>
          <w:color w:val="000000"/>
        </w:rPr>
      </w:pPr>
    </w:p>
    <w:p w:rsidR="000C5DA5" w:rsidRDefault="0015410D" w:rsidP="000C5DA5">
      <w:pPr>
        <w:rPr>
          <w:color w:val="000000"/>
        </w:rPr>
      </w:pPr>
      <w:r>
        <w:rPr>
          <w:color w:val="000000"/>
        </w:rPr>
        <w:t>T</w:t>
      </w:r>
      <w:r w:rsidR="000C5DA5">
        <w:rPr>
          <w:color w:val="000000"/>
        </w:rPr>
        <w:t>ransport (or Industry) Ministers</w:t>
      </w:r>
    </w:p>
    <w:p w:rsidR="000C5DA5" w:rsidRPr="00A53DF1" w:rsidRDefault="000C5DA5" w:rsidP="000C5DA5">
      <w:pPr>
        <w:rPr>
          <w:color w:val="000000"/>
        </w:rPr>
      </w:pPr>
      <w:r>
        <w:rPr>
          <w:color w:val="000000"/>
        </w:rPr>
        <w:t>Countries, contracting parties to the 1958 Agreement concerning t</w:t>
      </w:r>
      <w:r w:rsidRPr="00A53DF1">
        <w:rPr>
          <w:color w:val="000000"/>
        </w:rPr>
        <w:t>he Adoption of Harmonized</w:t>
      </w:r>
      <w:r>
        <w:rPr>
          <w:color w:val="000000"/>
        </w:rPr>
        <w:t xml:space="preserve"> </w:t>
      </w:r>
      <w:r w:rsidRPr="00A53DF1">
        <w:rPr>
          <w:color w:val="000000"/>
        </w:rPr>
        <w:t>Technical United Nations Regulations for Wheeled Vehicles,</w:t>
      </w:r>
    </w:p>
    <w:p w:rsidR="000C5DA5" w:rsidRDefault="000C5DA5" w:rsidP="000C5DA5">
      <w:pPr>
        <w:rPr>
          <w:color w:val="000000"/>
        </w:rPr>
      </w:pPr>
      <w:r w:rsidRPr="00A53DF1">
        <w:rPr>
          <w:color w:val="000000"/>
        </w:rPr>
        <w:t xml:space="preserve">Equipment and Parts which can be </w:t>
      </w:r>
      <w:proofErr w:type="gramStart"/>
      <w:r w:rsidRPr="00A53DF1">
        <w:rPr>
          <w:color w:val="000000"/>
        </w:rPr>
        <w:t>Fitted</w:t>
      </w:r>
      <w:proofErr w:type="gramEnd"/>
      <w:r w:rsidRPr="00A53DF1">
        <w:rPr>
          <w:color w:val="000000"/>
        </w:rPr>
        <w:t xml:space="preserve"> and/or be Used on</w:t>
      </w:r>
    </w:p>
    <w:p w:rsidR="000C5DA5" w:rsidRDefault="000C5DA5" w:rsidP="000C5DA5">
      <w:pPr>
        <w:rPr>
          <w:color w:val="000000"/>
        </w:rPr>
      </w:pPr>
      <w:r w:rsidRPr="00A53DF1">
        <w:rPr>
          <w:color w:val="000000"/>
        </w:rPr>
        <w:t>Wheeled Vehicles and the Conditions for Reciprocal</w:t>
      </w:r>
      <w:r>
        <w:rPr>
          <w:color w:val="000000"/>
        </w:rPr>
        <w:t xml:space="preserve"> </w:t>
      </w:r>
      <w:r w:rsidRPr="00A53DF1">
        <w:rPr>
          <w:color w:val="000000"/>
        </w:rPr>
        <w:t>Recognition of Approvals Granted on the Basis of these</w:t>
      </w:r>
      <w:r>
        <w:rPr>
          <w:color w:val="000000"/>
        </w:rPr>
        <w:t xml:space="preserve"> </w:t>
      </w:r>
      <w:r w:rsidRPr="00A53DF1">
        <w:rPr>
          <w:color w:val="000000"/>
        </w:rPr>
        <w:t>United Nations Regulations</w:t>
      </w:r>
    </w:p>
    <w:p w:rsidR="000C5DA5" w:rsidRPr="004C5091" w:rsidRDefault="000C5DA5" w:rsidP="000C5DA5">
      <w:pPr>
        <w:ind w:firstLine="720"/>
        <w:rPr>
          <w:color w:val="000000"/>
        </w:rPr>
      </w:pPr>
      <w:r w:rsidRPr="004C5091">
        <w:rPr>
          <w:color w:val="000000"/>
        </w:rPr>
        <w:lastRenderedPageBreak/>
        <w:t xml:space="preserve">During the June 2017 session of WP.29, some Member States </w:t>
      </w:r>
      <w:r>
        <w:rPr>
          <w:color w:val="000000"/>
        </w:rPr>
        <w:t>indicated</w:t>
      </w:r>
      <w:r w:rsidRPr="004C5091">
        <w:rPr>
          <w:color w:val="000000"/>
        </w:rPr>
        <w:t xml:space="preserve"> that some Countries would be willing to </w:t>
      </w:r>
      <w:r>
        <w:rPr>
          <w:color w:val="000000"/>
        </w:rPr>
        <w:t>contribute to</w:t>
      </w:r>
      <w:r w:rsidRPr="004C5091">
        <w:rPr>
          <w:color w:val="000000"/>
        </w:rPr>
        <w:t xml:space="preserve"> the costs related to DETA. </w:t>
      </w:r>
      <w:r>
        <w:rPr>
          <w:color w:val="000000"/>
        </w:rPr>
        <w:t>Further, p</w:t>
      </w:r>
      <w:r w:rsidRPr="004C5091">
        <w:rPr>
          <w:color w:val="000000"/>
        </w:rPr>
        <w:t xml:space="preserve">otential private donors from the automotive sector </w:t>
      </w:r>
      <w:r>
        <w:rPr>
          <w:color w:val="000000"/>
        </w:rPr>
        <w:t xml:space="preserve">indicated that </w:t>
      </w:r>
      <w:r w:rsidRPr="004C5091">
        <w:rPr>
          <w:color w:val="000000"/>
        </w:rPr>
        <w:t xml:space="preserve">they would be willing to contribute </w:t>
      </w:r>
    </w:p>
    <w:p w:rsidR="000C5DA5" w:rsidRPr="004C5091" w:rsidRDefault="000C5DA5" w:rsidP="000C5DA5">
      <w:pPr>
        <w:rPr>
          <w:color w:val="000000"/>
        </w:rPr>
      </w:pPr>
      <w:proofErr w:type="gramStart"/>
      <w:r w:rsidRPr="004C5091">
        <w:rPr>
          <w:color w:val="000000"/>
        </w:rPr>
        <w:t>to</w:t>
      </w:r>
      <w:proofErr w:type="gramEnd"/>
      <w:r w:rsidRPr="004C5091">
        <w:rPr>
          <w:color w:val="000000"/>
        </w:rPr>
        <w:t xml:space="preserve"> costs </w:t>
      </w:r>
      <w:r>
        <w:rPr>
          <w:color w:val="000000"/>
        </w:rPr>
        <w:t xml:space="preserve">for the development of additional functionalities, </w:t>
      </w:r>
      <w:r w:rsidRPr="004C5091">
        <w:rPr>
          <w:color w:val="000000"/>
        </w:rPr>
        <w:t>which would provide added value to their activities</w:t>
      </w:r>
      <w:r>
        <w:rPr>
          <w:color w:val="000000"/>
        </w:rPr>
        <w:t xml:space="preserve">. Such contributions, however, would be subject to the hosting of DETA in UNECE based on sustainable financing arrangements. </w:t>
      </w:r>
    </w:p>
    <w:p w:rsidR="000C5DA5" w:rsidRPr="004C5091" w:rsidRDefault="000C5DA5" w:rsidP="000C5DA5">
      <w:pPr>
        <w:rPr>
          <w:color w:val="000000"/>
        </w:rPr>
      </w:pPr>
    </w:p>
    <w:p w:rsidR="000C5DA5" w:rsidRPr="004C5091" w:rsidRDefault="000C5DA5" w:rsidP="000C5DA5">
      <w:pPr>
        <w:rPr>
          <w:color w:val="000000"/>
        </w:rPr>
      </w:pPr>
      <w:r>
        <w:rPr>
          <w:color w:val="000000"/>
        </w:rPr>
        <w:tab/>
        <w:t>The overall cost for establishing and running DETA over five years is estimated at around 3,610,000 USD. For further details on DETA, kindly refer to the attached background note.</w:t>
      </w:r>
    </w:p>
    <w:p w:rsidR="000C5DA5" w:rsidRPr="004C5091" w:rsidRDefault="000C5DA5" w:rsidP="000C5DA5">
      <w:pPr>
        <w:rPr>
          <w:color w:val="000000"/>
        </w:rPr>
      </w:pPr>
    </w:p>
    <w:p w:rsidR="000C5DA5" w:rsidRDefault="000C5DA5" w:rsidP="000C5DA5">
      <w:pPr>
        <w:rPr>
          <w:color w:val="000000"/>
        </w:rPr>
      </w:pPr>
      <w:r>
        <w:rPr>
          <w:color w:val="000000"/>
        </w:rPr>
        <w:tab/>
        <w:t xml:space="preserve">In light of the significant benefits to be expected, </w:t>
      </w:r>
      <w:r w:rsidRPr="004C5091">
        <w:rPr>
          <w:color w:val="000000"/>
        </w:rPr>
        <w:t xml:space="preserve">I kindly </w:t>
      </w:r>
      <w:r>
        <w:rPr>
          <w:color w:val="000000"/>
        </w:rPr>
        <w:t xml:space="preserve">invite </w:t>
      </w:r>
      <w:r w:rsidRPr="004C5091">
        <w:rPr>
          <w:color w:val="000000"/>
        </w:rPr>
        <w:t xml:space="preserve">Member States to </w:t>
      </w:r>
      <w:r>
        <w:rPr>
          <w:color w:val="000000"/>
        </w:rPr>
        <w:t>consider a voluntary financial contribution towards hosting DETA in UNECE.</w:t>
      </w:r>
      <w:r w:rsidRPr="004C5091">
        <w:rPr>
          <w:color w:val="000000"/>
        </w:rPr>
        <w:t xml:space="preserve"> </w:t>
      </w:r>
      <w:r>
        <w:rPr>
          <w:color w:val="000000"/>
        </w:rPr>
        <w:t>For further questions, you may contact Mr. Francois Guichard (</w:t>
      </w:r>
      <w:hyperlink r:id="rId8" w:history="1">
        <w:r w:rsidRPr="001471E5">
          <w:rPr>
            <w:rStyle w:val="Hyperlink"/>
          </w:rPr>
          <w:t>francois.guichard@unece.org</w:t>
        </w:r>
      </w:hyperlink>
      <w:r>
        <w:rPr>
          <w:color w:val="000000"/>
        </w:rPr>
        <w:t>), project officer for DETA in the Sustainable Transport Division.</w:t>
      </w:r>
    </w:p>
    <w:p w:rsidR="000C5DA5" w:rsidRPr="00FA7A4A" w:rsidRDefault="000C5DA5" w:rsidP="000C5DA5">
      <w:pPr>
        <w:tabs>
          <w:tab w:val="center" w:pos="7655"/>
        </w:tabs>
      </w:pPr>
    </w:p>
    <w:p w:rsidR="000C5DA5" w:rsidRDefault="000C5DA5" w:rsidP="000C5DA5">
      <w:pPr>
        <w:rPr>
          <w:color w:val="000000"/>
        </w:rPr>
      </w:pPr>
    </w:p>
    <w:p w:rsidR="000C5DA5" w:rsidRDefault="000C5DA5" w:rsidP="000C5DA5">
      <w:pPr>
        <w:ind w:left="1134" w:hanging="425"/>
        <w:rPr>
          <w:color w:val="000000"/>
        </w:rPr>
      </w:pPr>
      <w:r w:rsidRPr="002A44DE">
        <w:rPr>
          <w:color w:val="000000"/>
        </w:rPr>
        <w:t>Please accept, Excellency, the assurances of my highest consideration</w:t>
      </w:r>
    </w:p>
    <w:p w:rsidR="000C5DA5" w:rsidRDefault="000C5DA5" w:rsidP="000C5DA5">
      <w:pPr>
        <w:rPr>
          <w:color w:val="000000"/>
        </w:rPr>
      </w:pPr>
    </w:p>
    <w:p w:rsidR="000C5DA5" w:rsidRDefault="000C5DA5" w:rsidP="000C5DA5">
      <w:pPr>
        <w:rPr>
          <w:color w:val="000000"/>
        </w:rPr>
      </w:pPr>
    </w:p>
    <w:p w:rsidR="000C5DA5" w:rsidRDefault="000C5DA5" w:rsidP="000C5DA5">
      <w:pPr>
        <w:tabs>
          <w:tab w:val="center" w:pos="7655"/>
        </w:tabs>
        <w:rPr>
          <w:color w:val="000000"/>
        </w:rPr>
      </w:pPr>
    </w:p>
    <w:p w:rsidR="000C5DA5" w:rsidRDefault="000C5DA5" w:rsidP="000C5DA5">
      <w:pPr>
        <w:tabs>
          <w:tab w:val="center" w:pos="7655"/>
        </w:tabs>
        <w:rPr>
          <w:color w:val="000000"/>
        </w:rPr>
      </w:pPr>
    </w:p>
    <w:p w:rsidR="000C5DA5" w:rsidRPr="00C324C1" w:rsidRDefault="000C5DA5" w:rsidP="000C5DA5">
      <w:pPr>
        <w:tabs>
          <w:tab w:val="center" w:pos="7655"/>
        </w:tabs>
        <w:rPr>
          <w:color w:val="000000"/>
        </w:rPr>
      </w:pPr>
      <w:r>
        <w:rPr>
          <w:color w:val="000000"/>
        </w:rPr>
        <w:tab/>
      </w:r>
      <w:r w:rsidRPr="00A53DF1">
        <w:rPr>
          <w:color w:val="000000"/>
        </w:rPr>
        <w:t xml:space="preserve">Olga </w:t>
      </w:r>
      <w:proofErr w:type="spellStart"/>
      <w:r w:rsidRPr="00A53DF1">
        <w:rPr>
          <w:color w:val="000000"/>
        </w:rPr>
        <w:t>Algayerova</w:t>
      </w:r>
      <w:proofErr w:type="spellEnd"/>
    </w:p>
    <w:p w:rsidR="000C5DA5" w:rsidRDefault="000C5DA5" w:rsidP="000C5DA5">
      <w:pPr>
        <w:rPr>
          <w:color w:val="000000"/>
        </w:rPr>
      </w:pPr>
    </w:p>
    <w:p w:rsidR="000C5DA5" w:rsidRPr="00C324C1" w:rsidRDefault="000C5DA5" w:rsidP="000C5DA5">
      <w:pPr>
        <w:rPr>
          <w:rFonts w:ascii="Arial" w:hAnsi="Arial" w:cs="Arial"/>
          <w:color w:val="666666"/>
          <w:sz w:val="20"/>
          <w:szCs w:val="20"/>
        </w:rPr>
      </w:pPr>
      <w:r>
        <w:rPr>
          <w:color w:val="000000"/>
        </w:rPr>
        <w:tab/>
      </w:r>
    </w:p>
    <w:p w:rsidR="000C5DA5" w:rsidRPr="00E535EE" w:rsidRDefault="000C5DA5" w:rsidP="00E535EE">
      <w:pPr>
        <w:rPr>
          <w:lang w:val="en-GB"/>
        </w:rPr>
      </w:pPr>
    </w:p>
    <w:sectPr w:rsidR="000C5DA5" w:rsidRPr="00E535EE" w:rsidSect="000C5DA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B3" w:rsidRDefault="007830B3" w:rsidP="00E535EE">
      <w:pPr>
        <w:spacing w:after="0" w:line="240" w:lineRule="auto"/>
      </w:pPr>
      <w:r>
        <w:separator/>
      </w:r>
    </w:p>
  </w:endnote>
  <w:endnote w:type="continuationSeparator" w:id="0">
    <w:p w:rsidR="007830B3" w:rsidRDefault="007830B3" w:rsidP="00E5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B3" w:rsidRDefault="007830B3" w:rsidP="00E535EE">
      <w:pPr>
        <w:spacing w:after="0" w:line="240" w:lineRule="auto"/>
      </w:pPr>
      <w:r>
        <w:separator/>
      </w:r>
    </w:p>
  </w:footnote>
  <w:footnote w:type="continuationSeparator" w:id="0">
    <w:p w:rsidR="007830B3" w:rsidRDefault="007830B3" w:rsidP="00E535EE">
      <w:pPr>
        <w:spacing w:after="0" w:line="240" w:lineRule="auto"/>
      </w:pPr>
      <w:r>
        <w:continuationSeparator/>
      </w:r>
    </w:p>
  </w:footnote>
  <w:footnote w:id="1">
    <w:p w:rsidR="00A95A0D" w:rsidRDefault="00A95A0D" w:rsidP="00A95A0D">
      <w:pPr>
        <w:pStyle w:val="FootnoteText"/>
      </w:pPr>
      <w:r>
        <w:rPr>
          <w:rStyle w:val="FootnoteReference"/>
        </w:rPr>
        <w:footnoteRef/>
      </w:r>
      <w:r>
        <w:t xml:space="preserve"> This estimate is from the DETA software developer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A5" w:rsidRPr="000C5DA5" w:rsidRDefault="00EB275B">
    <w:pPr>
      <w:pStyle w:val="Header"/>
    </w:pPr>
    <w:r>
      <w:rPr>
        <w:rFonts w:ascii="Times New Roman" w:hAnsi="Times New Roman"/>
        <w:bCs/>
        <w:sz w:val="20"/>
        <w:szCs w:val="20"/>
        <w:lang w:val="fr-CH"/>
      </w:rPr>
      <w:t>…</w:t>
    </w:r>
  </w:p>
  <w:p w:rsidR="000C5DA5" w:rsidRDefault="000C5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A5" w:rsidRPr="007930DF" w:rsidRDefault="007930DF" w:rsidP="007930DF">
    <w:pPr>
      <w:pStyle w:val="Header"/>
      <w:tabs>
        <w:tab w:val="clear" w:pos="4680"/>
        <w:tab w:val="center" w:pos="3686"/>
        <w:tab w:val="left" w:pos="6521"/>
      </w:tabs>
      <w:jc w:val="right"/>
      <w:rPr>
        <w:rFonts w:ascii="Times New Roman" w:hAnsi="Times New Roman"/>
        <w:b/>
        <w:bCs/>
        <w:sz w:val="20"/>
        <w:szCs w:val="20"/>
      </w:rPr>
    </w:pPr>
    <w:r w:rsidRPr="007930DF">
      <w:rPr>
        <w:rFonts w:ascii="Times New Roman" w:hAnsi="Times New Roman"/>
        <w:sz w:val="20"/>
        <w:szCs w:val="20"/>
      </w:rPr>
      <w:t>Submitted by the Secretariat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0C5DA5" w:rsidRPr="007930DF">
      <w:rPr>
        <w:rFonts w:ascii="Times New Roman" w:hAnsi="Times New Roman"/>
        <w:sz w:val="20"/>
        <w:szCs w:val="20"/>
      </w:rPr>
      <w:t xml:space="preserve">Informal document </w:t>
    </w:r>
    <w:r w:rsidRPr="007930DF">
      <w:rPr>
        <w:rFonts w:ascii="Times New Roman" w:hAnsi="Times New Roman"/>
        <w:b/>
        <w:bCs/>
        <w:sz w:val="20"/>
        <w:szCs w:val="20"/>
      </w:rPr>
      <w:t>WP.29-173</w:t>
    </w:r>
    <w:r w:rsidR="000C5DA5" w:rsidRPr="007930DF">
      <w:rPr>
        <w:rFonts w:ascii="Times New Roman" w:hAnsi="Times New Roman"/>
        <w:b/>
        <w:bCs/>
        <w:sz w:val="20"/>
        <w:szCs w:val="20"/>
      </w:rPr>
      <w:t>-0</w:t>
    </w:r>
    <w:r w:rsidRPr="007930DF">
      <w:rPr>
        <w:rFonts w:ascii="Times New Roman" w:hAnsi="Times New Roman"/>
        <w:b/>
        <w:bCs/>
        <w:sz w:val="20"/>
        <w:szCs w:val="20"/>
      </w:rPr>
      <w:t>4</w:t>
    </w:r>
  </w:p>
  <w:p w:rsidR="000C5DA5" w:rsidRDefault="000C5DA5" w:rsidP="007930DF">
    <w:pPr>
      <w:pStyle w:val="Header"/>
      <w:ind w:left="5529" w:firstLine="141"/>
      <w:jc w:val="center"/>
      <w:rPr>
        <w:rFonts w:ascii="Times New Roman" w:hAnsi="Times New Roman"/>
        <w:sz w:val="20"/>
        <w:szCs w:val="20"/>
      </w:rPr>
    </w:pPr>
    <w:r w:rsidRPr="0098567E">
      <w:rPr>
        <w:rFonts w:ascii="Times New Roman" w:hAnsi="Times New Roman"/>
        <w:sz w:val="20"/>
        <w:szCs w:val="20"/>
      </w:rPr>
      <w:t>(1</w:t>
    </w:r>
    <w:r w:rsidR="007930DF">
      <w:rPr>
        <w:rFonts w:ascii="Times New Roman" w:hAnsi="Times New Roman"/>
        <w:sz w:val="20"/>
        <w:szCs w:val="20"/>
      </w:rPr>
      <w:t>73rd</w:t>
    </w:r>
    <w:r w:rsidRPr="0098567E">
      <w:rPr>
        <w:rFonts w:ascii="Times New Roman" w:hAnsi="Times New Roman"/>
        <w:sz w:val="20"/>
        <w:szCs w:val="20"/>
      </w:rPr>
      <w:t xml:space="preserve"> WP.29</w:t>
    </w:r>
    <w:r w:rsidR="007930DF">
      <w:rPr>
        <w:rFonts w:ascii="Times New Roman" w:hAnsi="Times New Roman"/>
        <w:sz w:val="20"/>
        <w:szCs w:val="20"/>
      </w:rPr>
      <w:t xml:space="preserve"> </w:t>
    </w:r>
    <w:r w:rsidRPr="0098567E">
      <w:rPr>
        <w:rFonts w:ascii="Times New Roman" w:hAnsi="Times New Roman"/>
        <w:sz w:val="20"/>
        <w:szCs w:val="20"/>
      </w:rPr>
      <w:t>session, 1</w:t>
    </w:r>
    <w:r w:rsidR="007930DF">
      <w:rPr>
        <w:rFonts w:ascii="Times New Roman" w:hAnsi="Times New Roman"/>
        <w:sz w:val="20"/>
        <w:szCs w:val="20"/>
      </w:rPr>
      <w:t>4-17</w:t>
    </w:r>
    <w:r w:rsidRPr="0098567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November</w:t>
    </w:r>
    <w:r w:rsidRPr="0098567E">
      <w:rPr>
        <w:rFonts w:ascii="Times New Roman" w:hAnsi="Times New Roman"/>
        <w:sz w:val="20"/>
        <w:szCs w:val="20"/>
      </w:rPr>
      <w:t xml:space="preserve"> 201</w:t>
    </w:r>
    <w:r>
      <w:rPr>
        <w:rFonts w:ascii="Times New Roman" w:hAnsi="Times New Roman"/>
        <w:sz w:val="20"/>
        <w:szCs w:val="20"/>
      </w:rPr>
      <w:t>7</w:t>
    </w:r>
  </w:p>
  <w:p w:rsidR="000C5DA5" w:rsidRPr="0098567E" w:rsidRDefault="000C5DA5" w:rsidP="000C5DA5">
    <w:pPr>
      <w:pStyle w:val="Header"/>
      <w:ind w:left="5529" w:hanging="142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Agenda item </w:t>
    </w:r>
    <w:r w:rsidR="007930DF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.5)</w:t>
    </w:r>
  </w:p>
  <w:p w:rsidR="000C5DA5" w:rsidRDefault="000C5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A6A"/>
    <w:multiLevelType w:val="hybridMultilevel"/>
    <w:tmpl w:val="56AEA4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12DF"/>
    <w:multiLevelType w:val="hybridMultilevel"/>
    <w:tmpl w:val="47E8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64CE"/>
    <w:multiLevelType w:val="hybridMultilevel"/>
    <w:tmpl w:val="FA30B650"/>
    <w:lvl w:ilvl="0" w:tplc="6BEA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B61"/>
    <w:multiLevelType w:val="hybridMultilevel"/>
    <w:tmpl w:val="DC7ADB7A"/>
    <w:lvl w:ilvl="0" w:tplc="6BEA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C6A"/>
    <w:multiLevelType w:val="hybridMultilevel"/>
    <w:tmpl w:val="DEE80D22"/>
    <w:lvl w:ilvl="0" w:tplc="DB3AE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7986"/>
    <w:multiLevelType w:val="hybridMultilevel"/>
    <w:tmpl w:val="BDF4E0B0"/>
    <w:lvl w:ilvl="0" w:tplc="DB3AE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26B03"/>
    <w:multiLevelType w:val="hybridMultilevel"/>
    <w:tmpl w:val="B1A81400"/>
    <w:lvl w:ilvl="0" w:tplc="D1FE8E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D6448"/>
    <w:multiLevelType w:val="hybridMultilevel"/>
    <w:tmpl w:val="79A422C6"/>
    <w:lvl w:ilvl="0" w:tplc="DB3AE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A2190"/>
    <w:multiLevelType w:val="hybridMultilevel"/>
    <w:tmpl w:val="9FD8D31C"/>
    <w:lvl w:ilvl="0" w:tplc="89E4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011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6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E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8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4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E"/>
    <w:rsid w:val="000A6EC3"/>
    <w:rsid w:val="000C5DA5"/>
    <w:rsid w:val="00121AE8"/>
    <w:rsid w:val="0015410D"/>
    <w:rsid w:val="00285E18"/>
    <w:rsid w:val="004B3908"/>
    <w:rsid w:val="006454A6"/>
    <w:rsid w:val="00746C4B"/>
    <w:rsid w:val="00751D5E"/>
    <w:rsid w:val="007830B3"/>
    <w:rsid w:val="007930DF"/>
    <w:rsid w:val="009D04CB"/>
    <w:rsid w:val="00A95A0D"/>
    <w:rsid w:val="00C319D2"/>
    <w:rsid w:val="00D20D81"/>
    <w:rsid w:val="00E535EE"/>
    <w:rsid w:val="00E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5EE"/>
    <w:rPr>
      <w:sz w:val="20"/>
      <w:szCs w:val="20"/>
    </w:rPr>
  </w:style>
  <w:style w:type="character" w:customStyle="1" w:styleId="HChGChar">
    <w:name w:val="_ H _Ch_G Char"/>
    <w:link w:val="HChG"/>
    <w:locked/>
    <w:rsid w:val="00E535EE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E535E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locked/>
    <w:rsid w:val="00E535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E535E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locked/>
    <w:rsid w:val="00E535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535E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35EE"/>
    <w:rPr>
      <w:vertAlign w:val="superscript"/>
    </w:rPr>
  </w:style>
  <w:style w:type="paragraph" w:styleId="Header">
    <w:name w:val="header"/>
    <w:basedOn w:val="Normal"/>
    <w:link w:val="HeaderChar"/>
    <w:unhideWhenUsed/>
    <w:rsid w:val="000C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A5"/>
  </w:style>
  <w:style w:type="paragraph" w:styleId="Footer">
    <w:name w:val="footer"/>
    <w:basedOn w:val="Normal"/>
    <w:link w:val="FooterChar"/>
    <w:uiPriority w:val="99"/>
    <w:unhideWhenUsed/>
    <w:rsid w:val="000C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A5"/>
  </w:style>
  <w:style w:type="paragraph" w:styleId="BalloonText">
    <w:name w:val="Balloon Text"/>
    <w:basedOn w:val="Normal"/>
    <w:link w:val="BalloonTextChar"/>
    <w:uiPriority w:val="99"/>
    <w:semiHidden/>
    <w:unhideWhenUsed/>
    <w:rsid w:val="000C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A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qFormat/>
    <w:rsid w:val="000C5DA5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7">
    <w:name w:val="Style7"/>
    <w:basedOn w:val="Normal"/>
    <w:qFormat/>
    <w:rsid w:val="000C5DA5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0C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5EE"/>
    <w:rPr>
      <w:sz w:val="20"/>
      <w:szCs w:val="20"/>
    </w:rPr>
  </w:style>
  <w:style w:type="character" w:customStyle="1" w:styleId="HChGChar">
    <w:name w:val="_ H _Ch_G Char"/>
    <w:link w:val="HChG"/>
    <w:locked/>
    <w:rsid w:val="00E535EE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E535E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locked/>
    <w:rsid w:val="00E535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E535E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locked/>
    <w:rsid w:val="00E535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535E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35EE"/>
    <w:rPr>
      <w:vertAlign w:val="superscript"/>
    </w:rPr>
  </w:style>
  <w:style w:type="paragraph" w:styleId="Header">
    <w:name w:val="header"/>
    <w:basedOn w:val="Normal"/>
    <w:link w:val="HeaderChar"/>
    <w:unhideWhenUsed/>
    <w:rsid w:val="000C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A5"/>
  </w:style>
  <w:style w:type="paragraph" w:styleId="Footer">
    <w:name w:val="footer"/>
    <w:basedOn w:val="Normal"/>
    <w:link w:val="FooterChar"/>
    <w:uiPriority w:val="99"/>
    <w:unhideWhenUsed/>
    <w:rsid w:val="000C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A5"/>
  </w:style>
  <w:style w:type="paragraph" w:styleId="BalloonText">
    <w:name w:val="Balloon Text"/>
    <w:basedOn w:val="Normal"/>
    <w:link w:val="BalloonTextChar"/>
    <w:uiPriority w:val="99"/>
    <w:semiHidden/>
    <w:unhideWhenUsed/>
    <w:rsid w:val="000C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A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qFormat/>
    <w:rsid w:val="000C5DA5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7">
    <w:name w:val="Style7"/>
    <w:basedOn w:val="Normal"/>
    <w:qFormat/>
    <w:rsid w:val="000C5DA5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0C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guichard@une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0AC3EBA0F469B938DEF050112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00A4-BF53-44C2-97FE-123E409B1604}"/>
      </w:docPartPr>
      <w:docPartBody>
        <w:p w:rsidR="007F202E" w:rsidRDefault="00D62EE6" w:rsidP="00D62EE6">
          <w:pPr>
            <w:pStyle w:val="B190AC3EBA0F469B938DEF050112E0D5"/>
          </w:pPr>
          <w:r w:rsidRPr="00FA33DC">
            <w:rPr>
              <w:rStyle w:val="PlaceholderText"/>
            </w:rPr>
            <w:t>Choose an item.</w:t>
          </w:r>
        </w:p>
      </w:docPartBody>
    </w:docPart>
    <w:docPart>
      <w:docPartPr>
        <w:name w:val="0AC9F7414F4D44DC93BF1444FFF8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19E6-368A-4FC4-A971-29746C11D7B1}"/>
      </w:docPartPr>
      <w:docPartBody>
        <w:p w:rsidR="007F202E" w:rsidRDefault="00D62EE6" w:rsidP="00D62EE6">
          <w:pPr>
            <w:pStyle w:val="0AC9F7414F4D44DC93BF1444FFF8396B"/>
          </w:pPr>
          <w:r w:rsidRPr="00FA33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6"/>
    <w:rsid w:val="007F202E"/>
    <w:rsid w:val="00D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FE4CCD14F436BB23401F0A58FFA29">
    <w:name w:val="1E4FE4CCD14F436BB23401F0A58FFA29"/>
    <w:rsid w:val="00D62EE6"/>
  </w:style>
  <w:style w:type="character" w:styleId="PlaceholderText">
    <w:name w:val="Placeholder Text"/>
    <w:basedOn w:val="DefaultParagraphFont"/>
    <w:uiPriority w:val="99"/>
    <w:semiHidden/>
    <w:rsid w:val="00D62EE6"/>
    <w:rPr>
      <w:color w:val="808080"/>
    </w:rPr>
  </w:style>
  <w:style w:type="paragraph" w:customStyle="1" w:styleId="B190AC3EBA0F469B938DEF050112E0D5">
    <w:name w:val="B190AC3EBA0F469B938DEF050112E0D5"/>
    <w:rsid w:val="00D62EE6"/>
  </w:style>
  <w:style w:type="paragraph" w:customStyle="1" w:styleId="0AC9F7414F4D44DC93BF1444FFF8396B">
    <w:name w:val="0AC9F7414F4D44DC93BF1444FFF8396B"/>
    <w:rsid w:val="00D62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FE4CCD14F436BB23401F0A58FFA29">
    <w:name w:val="1E4FE4CCD14F436BB23401F0A58FFA29"/>
    <w:rsid w:val="00D62EE6"/>
  </w:style>
  <w:style w:type="character" w:styleId="PlaceholderText">
    <w:name w:val="Placeholder Text"/>
    <w:basedOn w:val="DefaultParagraphFont"/>
    <w:uiPriority w:val="99"/>
    <w:semiHidden/>
    <w:rsid w:val="00D62EE6"/>
    <w:rPr>
      <w:color w:val="808080"/>
    </w:rPr>
  </w:style>
  <w:style w:type="paragraph" w:customStyle="1" w:styleId="B190AC3EBA0F469B938DEF050112E0D5">
    <w:name w:val="B190AC3EBA0F469B938DEF050112E0D5"/>
    <w:rsid w:val="00D62EE6"/>
  </w:style>
  <w:style w:type="paragraph" w:customStyle="1" w:styleId="0AC9F7414F4D44DC93BF1444FFF8396B">
    <w:name w:val="0AC9F7414F4D44DC93BF1444FFF8396B"/>
    <w:rsid w:val="00D6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Francois E. Guichard</cp:lastModifiedBy>
  <cp:revision>2</cp:revision>
  <cp:lastPrinted>2017-10-26T12:58:00Z</cp:lastPrinted>
  <dcterms:created xsi:type="dcterms:W3CDTF">2017-11-13T17:28:00Z</dcterms:created>
  <dcterms:modified xsi:type="dcterms:W3CDTF">2017-11-13T17:28:00Z</dcterms:modified>
</cp:coreProperties>
</file>