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925A1" w:rsidTr="00C97039">
        <w:trPr>
          <w:trHeight w:hRule="exact" w:val="851"/>
        </w:trPr>
        <w:tc>
          <w:tcPr>
            <w:tcW w:w="1276" w:type="dxa"/>
            <w:tcBorders>
              <w:bottom w:val="single" w:sz="4" w:space="0" w:color="auto"/>
            </w:tcBorders>
          </w:tcPr>
          <w:p w:rsidR="00F35BAF" w:rsidRPr="001925A1" w:rsidRDefault="00F35BAF" w:rsidP="001925A1">
            <w:bookmarkStart w:id="0" w:name="_GoBack"/>
            <w:bookmarkEnd w:id="0"/>
          </w:p>
        </w:tc>
        <w:tc>
          <w:tcPr>
            <w:tcW w:w="2268" w:type="dxa"/>
            <w:tcBorders>
              <w:bottom w:val="single" w:sz="4" w:space="0" w:color="auto"/>
            </w:tcBorders>
            <w:vAlign w:val="bottom"/>
          </w:tcPr>
          <w:p w:rsidR="00F35BAF" w:rsidRPr="001925A1" w:rsidRDefault="00F35BAF" w:rsidP="00C97039">
            <w:pPr>
              <w:spacing w:after="80" w:line="300" w:lineRule="exact"/>
              <w:rPr>
                <w:sz w:val="28"/>
              </w:rPr>
            </w:pPr>
            <w:r w:rsidRPr="001925A1">
              <w:rPr>
                <w:sz w:val="28"/>
              </w:rPr>
              <w:t>Nations Unies</w:t>
            </w:r>
          </w:p>
        </w:tc>
        <w:tc>
          <w:tcPr>
            <w:tcW w:w="6095" w:type="dxa"/>
            <w:gridSpan w:val="2"/>
            <w:tcBorders>
              <w:bottom w:val="single" w:sz="4" w:space="0" w:color="auto"/>
            </w:tcBorders>
            <w:vAlign w:val="bottom"/>
          </w:tcPr>
          <w:p w:rsidR="00F35BAF" w:rsidRPr="001925A1" w:rsidRDefault="001925A1" w:rsidP="001925A1">
            <w:pPr>
              <w:jc w:val="right"/>
            </w:pPr>
            <w:r w:rsidRPr="001925A1">
              <w:rPr>
                <w:sz w:val="40"/>
              </w:rPr>
              <w:t>ECE</w:t>
            </w:r>
            <w:r w:rsidRPr="001925A1">
              <w:t>/TRANS/WP.29/AC.3/48</w:t>
            </w:r>
          </w:p>
        </w:tc>
      </w:tr>
      <w:tr w:rsidR="00F35BAF" w:rsidRPr="001925A1" w:rsidTr="00C97039">
        <w:trPr>
          <w:trHeight w:hRule="exact" w:val="2835"/>
        </w:trPr>
        <w:tc>
          <w:tcPr>
            <w:tcW w:w="1276" w:type="dxa"/>
            <w:tcBorders>
              <w:top w:val="single" w:sz="4" w:space="0" w:color="auto"/>
              <w:bottom w:val="single" w:sz="12" w:space="0" w:color="auto"/>
            </w:tcBorders>
          </w:tcPr>
          <w:p w:rsidR="00F35BAF" w:rsidRPr="001925A1" w:rsidRDefault="00F35BAF" w:rsidP="00C97039">
            <w:pPr>
              <w:spacing w:before="120"/>
              <w:jc w:val="center"/>
            </w:pPr>
            <w:r w:rsidRPr="001925A1">
              <w:rPr>
                <w:noProof/>
                <w:lang w:val="en-GB" w:eastAsia="en-GB"/>
              </w:rPr>
              <w:drawing>
                <wp:inline distT="0" distB="0" distL="0" distR="0" wp14:anchorId="60B70BC2" wp14:editId="694B07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925A1" w:rsidRDefault="00F35BAF" w:rsidP="00C97039">
            <w:pPr>
              <w:spacing w:before="120" w:line="420" w:lineRule="exact"/>
              <w:rPr>
                <w:b/>
                <w:sz w:val="40"/>
                <w:szCs w:val="40"/>
              </w:rPr>
            </w:pPr>
            <w:r w:rsidRPr="001925A1">
              <w:rPr>
                <w:b/>
                <w:sz w:val="40"/>
                <w:szCs w:val="40"/>
              </w:rPr>
              <w:t>Conseil économique et social</w:t>
            </w:r>
          </w:p>
        </w:tc>
        <w:tc>
          <w:tcPr>
            <w:tcW w:w="2835" w:type="dxa"/>
            <w:tcBorders>
              <w:top w:val="single" w:sz="4" w:space="0" w:color="auto"/>
              <w:bottom w:val="single" w:sz="12" w:space="0" w:color="auto"/>
            </w:tcBorders>
          </w:tcPr>
          <w:p w:rsidR="00F35BAF" w:rsidRPr="001925A1" w:rsidRDefault="001925A1" w:rsidP="00C97039">
            <w:pPr>
              <w:spacing w:before="240"/>
            </w:pPr>
            <w:r w:rsidRPr="001925A1">
              <w:t>Distr. générale</w:t>
            </w:r>
          </w:p>
          <w:p w:rsidR="001925A1" w:rsidRPr="001925A1" w:rsidRDefault="001925A1" w:rsidP="001925A1">
            <w:pPr>
              <w:spacing w:line="240" w:lineRule="exact"/>
            </w:pPr>
            <w:r w:rsidRPr="001925A1">
              <w:t>7 avril 2017</w:t>
            </w:r>
          </w:p>
          <w:p w:rsidR="001925A1" w:rsidRPr="001925A1" w:rsidRDefault="001925A1" w:rsidP="001925A1">
            <w:pPr>
              <w:spacing w:line="240" w:lineRule="exact"/>
            </w:pPr>
            <w:r w:rsidRPr="001925A1">
              <w:t>Français</w:t>
            </w:r>
          </w:p>
          <w:p w:rsidR="001925A1" w:rsidRPr="001925A1" w:rsidRDefault="001925A1" w:rsidP="001925A1">
            <w:pPr>
              <w:spacing w:line="240" w:lineRule="exact"/>
            </w:pPr>
            <w:r w:rsidRPr="001925A1">
              <w:t>Original</w:t>
            </w:r>
            <w:r>
              <w:t> :</w:t>
            </w:r>
            <w:r w:rsidRPr="001925A1">
              <w:t xml:space="preserve"> anglais</w:t>
            </w:r>
          </w:p>
        </w:tc>
      </w:tr>
    </w:tbl>
    <w:p w:rsidR="007F20FA" w:rsidRPr="001925A1" w:rsidRDefault="007F20FA" w:rsidP="007F20FA">
      <w:pPr>
        <w:spacing w:before="120"/>
        <w:rPr>
          <w:b/>
          <w:sz w:val="28"/>
          <w:szCs w:val="28"/>
        </w:rPr>
      </w:pPr>
      <w:r w:rsidRPr="001925A1">
        <w:rPr>
          <w:b/>
          <w:sz w:val="28"/>
          <w:szCs w:val="28"/>
        </w:rPr>
        <w:t>Commission économique pour l’Europe</w:t>
      </w:r>
    </w:p>
    <w:p w:rsidR="007F20FA" w:rsidRPr="001925A1" w:rsidRDefault="007F20FA" w:rsidP="007F20FA">
      <w:pPr>
        <w:spacing w:before="120"/>
        <w:rPr>
          <w:sz w:val="28"/>
          <w:szCs w:val="28"/>
        </w:rPr>
      </w:pPr>
      <w:r w:rsidRPr="001925A1">
        <w:rPr>
          <w:sz w:val="28"/>
          <w:szCs w:val="28"/>
        </w:rPr>
        <w:t>Comité des transports intérieurs</w:t>
      </w:r>
    </w:p>
    <w:p w:rsidR="001925A1" w:rsidRPr="001925A1" w:rsidRDefault="001925A1" w:rsidP="001925A1">
      <w:pPr>
        <w:spacing w:before="120" w:after="120"/>
        <w:rPr>
          <w:b/>
          <w:sz w:val="24"/>
          <w:szCs w:val="24"/>
        </w:rPr>
      </w:pPr>
      <w:r w:rsidRPr="001925A1">
        <w:rPr>
          <w:b/>
          <w:sz w:val="24"/>
          <w:szCs w:val="24"/>
        </w:rPr>
        <w:t xml:space="preserve">Forum mondial de l’harmonisation </w:t>
      </w:r>
      <w:r w:rsidRPr="001925A1">
        <w:rPr>
          <w:b/>
          <w:sz w:val="24"/>
          <w:szCs w:val="24"/>
        </w:rPr>
        <w:br/>
        <w:t>des Règlements concernant les véhicules</w:t>
      </w:r>
    </w:p>
    <w:p w:rsidR="001925A1" w:rsidRPr="001925A1" w:rsidRDefault="001925A1" w:rsidP="001925A1">
      <w:pPr>
        <w:rPr>
          <w:b/>
        </w:rPr>
      </w:pPr>
      <w:r w:rsidRPr="001925A1">
        <w:rPr>
          <w:b/>
        </w:rPr>
        <w:t>172</w:t>
      </w:r>
      <w:r w:rsidRPr="001925A1">
        <w:rPr>
          <w:b/>
          <w:vertAlign w:val="superscript"/>
        </w:rPr>
        <w:t>e</w:t>
      </w:r>
      <w:r w:rsidRPr="001925A1">
        <w:rPr>
          <w:b/>
        </w:rPr>
        <w:t> session</w:t>
      </w:r>
    </w:p>
    <w:p w:rsidR="001925A1" w:rsidRPr="001925A1" w:rsidRDefault="001925A1" w:rsidP="001925A1">
      <w:r w:rsidRPr="001925A1">
        <w:t>Genève, 20-23 juin 2017</w:t>
      </w:r>
    </w:p>
    <w:p w:rsidR="001925A1" w:rsidRPr="001925A1" w:rsidRDefault="001925A1" w:rsidP="001925A1">
      <w:r w:rsidRPr="001925A1">
        <w:t>Point 19.7 de l’ordre du jour provisoire</w:t>
      </w:r>
    </w:p>
    <w:p w:rsidR="001925A1" w:rsidRPr="001925A1" w:rsidRDefault="001925A1" w:rsidP="001925A1">
      <w:pPr>
        <w:rPr>
          <w:b/>
        </w:rPr>
      </w:pPr>
      <w:r w:rsidRPr="001925A1">
        <w:rPr>
          <w:b/>
        </w:rPr>
        <w:t xml:space="preserve">État d’avancement de l’élaboration de nouveaux RTM </w:t>
      </w:r>
      <w:r w:rsidRPr="001925A1">
        <w:rPr>
          <w:b/>
        </w:rPr>
        <w:br/>
        <w:t>et d’amendements à des RTM existants</w:t>
      </w:r>
      <w:r>
        <w:rPr>
          <w:b/>
        </w:rPr>
        <w:t> </w:t>
      </w:r>
      <w:proofErr w:type="gramStart"/>
      <w:r>
        <w:rPr>
          <w:b/>
        </w:rPr>
        <w:t>:</w:t>
      </w:r>
      <w:proofErr w:type="gramEnd"/>
      <w:r w:rsidRPr="001925A1">
        <w:rPr>
          <w:b/>
        </w:rPr>
        <w:br/>
        <w:t xml:space="preserve">Règlement technique mondial </w:t>
      </w:r>
      <w:r w:rsidRPr="001925A1">
        <w:rPr>
          <w:rFonts w:eastAsia="MS Mincho"/>
          <w:b/>
        </w:rPr>
        <w:t>n</w:t>
      </w:r>
      <w:r w:rsidRPr="001925A1">
        <w:rPr>
          <w:rFonts w:eastAsia="MS Mincho"/>
          <w:b/>
          <w:vertAlign w:val="superscript"/>
        </w:rPr>
        <w:t>o</w:t>
      </w:r>
      <w:r w:rsidRPr="001925A1">
        <w:rPr>
          <w:b/>
        </w:rPr>
        <w:t> 16 (Pneumatiques)</w:t>
      </w:r>
    </w:p>
    <w:p w:rsidR="001925A1" w:rsidRPr="001925A1" w:rsidRDefault="001925A1" w:rsidP="001925A1">
      <w:pPr>
        <w:pStyle w:val="HChG"/>
      </w:pPr>
      <w:r w:rsidRPr="001925A1">
        <w:tab/>
      </w:r>
      <w:r w:rsidRPr="001925A1">
        <w:tab/>
        <w:t xml:space="preserve">Autorisation d’élaborer l’amendement 2 au Règlement technique mondial </w:t>
      </w:r>
      <w:r w:rsidRPr="001925A1">
        <w:rPr>
          <w:rFonts w:eastAsia="MS Mincho"/>
        </w:rPr>
        <w:t>n</w:t>
      </w:r>
      <w:r w:rsidRPr="001925A1">
        <w:rPr>
          <w:rFonts w:eastAsia="MS Mincho"/>
          <w:vertAlign w:val="superscript"/>
        </w:rPr>
        <w:t>o</w:t>
      </w:r>
      <w:r w:rsidRPr="001925A1">
        <w:t> 16 (Pneumatiques)</w:t>
      </w:r>
    </w:p>
    <w:p w:rsidR="001925A1" w:rsidRPr="001925A1" w:rsidRDefault="001925A1" w:rsidP="001925A1">
      <w:pPr>
        <w:pStyle w:val="H1G"/>
      </w:pPr>
      <w:r w:rsidRPr="001925A1">
        <w:tab/>
      </w:r>
      <w:r w:rsidRPr="001925A1">
        <w:tab/>
        <w:t>Communication du représentant de la Fédération de Russie</w:t>
      </w:r>
      <w:r w:rsidRPr="001925A1">
        <w:rPr>
          <w:b w:val="0"/>
          <w:sz w:val="20"/>
        </w:rPr>
        <w:footnoteReference w:customMarkFollows="1" w:id="2"/>
        <w:t>*</w:t>
      </w:r>
    </w:p>
    <w:p w:rsidR="001925A1" w:rsidRPr="001925A1" w:rsidRDefault="001925A1" w:rsidP="001925A1">
      <w:pPr>
        <w:pStyle w:val="SingleTxtG"/>
        <w:ind w:firstLine="567"/>
      </w:pPr>
      <w:r w:rsidRPr="001925A1">
        <w:t>Le texte reproduit ci-après s’appuie sur le document ECE/TRANS/WP.29/2017/52, qui a été présenté à la 171</w:t>
      </w:r>
      <w:r w:rsidRPr="001925A1">
        <w:rPr>
          <w:vertAlign w:val="superscript"/>
        </w:rPr>
        <w:t>e</w:t>
      </w:r>
      <w:r w:rsidRPr="001925A1">
        <w:t xml:space="preserve"> session du Forum mondial de l’harmonisation des Règlements </w:t>
      </w:r>
      <w:proofErr w:type="gramStart"/>
      <w:r w:rsidRPr="001925A1">
        <w:t>concernant</w:t>
      </w:r>
      <w:proofErr w:type="gramEnd"/>
      <w:r w:rsidRPr="001925A1">
        <w:t xml:space="preserve"> les véhicules (WP.29). Il</w:t>
      </w:r>
      <w:r w:rsidRPr="001925A1">
        <w:rPr>
          <w:bCs/>
        </w:rPr>
        <w:t xml:space="preserve"> a été</w:t>
      </w:r>
      <w:r w:rsidRPr="001925A1">
        <w:t xml:space="preserve"> approuvé pour examen par le WP.29 et le Comité exécutif de l’Accord de 1998 (AC.3) à leurs sessions de mars</w:t>
      </w:r>
      <w:r>
        <w:t xml:space="preserve"> </w:t>
      </w:r>
      <w:r w:rsidRPr="001925A1">
        <w:t xml:space="preserve">2017. La présente autorisation est transmise au </w:t>
      </w:r>
      <w:r w:rsidRPr="001925A1">
        <w:rPr>
          <w:bCs/>
        </w:rPr>
        <w:t>Groupe de travail en matière de roulement et de freinage</w:t>
      </w:r>
      <w:r w:rsidRPr="001925A1">
        <w:t xml:space="preserve"> (GRRF). En application des dispositions des paragrap</w:t>
      </w:r>
      <w:r>
        <w:t>h</w:t>
      </w:r>
      <w:r w:rsidRPr="001925A1">
        <w:t>es</w:t>
      </w:r>
      <w:r>
        <w:t xml:space="preserve"> </w:t>
      </w:r>
      <w:r w:rsidRPr="001925A1">
        <w:t>6.3.4.2, 6.3.7 et 6.4 de l’Accord de 1998, le présent document devra être annexé à tout règlement technique mondial nouveau ou modifié, une fois adopté.</w:t>
      </w:r>
    </w:p>
    <w:p w:rsidR="001925A1" w:rsidRPr="001925A1" w:rsidRDefault="001925A1" w:rsidP="001925A1">
      <w:pPr>
        <w:pStyle w:val="HChG"/>
      </w:pPr>
      <w:r w:rsidRPr="001925A1">
        <w:br w:type="page"/>
      </w:r>
      <w:r w:rsidRPr="001925A1">
        <w:lastRenderedPageBreak/>
        <w:tab/>
      </w:r>
      <w:r w:rsidRPr="001925A1">
        <w:tab/>
        <w:t xml:space="preserve">Autorisation d’élaboration de l’amendement 2 au Règlement technique mondial </w:t>
      </w:r>
      <w:r>
        <w:rPr>
          <w:rFonts w:eastAsia="MS Mincho"/>
        </w:rPr>
        <w:t>n</w:t>
      </w:r>
      <w:r>
        <w:rPr>
          <w:rFonts w:eastAsia="MS Mincho"/>
          <w:vertAlign w:val="superscript"/>
        </w:rPr>
        <w:t>o</w:t>
      </w:r>
      <w:r>
        <w:t> </w:t>
      </w:r>
      <w:r w:rsidRPr="001925A1">
        <w:t>16 (Pneumatiques)</w:t>
      </w:r>
    </w:p>
    <w:p w:rsidR="001925A1" w:rsidRPr="001925A1" w:rsidRDefault="001925A1" w:rsidP="001925A1">
      <w:pPr>
        <w:pStyle w:val="H1G"/>
        <w:rPr>
          <w:lang w:eastAsia="ko-KR"/>
        </w:rPr>
      </w:pPr>
      <w:r w:rsidRPr="001925A1">
        <w:rPr>
          <w:lang w:eastAsia="ko-KR"/>
        </w:rPr>
        <w:tab/>
        <w:t>A.</w:t>
      </w:r>
      <w:r w:rsidRPr="001925A1">
        <w:rPr>
          <w:lang w:eastAsia="ko-KR"/>
        </w:rPr>
        <w:tab/>
      </w:r>
      <w:r w:rsidRPr="001925A1">
        <w:t>Objectif</w:t>
      </w:r>
    </w:p>
    <w:p w:rsidR="001925A1" w:rsidRPr="001925A1" w:rsidRDefault="001925A1" w:rsidP="001925A1">
      <w:pPr>
        <w:pStyle w:val="ParNoG"/>
        <w:rPr>
          <w:spacing w:val="-2"/>
          <w:lang w:eastAsia="ko-KR"/>
        </w:rPr>
      </w:pPr>
      <w:r w:rsidRPr="001925A1">
        <w:rPr>
          <w:spacing w:val="-2"/>
        </w:rPr>
        <w:t xml:space="preserve">L’objectif de cette proposition est d’élaborer, dans le cadre de l’Accord de 1998, un amendement au Règlement technique mondial (RTM) </w:t>
      </w:r>
      <w:r w:rsidRPr="001925A1">
        <w:rPr>
          <w:rFonts w:eastAsia="MS Mincho"/>
          <w:spacing w:val="-2"/>
          <w:szCs w:val="22"/>
        </w:rPr>
        <w:t>n</w:t>
      </w:r>
      <w:r w:rsidRPr="001925A1">
        <w:rPr>
          <w:rFonts w:eastAsia="MS Mincho"/>
          <w:spacing w:val="-2"/>
          <w:szCs w:val="22"/>
          <w:vertAlign w:val="superscript"/>
        </w:rPr>
        <w:t>o</w:t>
      </w:r>
      <w:r w:rsidRPr="001925A1">
        <w:rPr>
          <w:spacing w:val="-2"/>
        </w:rPr>
        <w:t> 16 de l’ONU sur les pneumatiques, afin de mieux harmoniser ses dispositions et de l’adapter aux progrès techniques</w:t>
      </w:r>
      <w:r w:rsidRPr="001925A1">
        <w:rPr>
          <w:spacing w:val="-2"/>
          <w:lang w:eastAsia="ko-KR"/>
        </w:rPr>
        <w:t>.</w:t>
      </w:r>
    </w:p>
    <w:p w:rsidR="001925A1" w:rsidRPr="001925A1" w:rsidRDefault="001925A1" w:rsidP="001925A1">
      <w:pPr>
        <w:pStyle w:val="H1G"/>
        <w:rPr>
          <w:lang w:eastAsia="ko-KR"/>
        </w:rPr>
      </w:pPr>
      <w:r w:rsidRPr="001925A1">
        <w:rPr>
          <w:lang w:eastAsia="ko-KR"/>
        </w:rPr>
        <w:tab/>
        <w:t>B.</w:t>
      </w:r>
      <w:r w:rsidRPr="001925A1">
        <w:rPr>
          <w:lang w:eastAsia="ko-KR"/>
        </w:rPr>
        <w:tab/>
        <w:t>Informations générales</w:t>
      </w:r>
    </w:p>
    <w:p w:rsidR="001925A1" w:rsidRPr="001925A1" w:rsidRDefault="001925A1" w:rsidP="001925A1">
      <w:pPr>
        <w:pStyle w:val="ParNoG"/>
      </w:pPr>
      <w:r w:rsidRPr="001925A1">
        <w:t xml:space="preserve">Le RTM </w:t>
      </w:r>
      <w:r w:rsidRPr="001925A1">
        <w:rPr>
          <w:rFonts w:eastAsia="MS Mincho"/>
          <w:szCs w:val="22"/>
        </w:rPr>
        <w:t>n</w:t>
      </w:r>
      <w:r w:rsidRPr="001925A1">
        <w:rPr>
          <w:rFonts w:eastAsia="MS Mincho"/>
          <w:szCs w:val="22"/>
          <w:vertAlign w:val="superscript"/>
        </w:rPr>
        <w:t>o</w:t>
      </w:r>
      <w:r w:rsidRPr="001925A1">
        <w:t> 16 sur les pneumatiques a été inscrit au Registre mondial le 13 novembre 2014. Le groupe de travail informel responsable de ce RTM a</w:t>
      </w:r>
      <w:r>
        <w:t xml:space="preserve"> </w:t>
      </w:r>
      <w:r w:rsidRPr="001925A1">
        <w:t>eu du mal à harmoniser les dispositions techniques de manière à les rendre acceptables aussi bien pour les systèmes d’évaluation de la conformité en vue de l’autocertification que pour les systèmes d’évaluation de la conformité en vue de l’homologation de type.</w:t>
      </w:r>
    </w:p>
    <w:p w:rsidR="001925A1" w:rsidRPr="001925A1" w:rsidRDefault="001925A1" w:rsidP="001925A1">
      <w:pPr>
        <w:pStyle w:val="ParNoG"/>
      </w:pPr>
      <w:r w:rsidRPr="001925A1">
        <w:t xml:space="preserve">Le projet d’amendement 1 au RTM </w:t>
      </w:r>
      <w:r>
        <w:rPr>
          <w:rFonts w:eastAsia="MS Mincho"/>
        </w:rPr>
        <w:t>n</w:t>
      </w:r>
      <w:r>
        <w:rPr>
          <w:rFonts w:eastAsia="MS Mincho"/>
          <w:vertAlign w:val="superscript"/>
        </w:rPr>
        <w:t>o</w:t>
      </w:r>
      <w:r>
        <w:t> </w:t>
      </w:r>
      <w:r w:rsidRPr="001925A1">
        <w:t xml:space="preserve">16, soumis pour examen et vote par l’AC.3 à sa session de novembre 2016, a été élaboré en vue d’adapter ledit RTM </w:t>
      </w:r>
      <w:r w:rsidRPr="001925A1">
        <w:rPr>
          <w:rFonts w:eastAsia="MS Mincho"/>
          <w:szCs w:val="22"/>
        </w:rPr>
        <w:t>n</w:t>
      </w:r>
      <w:r w:rsidRPr="001925A1">
        <w:rPr>
          <w:rFonts w:eastAsia="MS Mincho"/>
          <w:szCs w:val="22"/>
          <w:vertAlign w:val="superscript"/>
        </w:rPr>
        <w:t>o</w:t>
      </w:r>
      <w:r w:rsidRPr="001925A1">
        <w:t xml:space="preserve"> 16 au progrès technique en y intégrant les nouvelles dispositions relatives à l’adhérence sur sol mouillé, à la résistance au roulement et à la qualification pour une utilisation sur routes très fortement enneigées des pneumatiques tant des voitures particulières que des véhicules utilitaires légers, récemment adoptées et intégrées dans le Règlement </w:t>
      </w:r>
      <w:r w:rsidRPr="001925A1">
        <w:rPr>
          <w:rFonts w:eastAsia="MS Mincho"/>
          <w:szCs w:val="22"/>
        </w:rPr>
        <w:t>n</w:t>
      </w:r>
      <w:r w:rsidRPr="001925A1">
        <w:rPr>
          <w:rFonts w:eastAsia="MS Mincho"/>
          <w:szCs w:val="22"/>
          <w:vertAlign w:val="superscript"/>
        </w:rPr>
        <w:t>o</w:t>
      </w:r>
      <w:r w:rsidRPr="001925A1">
        <w:t> 117.</w:t>
      </w:r>
    </w:p>
    <w:p w:rsidR="001925A1" w:rsidRPr="001925A1" w:rsidRDefault="001925A1" w:rsidP="001925A1">
      <w:pPr>
        <w:pStyle w:val="ParNoG"/>
      </w:pPr>
      <w:r w:rsidRPr="001925A1">
        <w:t xml:space="preserve">Dans la version initiale du RTM </w:t>
      </w:r>
      <w:r w:rsidRPr="001925A1">
        <w:rPr>
          <w:rFonts w:eastAsia="MS Mincho"/>
          <w:szCs w:val="22"/>
        </w:rPr>
        <w:t>n</w:t>
      </w:r>
      <w:r w:rsidRPr="001925A1">
        <w:rPr>
          <w:rFonts w:eastAsia="MS Mincho"/>
          <w:szCs w:val="22"/>
          <w:vertAlign w:val="superscript"/>
        </w:rPr>
        <w:t>o</w:t>
      </w:r>
      <w:r w:rsidRPr="001925A1">
        <w:t> 16, les prescriptions harmonisées s’appliquent seulement aux pneumatiques pour voitures particulières. Le tableau suivant décrit les essais non harmonisés applicables aux pneumatiques LT/C (par. 23 de la première partie du RTM</w:t>
      </w:r>
      <w:r>
        <w:t xml:space="preserve"> </w:t>
      </w:r>
      <w:r w:rsidRPr="001925A1">
        <w:rPr>
          <w:rFonts w:eastAsia="MS Mincho"/>
          <w:szCs w:val="22"/>
        </w:rPr>
        <w:t>n</w:t>
      </w:r>
      <w:r w:rsidRPr="001925A1">
        <w:rPr>
          <w:rFonts w:eastAsia="MS Mincho"/>
          <w:szCs w:val="22"/>
          <w:vertAlign w:val="superscript"/>
        </w:rPr>
        <w:t>o</w:t>
      </w:r>
      <w:r w:rsidRPr="001925A1">
        <w:t> 16).</w:t>
      </w:r>
    </w:p>
    <w:tbl>
      <w:tblPr>
        <w:tblW w:w="73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3"/>
        <w:gridCol w:w="2213"/>
        <w:gridCol w:w="1879"/>
      </w:tblGrid>
      <w:tr w:rsidR="001925A1" w:rsidRPr="001925A1" w:rsidTr="001925A1">
        <w:trPr>
          <w:tblHeader/>
        </w:trPr>
        <w:tc>
          <w:tcPr>
            <w:tcW w:w="3281" w:type="dxa"/>
            <w:tcBorders>
              <w:bottom w:val="single" w:sz="4" w:space="0" w:color="auto"/>
            </w:tcBorders>
            <w:shd w:val="clear" w:color="auto" w:fill="auto"/>
            <w:vAlign w:val="bottom"/>
            <w:hideMark/>
          </w:tcPr>
          <w:p w:rsidR="001925A1" w:rsidRPr="001925A1" w:rsidRDefault="001925A1" w:rsidP="001925A1">
            <w:pPr>
              <w:spacing w:before="80" w:after="80" w:line="200" w:lineRule="exact"/>
              <w:ind w:left="57" w:right="57"/>
              <w:rPr>
                <w:i/>
                <w:sz w:val="16"/>
              </w:rPr>
            </w:pPr>
            <w:r w:rsidRPr="001925A1">
              <w:rPr>
                <w:i/>
                <w:sz w:val="16"/>
              </w:rPr>
              <w:t>Pneumatiques LT/C</w:t>
            </w:r>
          </w:p>
        </w:tc>
        <w:tc>
          <w:tcPr>
            <w:tcW w:w="2211" w:type="dxa"/>
            <w:tcBorders>
              <w:bottom w:val="single" w:sz="4" w:space="0" w:color="auto"/>
            </w:tcBorders>
            <w:shd w:val="clear" w:color="auto" w:fill="auto"/>
            <w:vAlign w:val="bottom"/>
            <w:hideMark/>
          </w:tcPr>
          <w:p w:rsidR="001925A1" w:rsidRPr="001925A1" w:rsidRDefault="001925A1" w:rsidP="001925A1">
            <w:pPr>
              <w:spacing w:before="80" w:after="80" w:line="200" w:lineRule="exact"/>
              <w:ind w:left="57" w:right="57"/>
              <w:rPr>
                <w:i/>
                <w:sz w:val="16"/>
              </w:rPr>
            </w:pPr>
            <w:r w:rsidRPr="001925A1">
              <w:rPr>
                <w:i/>
                <w:sz w:val="16"/>
              </w:rPr>
              <w:t>Pneumatiques de type C</w:t>
            </w:r>
          </w:p>
        </w:tc>
        <w:tc>
          <w:tcPr>
            <w:tcW w:w="1878" w:type="dxa"/>
            <w:tcBorders>
              <w:bottom w:val="single" w:sz="4" w:space="0" w:color="auto"/>
            </w:tcBorders>
            <w:shd w:val="clear" w:color="auto" w:fill="auto"/>
            <w:vAlign w:val="bottom"/>
            <w:hideMark/>
          </w:tcPr>
          <w:p w:rsidR="001925A1" w:rsidRPr="001925A1" w:rsidRDefault="001925A1" w:rsidP="001925A1">
            <w:pPr>
              <w:spacing w:before="80" w:after="80" w:line="200" w:lineRule="exact"/>
              <w:ind w:left="57" w:right="57"/>
              <w:rPr>
                <w:i/>
                <w:sz w:val="16"/>
              </w:rPr>
            </w:pPr>
            <w:r w:rsidRPr="001925A1">
              <w:rPr>
                <w:i/>
                <w:sz w:val="16"/>
              </w:rPr>
              <w:t>Pneumatiques de type LT</w:t>
            </w:r>
          </w:p>
        </w:tc>
      </w:tr>
      <w:tr w:rsidR="001925A1" w:rsidRPr="001925A1" w:rsidTr="001925A1">
        <w:trPr>
          <w:tblHeader/>
        </w:trPr>
        <w:tc>
          <w:tcPr>
            <w:tcW w:w="3281" w:type="dxa"/>
            <w:tcBorders>
              <w:bottom w:val="single" w:sz="12" w:space="0" w:color="auto"/>
            </w:tcBorders>
            <w:shd w:val="clear" w:color="auto" w:fill="auto"/>
            <w:vAlign w:val="bottom"/>
          </w:tcPr>
          <w:p w:rsidR="001925A1" w:rsidRPr="001925A1" w:rsidRDefault="001925A1" w:rsidP="001925A1">
            <w:pPr>
              <w:spacing w:before="80" w:after="80" w:line="200" w:lineRule="exact"/>
              <w:ind w:left="57" w:right="57"/>
              <w:rPr>
                <w:i/>
                <w:sz w:val="16"/>
              </w:rPr>
            </w:pPr>
            <w:r w:rsidRPr="001925A1">
              <w:rPr>
                <w:i/>
                <w:sz w:val="16"/>
              </w:rPr>
              <w:t>Essais</w:t>
            </w:r>
          </w:p>
        </w:tc>
        <w:tc>
          <w:tcPr>
            <w:tcW w:w="2211" w:type="dxa"/>
            <w:tcBorders>
              <w:bottom w:val="single" w:sz="12" w:space="0" w:color="auto"/>
            </w:tcBorders>
            <w:shd w:val="clear" w:color="auto" w:fill="auto"/>
            <w:vAlign w:val="bottom"/>
          </w:tcPr>
          <w:p w:rsidR="001925A1" w:rsidRPr="001925A1" w:rsidRDefault="001925A1" w:rsidP="001925A1">
            <w:pPr>
              <w:spacing w:before="80" w:after="80" w:line="200" w:lineRule="exact"/>
              <w:ind w:left="57" w:right="57"/>
              <w:rPr>
                <w:i/>
                <w:sz w:val="16"/>
              </w:rPr>
            </w:pPr>
            <w:r w:rsidRPr="001925A1">
              <w:rPr>
                <w:i/>
                <w:sz w:val="16"/>
              </w:rPr>
              <w:t xml:space="preserve">Paragraphes fondés </w:t>
            </w:r>
            <w:r>
              <w:rPr>
                <w:i/>
                <w:sz w:val="16"/>
              </w:rPr>
              <w:t>sur le </w:t>
            </w:r>
            <w:r w:rsidRPr="001925A1">
              <w:rPr>
                <w:i/>
                <w:sz w:val="16"/>
              </w:rPr>
              <w:t xml:space="preserve">Règlement </w:t>
            </w:r>
            <w:r w:rsidRPr="001925A1">
              <w:rPr>
                <w:rFonts w:eastAsia="MS Mincho"/>
                <w:i/>
                <w:sz w:val="16"/>
                <w:szCs w:val="22"/>
              </w:rPr>
              <w:t>n</w:t>
            </w:r>
            <w:r w:rsidRPr="001925A1">
              <w:rPr>
                <w:rFonts w:eastAsia="MS Mincho"/>
                <w:i/>
                <w:sz w:val="16"/>
                <w:szCs w:val="22"/>
                <w:vertAlign w:val="superscript"/>
              </w:rPr>
              <w:t>o</w:t>
            </w:r>
            <w:r w:rsidRPr="001925A1">
              <w:rPr>
                <w:i/>
                <w:sz w:val="16"/>
              </w:rPr>
              <w:t> 54</w:t>
            </w:r>
          </w:p>
        </w:tc>
        <w:tc>
          <w:tcPr>
            <w:tcW w:w="1878" w:type="dxa"/>
            <w:tcBorders>
              <w:bottom w:val="single" w:sz="12" w:space="0" w:color="auto"/>
            </w:tcBorders>
            <w:shd w:val="clear" w:color="auto" w:fill="auto"/>
            <w:vAlign w:val="bottom"/>
          </w:tcPr>
          <w:p w:rsidR="001925A1" w:rsidRPr="001925A1" w:rsidRDefault="001925A1" w:rsidP="001925A1">
            <w:pPr>
              <w:spacing w:before="80" w:after="80" w:line="200" w:lineRule="exact"/>
              <w:ind w:left="57" w:right="57"/>
              <w:rPr>
                <w:i/>
                <w:sz w:val="16"/>
              </w:rPr>
            </w:pPr>
            <w:r w:rsidRPr="001925A1">
              <w:rPr>
                <w:i/>
                <w:sz w:val="16"/>
              </w:rPr>
              <w:t>Paragraphes fondés sur la</w:t>
            </w:r>
            <w:r>
              <w:rPr>
                <w:i/>
                <w:sz w:val="16"/>
              </w:rPr>
              <w:t> </w:t>
            </w:r>
            <w:r w:rsidRPr="001925A1">
              <w:rPr>
                <w:i/>
                <w:sz w:val="16"/>
              </w:rPr>
              <w:t>norme FMVSS 139</w:t>
            </w:r>
          </w:p>
        </w:tc>
      </w:tr>
      <w:tr w:rsidR="001925A1" w:rsidRPr="001925A1" w:rsidTr="001925A1">
        <w:trPr>
          <w:trHeight w:hRule="exact" w:val="113"/>
          <w:tblHeader/>
        </w:trPr>
        <w:tc>
          <w:tcPr>
            <w:tcW w:w="3281" w:type="dxa"/>
            <w:tcBorders>
              <w:top w:val="single" w:sz="12" w:space="0" w:color="auto"/>
              <w:bottom w:val="nil"/>
            </w:tcBorders>
            <w:shd w:val="clear" w:color="auto" w:fill="auto"/>
          </w:tcPr>
          <w:p w:rsidR="001925A1" w:rsidRPr="001925A1" w:rsidRDefault="001925A1" w:rsidP="001925A1">
            <w:pPr>
              <w:spacing w:before="40" w:after="120"/>
              <w:ind w:left="57" w:right="57"/>
            </w:pPr>
          </w:p>
        </w:tc>
        <w:tc>
          <w:tcPr>
            <w:tcW w:w="2211" w:type="dxa"/>
            <w:tcBorders>
              <w:top w:val="single" w:sz="12" w:space="0" w:color="auto"/>
              <w:bottom w:val="nil"/>
            </w:tcBorders>
            <w:shd w:val="clear" w:color="auto" w:fill="auto"/>
          </w:tcPr>
          <w:p w:rsidR="001925A1" w:rsidRPr="001925A1" w:rsidRDefault="001925A1" w:rsidP="001925A1">
            <w:pPr>
              <w:spacing w:before="40" w:after="120"/>
              <w:ind w:left="57" w:right="57"/>
            </w:pPr>
          </w:p>
        </w:tc>
        <w:tc>
          <w:tcPr>
            <w:tcW w:w="1878" w:type="dxa"/>
            <w:tcBorders>
              <w:top w:val="single" w:sz="12" w:space="0" w:color="auto"/>
              <w:bottom w:val="nil"/>
            </w:tcBorders>
            <w:shd w:val="clear" w:color="auto" w:fill="auto"/>
          </w:tcPr>
          <w:p w:rsidR="001925A1" w:rsidRPr="001925A1" w:rsidRDefault="001925A1" w:rsidP="001925A1">
            <w:pPr>
              <w:spacing w:before="40" w:after="120"/>
              <w:ind w:left="57" w:right="57"/>
            </w:pPr>
          </w:p>
        </w:tc>
      </w:tr>
      <w:tr w:rsidR="001925A1" w:rsidRPr="001925A1" w:rsidTr="001925A1">
        <w:tc>
          <w:tcPr>
            <w:tcW w:w="3281" w:type="dxa"/>
            <w:tcBorders>
              <w:top w:val="nil"/>
            </w:tcBorders>
            <w:shd w:val="clear" w:color="auto" w:fill="auto"/>
            <w:hideMark/>
          </w:tcPr>
          <w:p w:rsidR="001925A1" w:rsidRPr="001925A1" w:rsidRDefault="001925A1" w:rsidP="001925A1">
            <w:pPr>
              <w:spacing w:before="40" w:after="120"/>
              <w:ind w:left="57" w:right="57"/>
            </w:pPr>
            <w:r w:rsidRPr="001925A1">
              <w:t>Marquage et témoins d’usure</w:t>
            </w:r>
          </w:p>
        </w:tc>
        <w:tc>
          <w:tcPr>
            <w:tcW w:w="2211" w:type="dxa"/>
            <w:tcBorders>
              <w:top w:val="nil"/>
            </w:tcBorders>
            <w:shd w:val="clear" w:color="auto" w:fill="auto"/>
            <w:hideMark/>
          </w:tcPr>
          <w:p w:rsidR="001925A1" w:rsidRPr="001925A1" w:rsidRDefault="001925A1" w:rsidP="001925A1">
            <w:pPr>
              <w:spacing w:before="40" w:after="120"/>
              <w:ind w:left="57" w:right="57"/>
            </w:pPr>
            <w:r w:rsidRPr="001925A1">
              <w:t>3.2, 3.3 et 3.4</w:t>
            </w:r>
          </w:p>
        </w:tc>
        <w:tc>
          <w:tcPr>
            <w:tcW w:w="1878" w:type="dxa"/>
            <w:tcBorders>
              <w:top w:val="nil"/>
            </w:tcBorders>
            <w:shd w:val="clear" w:color="auto" w:fill="auto"/>
            <w:hideMark/>
          </w:tcPr>
          <w:p w:rsidR="001925A1" w:rsidRPr="001925A1" w:rsidRDefault="001925A1" w:rsidP="001925A1">
            <w:pPr>
              <w:spacing w:before="40" w:after="120"/>
              <w:ind w:left="57" w:right="57"/>
            </w:pPr>
            <w:r w:rsidRPr="001925A1">
              <w:t>3.2, 3.3 et 3.4</w:t>
            </w:r>
          </w:p>
        </w:tc>
      </w:tr>
      <w:tr w:rsidR="001925A1" w:rsidRPr="001925A1" w:rsidTr="001925A1">
        <w:tc>
          <w:tcPr>
            <w:tcW w:w="3281" w:type="dxa"/>
            <w:shd w:val="clear" w:color="auto" w:fill="auto"/>
            <w:hideMark/>
          </w:tcPr>
          <w:p w:rsidR="001925A1" w:rsidRPr="001925A1" w:rsidRDefault="001925A1" w:rsidP="001925A1">
            <w:pPr>
              <w:spacing w:before="40" w:after="120"/>
              <w:ind w:left="57" w:right="57"/>
            </w:pPr>
            <w:r w:rsidRPr="001925A1">
              <w:t>Dimensions physiques</w:t>
            </w:r>
          </w:p>
        </w:tc>
        <w:tc>
          <w:tcPr>
            <w:tcW w:w="2211" w:type="dxa"/>
            <w:shd w:val="clear" w:color="auto" w:fill="auto"/>
            <w:hideMark/>
          </w:tcPr>
          <w:p w:rsidR="001925A1" w:rsidRPr="001925A1" w:rsidRDefault="001925A1" w:rsidP="001925A1">
            <w:pPr>
              <w:spacing w:before="40" w:after="120"/>
              <w:ind w:left="57" w:right="57"/>
            </w:pPr>
            <w:r w:rsidRPr="001925A1">
              <w:t>3.21</w:t>
            </w:r>
          </w:p>
        </w:tc>
        <w:tc>
          <w:tcPr>
            <w:tcW w:w="1878" w:type="dxa"/>
            <w:shd w:val="clear" w:color="auto" w:fill="auto"/>
            <w:hideMark/>
          </w:tcPr>
          <w:p w:rsidR="001925A1" w:rsidRPr="001925A1" w:rsidRDefault="001925A1" w:rsidP="001925A1">
            <w:pPr>
              <w:spacing w:before="40" w:after="120"/>
              <w:ind w:left="57" w:right="57"/>
            </w:pPr>
            <w:r w:rsidRPr="001925A1">
              <w:t>3.20</w:t>
            </w:r>
          </w:p>
        </w:tc>
      </w:tr>
      <w:tr w:rsidR="001925A1" w:rsidRPr="001925A1" w:rsidTr="001925A1">
        <w:tc>
          <w:tcPr>
            <w:tcW w:w="3281" w:type="dxa"/>
            <w:shd w:val="clear" w:color="auto" w:fill="auto"/>
            <w:hideMark/>
          </w:tcPr>
          <w:p w:rsidR="001925A1" w:rsidRPr="001925A1" w:rsidRDefault="001925A1" w:rsidP="001925A1">
            <w:pPr>
              <w:spacing w:before="40" w:after="120"/>
              <w:ind w:left="57" w:right="57"/>
            </w:pPr>
            <w:r w:rsidRPr="001925A1">
              <w:t>Essai à grande vitesse</w:t>
            </w:r>
          </w:p>
        </w:tc>
        <w:tc>
          <w:tcPr>
            <w:tcW w:w="2211" w:type="dxa"/>
            <w:shd w:val="clear" w:color="auto" w:fill="auto"/>
            <w:hideMark/>
          </w:tcPr>
          <w:p w:rsidR="001925A1" w:rsidRPr="001925A1" w:rsidRDefault="001925A1" w:rsidP="001925A1">
            <w:pPr>
              <w:spacing w:before="40" w:after="120"/>
              <w:ind w:left="57" w:right="57"/>
            </w:pPr>
            <w:r w:rsidRPr="001925A1">
              <w:t xml:space="preserve">3.16 </w:t>
            </w:r>
          </w:p>
        </w:tc>
        <w:tc>
          <w:tcPr>
            <w:tcW w:w="1878" w:type="dxa"/>
            <w:shd w:val="clear" w:color="auto" w:fill="auto"/>
            <w:hideMark/>
          </w:tcPr>
          <w:p w:rsidR="001925A1" w:rsidRPr="001925A1" w:rsidRDefault="001925A1" w:rsidP="001925A1">
            <w:pPr>
              <w:spacing w:before="40" w:after="120"/>
              <w:ind w:left="57" w:right="57"/>
            </w:pPr>
            <w:r w:rsidRPr="001925A1">
              <w:t>3.19</w:t>
            </w:r>
          </w:p>
        </w:tc>
      </w:tr>
      <w:tr w:rsidR="001925A1" w:rsidRPr="001925A1" w:rsidTr="001925A1">
        <w:tc>
          <w:tcPr>
            <w:tcW w:w="3281" w:type="dxa"/>
            <w:shd w:val="clear" w:color="auto" w:fill="auto"/>
            <w:hideMark/>
          </w:tcPr>
          <w:p w:rsidR="001925A1" w:rsidRPr="001925A1" w:rsidRDefault="001925A1" w:rsidP="001925A1">
            <w:pPr>
              <w:spacing w:before="40" w:after="120"/>
              <w:ind w:left="57" w:right="57"/>
            </w:pPr>
            <w:r w:rsidRPr="001925A1">
              <w:t>Essai d’endurance</w:t>
            </w:r>
          </w:p>
        </w:tc>
        <w:tc>
          <w:tcPr>
            <w:tcW w:w="2211" w:type="dxa"/>
            <w:shd w:val="clear" w:color="auto" w:fill="auto"/>
            <w:hideMark/>
          </w:tcPr>
          <w:p w:rsidR="001925A1" w:rsidRPr="001925A1" w:rsidRDefault="001925A1" w:rsidP="001925A1">
            <w:pPr>
              <w:spacing w:before="40" w:after="120"/>
              <w:ind w:left="57" w:right="57"/>
            </w:pPr>
            <w:r w:rsidRPr="001925A1">
              <w:t>3.16</w:t>
            </w:r>
          </w:p>
        </w:tc>
        <w:tc>
          <w:tcPr>
            <w:tcW w:w="1878" w:type="dxa"/>
            <w:shd w:val="clear" w:color="auto" w:fill="auto"/>
            <w:hideMark/>
          </w:tcPr>
          <w:p w:rsidR="001925A1" w:rsidRPr="001925A1" w:rsidRDefault="001925A1" w:rsidP="001925A1">
            <w:pPr>
              <w:spacing w:before="40" w:after="120"/>
              <w:ind w:left="57" w:right="57"/>
            </w:pPr>
            <w:r w:rsidRPr="001925A1">
              <w:t>3.17</w:t>
            </w:r>
          </w:p>
        </w:tc>
      </w:tr>
      <w:tr w:rsidR="001925A1" w:rsidRPr="001925A1" w:rsidTr="001925A1">
        <w:tc>
          <w:tcPr>
            <w:tcW w:w="3281" w:type="dxa"/>
            <w:shd w:val="clear" w:color="auto" w:fill="auto"/>
            <w:hideMark/>
          </w:tcPr>
          <w:p w:rsidR="001925A1" w:rsidRPr="001925A1" w:rsidRDefault="001925A1" w:rsidP="001925A1">
            <w:pPr>
              <w:spacing w:before="40" w:after="120"/>
              <w:ind w:left="57" w:right="57"/>
            </w:pPr>
            <w:r w:rsidRPr="001925A1">
              <w:t>Essai en sous-gonflage</w:t>
            </w:r>
          </w:p>
        </w:tc>
        <w:tc>
          <w:tcPr>
            <w:tcW w:w="2211" w:type="dxa"/>
            <w:shd w:val="clear" w:color="auto" w:fill="auto"/>
            <w:hideMark/>
          </w:tcPr>
          <w:p w:rsidR="001925A1" w:rsidRPr="001925A1" w:rsidRDefault="001925A1" w:rsidP="001925A1">
            <w:pPr>
              <w:spacing w:before="40" w:after="120"/>
              <w:ind w:left="57" w:right="57"/>
            </w:pPr>
            <w:r w:rsidRPr="001925A1">
              <w:t>Néant</w:t>
            </w:r>
          </w:p>
        </w:tc>
        <w:tc>
          <w:tcPr>
            <w:tcW w:w="1878" w:type="dxa"/>
            <w:shd w:val="clear" w:color="auto" w:fill="auto"/>
            <w:hideMark/>
          </w:tcPr>
          <w:p w:rsidR="001925A1" w:rsidRPr="001925A1" w:rsidRDefault="001925A1" w:rsidP="001925A1">
            <w:pPr>
              <w:spacing w:before="40" w:after="120"/>
              <w:ind w:left="57" w:right="57"/>
            </w:pPr>
            <w:r w:rsidRPr="001925A1">
              <w:t>3.18</w:t>
            </w:r>
          </w:p>
        </w:tc>
      </w:tr>
      <w:tr w:rsidR="001925A1" w:rsidRPr="001925A1" w:rsidTr="001925A1">
        <w:tc>
          <w:tcPr>
            <w:tcW w:w="3281" w:type="dxa"/>
            <w:shd w:val="clear" w:color="auto" w:fill="auto"/>
            <w:hideMark/>
          </w:tcPr>
          <w:p w:rsidR="001925A1" w:rsidRPr="001925A1" w:rsidRDefault="001925A1" w:rsidP="001925A1">
            <w:pPr>
              <w:spacing w:before="40" w:after="120"/>
              <w:ind w:left="57" w:right="57"/>
            </w:pPr>
            <w:r w:rsidRPr="001925A1">
              <w:t>Essai d’adhérence sur sol mouillé</w:t>
            </w:r>
          </w:p>
        </w:tc>
        <w:tc>
          <w:tcPr>
            <w:tcW w:w="2211" w:type="dxa"/>
            <w:shd w:val="clear" w:color="auto" w:fill="auto"/>
            <w:hideMark/>
          </w:tcPr>
          <w:p w:rsidR="001925A1" w:rsidRPr="001925A1" w:rsidRDefault="001925A1" w:rsidP="001925A1">
            <w:pPr>
              <w:spacing w:before="40" w:after="120"/>
              <w:ind w:left="57" w:right="57"/>
            </w:pPr>
            <w:r w:rsidRPr="001925A1">
              <w:t>Néant</w:t>
            </w:r>
          </w:p>
        </w:tc>
        <w:tc>
          <w:tcPr>
            <w:tcW w:w="1878" w:type="dxa"/>
            <w:shd w:val="clear" w:color="auto" w:fill="auto"/>
            <w:hideMark/>
          </w:tcPr>
          <w:p w:rsidR="001925A1" w:rsidRPr="001925A1" w:rsidRDefault="001925A1" w:rsidP="001925A1">
            <w:pPr>
              <w:spacing w:before="40" w:after="120"/>
              <w:ind w:left="57" w:right="57"/>
            </w:pPr>
            <w:r w:rsidRPr="001925A1">
              <w:t>Néant</w:t>
            </w:r>
          </w:p>
        </w:tc>
      </w:tr>
      <w:tr w:rsidR="001925A1" w:rsidRPr="001925A1" w:rsidTr="001925A1">
        <w:tc>
          <w:tcPr>
            <w:tcW w:w="3281" w:type="dxa"/>
            <w:shd w:val="clear" w:color="auto" w:fill="auto"/>
            <w:hideMark/>
          </w:tcPr>
          <w:p w:rsidR="001925A1" w:rsidRPr="001925A1" w:rsidRDefault="001925A1" w:rsidP="001925A1">
            <w:pPr>
              <w:spacing w:before="40" w:after="120"/>
              <w:ind w:left="57" w:right="57"/>
            </w:pPr>
            <w:r w:rsidRPr="001925A1">
              <w:t>Essai de roulage à plat</w:t>
            </w:r>
          </w:p>
        </w:tc>
        <w:tc>
          <w:tcPr>
            <w:tcW w:w="2211" w:type="dxa"/>
            <w:shd w:val="clear" w:color="auto" w:fill="auto"/>
            <w:hideMark/>
          </w:tcPr>
          <w:p w:rsidR="001925A1" w:rsidRPr="001925A1" w:rsidRDefault="001925A1" w:rsidP="001925A1">
            <w:pPr>
              <w:spacing w:before="40" w:after="120"/>
              <w:ind w:left="57" w:right="57"/>
            </w:pPr>
            <w:r w:rsidRPr="001925A1">
              <w:t>Néant</w:t>
            </w:r>
          </w:p>
        </w:tc>
        <w:tc>
          <w:tcPr>
            <w:tcW w:w="1878" w:type="dxa"/>
            <w:shd w:val="clear" w:color="auto" w:fill="auto"/>
            <w:hideMark/>
          </w:tcPr>
          <w:p w:rsidR="001925A1" w:rsidRPr="001925A1" w:rsidRDefault="001925A1" w:rsidP="001925A1">
            <w:pPr>
              <w:spacing w:before="40" w:after="120"/>
              <w:ind w:left="57" w:right="57"/>
            </w:pPr>
            <w:r w:rsidRPr="001925A1">
              <w:t>Néant</w:t>
            </w:r>
          </w:p>
        </w:tc>
      </w:tr>
      <w:tr w:rsidR="001925A1" w:rsidRPr="001925A1" w:rsidTr="001925A1">
        <w:tc>
          <w:tcPr>
            <w:tcW w:w="3281" w:type="dxa"/>
            <w:shd w:val="clear" w:color="auto" w:fill="auto"/>
            <w:hideMark/>
          </w:tcPr>
          <w:p w:rsidR="001925A1" w:rsidRPr="001925A1" w:rsidRDefault="001925A1" w:rsidP="001925A1">
            <w:pPr>
              <w:spacing w:before="40" w:after="120"/>
              <w:ind w:left="57" w:right="57"/>
            </w:pPr>
            <w:r w:rsidRPr="001925A1">
              <w:t>Essai de résistance</w:t>
            </w:r>
          </w:p>
        </w:tc>
        <w:tc>
          <w:tcPr>
            <w:tcW w:w="2211" w:type="dxa"/>
            <w:shd w:val="clear" w:color="auto" w:fill="auto"/>
            <w:hideMark/>
          </w:tcPr>
          <w:p w:rsidR="001925A1" w:rsidRPr="001925A1" w:rsidRDefault="001925A1" w:rsidP="001925A1">
            <w:pPr>
              <w:spacing w:before="40" w:after="120"/>
              <w:ind w:left="57" w:right="57"/>
            </w:pPr>
            <w:r w:rsidRPr="001925A1">
              <w:t>Néant</w:t>
            </w:r>
          </w:p>
        </w:tc>
        <w:tc>
          <w:tcPr>
            <w:tcW w:w="1878" w:type="dxa"/>
            <w:shd w:val="clear" w:color="auto" w:fill="auto"/>
            <w:hideMark/>
          </w:tcPr>
          <w:p w:rsidR="001925A1" w:rsidRPr="001925A1" w:rsidRDefault="001925A1" w:rsidP="001925A1">
            <w:pPr>
              <w:spacing w:before="40" w:after="120"/>
              <w:ind w:left="57" w:right="57"/>
            </w:pPr>
            <w:r w:rsidRPr="001925A1">
              <w:t>3.14</w:t>
            </w:r>
          </w:p>
        </w:tc>
      </w:tr>
      <w:tr w:rsidR="001925A1" w:rsidRPr="001925A1" w:rsidTr="001925A1">
        <w:tc>
          <w:tcPr>
            <w:tcW w:w="3281" w:type="dxa"/>
            <w:tcBorders>
              <w:bottom w:val="single" w:sz="4" w:space="0" w:color="auto"/>
            </w:tcBorders>
            <w:shd w:val="clear" w:color="auto" w:fill="auto"/>
            <w:hideMark/>
          </w:tcPr>
          <w:p w:rsidR="001925A1" w:rsidRPr="001925A1" w:rsidRDefault="001925A1" w:rsidP="001925A1">
            <w:pPr>
              <w:spacing w:before="40" w:after="120"/>
              <w:ind w:left="57" w:right="57"/>
            </w:pPr>
            <w:r w:rsidRPr="001925A1">
              <w:t>Essai de détalonnage</w:t>
            </w:r>
          </w:p>
        </w:tc>
        <w:tc>
          <w:tcPr>
            <w:tcW w:w="2211" w:type="dxa"/>
            <w:tcBorders>
              <w:bottom w:val="single" w:sz="4" w:space="0" w:color="auto"/>
            </w:tcBorders>
            <w:shd w:val="clear" w:color="auto" w:fill="auto"/>
            <w:hideMark/>
          </w:tcPr>
          <w:p w:rsidR="001925A1" w:rsidRPr="001925A1" w:rsidRDefault="001925A1" w:rsidP="001925A1">
            <w:pPr>
              <w:spacing w:before="40" w:after="120"/>
              <w:ind w:left="57" w:right="57"/>
            </w:pPr>
            <w:r w:rsidRPr="001925A1">
              <w:t>Néant</w:t>
            </w:r>
          </w:p>
        </w:tc>
        <w:tc>
          <w:tcPr>
            <w:tcW w:w="1878" w:type="dxa"/>
            <w:tcBorders>
              <w:bottom w:val="single" w:sz="4" w:space="0" w:color="auto"/>
            </w:tcBorders>
            <w:shd w:val="clear" w:color="auto" w:fill="auto"/>
            <w:hideMark/>
          </w:tcPr>
          <w:p w:rsidR="001925A1" w:rsidRPr="001925A1" w:rsidRDefault="001925A1" w:rsidP="001925A1">
            <w:pPr>
              <w:spacing w:before="40" w:after="120"/>
              <w:ind w:left="57" w:right="57"/>
            </w:pPr>
            <w:r w:rsidRPr="001925A1">
              <w:t>3.15</w:t>
            </w:r>
          </w:p>
        </w:tc>
      </w:tr>
      <w:tr w:rsidR="001925A1" w:rsidRPr="001925A1" w:rsidTr="001925A1">
        <w:tc>
          <w:tcPr>
            <w:tcW w:w="3281" w:type="dxa"/>
            <w:tcBorders>
              <w:bottom w:val="single" w:sz="12" w:space="0" w:color="auto"/>
            </w:tcBorders>
            <w:shd w:val="clear" w:color="auto" w:fill="auto"/>
            <w:hideMark/>
          </w:tcPr>
          <w:p w:rsidR="001925A1" w:rsidRPr="001925A1" w:rsidRDefault="001925A1" w:rsidP="001925A1">
            <w:pPr>
              <w:spacing w:before="40" w:after="120"/>
              <w:ind w:left="57" w:right="57"/>
            </w:pPr>
            <w:r w:rsidRPr="001925A1">
              <w:t>Essai de bruit de roulement</w:t>
            </w:r>
          </w:p>
        </w:tc>
        <w:tc>
          <w:tcPr>
            <w:tcW w:w="2211" w:type="dxa"/>
            <w:tcBorders>
              <w:bottom w:val="single" w:sz="12" w:space="0" w:color="auto"/>
            </w:tcBorders>
            <w:shd w:val="clear" w:color="auto" w:fill="auto"/>
            <w:hideMark/>
          </w:tcPr>
          <w:p w:rsidR="001925A1" w:rsidRPr="001925A1" w:rsidRDefault="001925A1" w:rsidP="001925A1">
            <w:pPr>
              <w:spacing w:before="40" w:after="120"/>
              <w:ind w:left="57" w:right="57"/>
            </w:pPr>
            <w:r w:rsidRPr="001925A1">
              <w:t>3.8</w:t>
            </w:r>
          </w:p>
        </w:tc>
        <w:tc>
          <w:tcPr>
            <w:tcW w:w="1878" w:type="dxa"/>
            <w:tcBorders>
              <w:bottom w:val="single" w:sz="12" w:space="0" w:color="auto"/>
            </w:tcBorders>
            <w:shd w:val="clear" w:color="auto" w:fill="auto"/>
            <w:hideMark/>
          </w:tcPr>
          <w:p w:rsidR="001925A1" w:rsidRPr="001925A1" w:rsidRDefault="001925A1" w:rsidP="001925A1">
            <w:pPr>
              <w:spacing w:before="40" w:after="120"/>
              <w:ind w:left="57" w:right="57"/>
            </w:pPr>
            <w:r w:rsidRPr="001925A1">
              <w:t>Néant</w:t>
            </w:r>
          </w:p>
        </w:tc>
      </w:tr>
    </w:tbl>
    <w:p w:rsidR="001925A1" w:rsidRPr="001925A1" w:rsidRDefault="001925A1" w:rsidP="001925A1">
      <w:pPr>
        <w:pStyle w:val="ParNoG"/>
        <w:spacing w:before="240"/>
      </w:pPr>
      <w:r w:rsidRPr="001925A1">
        <w:t xml:space="preserve">L’amendement 2 au RTM </w:t>
      </w:r>
      <w:r w:rsidRPr="001925A1">
        <w:rPr>
          <w:rFonts w:eastAsia="MS Mincho"/>
          <w:szCs w:val="22"/>
        </w:rPr>
        <w:t>n</w:t>
      </w:r>
      <w:r w:rsidRPr="001925A1">
        <w:rPr>
          <w:rFonts w:eastAsia="MS Mincho"/>
          <w:szCs w:val="22"/>
          <w:vertAlign w:val="superscript"/>
        </w:rPr>
        <w:t>o</w:t>
      </w:r>
      <w:r w:rsidRPr="001925A1">
        <w:t> 16</w:t>
      </w:r>
      <w:r>
        <w:t xml:space="preserve"> </w:t>
      </w:r>
      <w:r w:rsidRPr="001925A1">
        <w:t>porte sur l’harmonisation de l’essai des dimensions physiques (« phase 2A ») et de l’essai à grande vitesse (« phase 2B »).</w:t>
      </w:r>
    </w:p>
    <w:p w:rsidR="001925A1" w:rsidRPr="001925A1" w:rsidRDefault="001925A1" w:rsidP="001925A1">
      <w:pPr>
        <w:pStyle w:val="ParNoG"/>
      </w:pPr>
      <w:r w:rsidRPr="001925A1">
        <w:t xml:space="preserve">L’amendement 2 au RTM </w:t>
      </w:r>
      <w:r w:rsidRPr="001925A1">
        <w:rPr>
          <w:rFonts w:eastAsia="MS Mincho"/>
          <w:szCs w:val="22"/>
        </w:rPr>
        <w:t>n</w:t>
      </w:r>
      <w:r w:rsidRPr="001925A1">
        <w:rPr>
          <w:rFonts w:eastAsia="MS Mincho"/>
          <w:szCs w:val="22"/>
          <w:vertAlign w:val="superscript"/>
        </w:rPr>
        <w:t>o</w:t>
      </w:r>
      <w:r w:rsidRPr="001925A1">
        <w:t xml:space="preserve"> 16 tiendra également compte des mises à jour les plus récentes des Règlements </w:t>
      </w:r>
      <w:r w:rsidRPr="001925A1">
        <w:rPr>
          <w:rFonts w:eastAsia="MS Mincho"/>
          <w:szCs w:val="22"/>
        </w:rPr>
        <w:t>n</w:t>
      </w:r>
      <w:r w:rsidRPr="001925A1">
        <w:rPr>
          <w:rFonts w:eastAsia="MS Mincho"/>
          <w:szCs w:val="22"/>
          <w:vertAlign w:val="superscript"/>
        </w:rPr>
        <w:t>o</w:t>
      </w:r>
      <w:r w:rsidRPr="001925A1">
        <w:t xml:space="preserve"> 30 et </w:t>
      </w:r>
      <w:r w:rsidRPr="001925A1">
        <w:rPr>
          <w:rFonts w:eastAsia="MS Mincho"/>
          <w:szCs w:val="22"/>
        </w:rPr>
        <w:t>n</w:t>
      </w:r>
      <w:r w:rsidRPr="001925A1">
        <w:rPr>
          <w:rFonts w:eastAsia="MS Mincho"/>
          <w:szCs w:val="22"/>
          <w:vertAlign w:val="superscript"/>
        </w:rPr>
        <w:t>o</w:t>
      </w:r>
      <w:r w:rsidRPr="001925A1">
        <w:t> 54 de l’ONU ainsi que des normes FMVSS des États</w:t>
      </w:r>
      <w:r>
        <w:noBreakHyphen/>
      </w:r>
      <w:r w:rsidRPr="001925A1">
        <w:t>Unis d’Amérique.</w:t>
      </w:r>
    </w:p>
    <w:p w:rsidR="001925A1" w:rsidRPr="001925A1" w:rsidRDefault="001925A1" w:rsidP="001925A1">
      <w:pPr>
        <w:pStyle w:val="ParNoG"/>
        <w:rPr>
          <w:lang w:eastAsia="ko-KR"/>
        </w:rPr>
      </w:pPr>
      <w:r w:rsidRPr="001925A1">
        <w:lastRenderedPageBreak/>
        <w:t>Comme suite à l’annonce faite par le représentant de la Fédération de Russie à la 165</w:t>
      </w:r>
      <w:r w:rsidRPr="001925A1">
        <w:rPr>
          <w:vertAlign w:val="superscript"/>
        </w:rPr>
        <w:t>e</w:t>
      </w:r>
      <w:r w:rsidRPr="001925A1">
        <w:t xml:space="preserve"> session du WP.29 en mars 2015 (ECE/TRANS/WP.29/1114, par. 39), le Gouvernement de la Fédération de Russie assume la responsabilité technique et dirigera l’élaboration de l’amendement 2 au RTM </w:t>
      </w:r>
      <w:r w:rsidRPr="001925A1">
        <w:rPr>
          <w:rFonts w:eastAsia="MS Mincho"/>
          <w:szCs w:val="22"/>
        </w:rPr>
        <w:t>n</w:t>
      </w:r>
      <w:r w:rsidRPr="001925A1">
        <w:rPr>
          <w:rFonts w:eastAsia="MS Mincho"/>
          <w:szCs w:val="22"/>
          <w:vertAlign w:val="superscript"/>
        </w:rPr>
        <w:t>o</w:t>
      </w:r>
      <w:r w:rsidRPr="001925A1">
        <w:t> 16</w:t>
      </w:r>
      <w:r w:rsidRPr="001925A1">
        <w:rPr>
          <w:lang w:eastAsia="ko-KR"/>
        </w:rPr>
        <w:t>.</w:t>
      </w:r>
    </w:p>
    <w:p w:rsidR="001925A1" w:rsidRPr="001925A1" w:rsidRDefault="001925A1" w:rsidP="001925A1">
      <w:pPr>
        <w:pStyle w:val="H1G"/>
        <w:rPr>
          <w:lang w:eastAsia="ko-KR"/>
        </w:rPr>
      </w:pPr>
      <w:r w:rsidRPr="001925A1">
        <w:rPr>
          <w:lang w:eastAsia="ko-KR"/>
        </w:rPr>
        <w:tab/>
        <w:t>C.</w:t>
      </w:r>
      <w:r w:rsidRPr="001925A1">
        <w:rPr>
          <w:lang w:eastAsia="ko-KR"/>
        </w:rPr>
        <w:tab/>
      </w:r>
      <w:r w:rsidRPr="001925A1">
        <w:rPr>
          <w:rFonts w:eastAsia="MS Mincho"/>
        </w:rPr>
        <w:t>Objet de l’amendement</w:t>
      </w:r>
    </w:p>
    <w:p w:rsidR="001925A1" w:rsidRPr="001925A1" w:rsidRDefault="001925A1" w:rsidP="001925A1">
      <w:pPr>
        <w:pStyle w:val="ParNoG"/>
        <w:keepNext/>
      </w:pPr>
      <w:r w:rsidRPr="001925A1">
        <w:t xml:space="preserve">L’amendement 2 au RTM </w:t>
      </w:r>
      <w:r w:rsidR="00A75FCF">
        <w:rPr>
          <w:rFonts w:eastAsia="MS Mincho"/>
        </w:rPr>
        <w:t>n</w:t>
      </w:r>
      <w:r w:rsidR="00A75FCF">
        <w:rPr>
          <w:rFonts w:eastAsia="MS Mincho"/>
          <w:vertAlign w:val="superscript"/>
        </w:rPr>
        <w:t>o</w:t>
      </w:r>
      <w:r w:rsidR="00A75FCF">
        <w:t> </w:t>
      </w:r>
      <w:r w:rsidRPr="001925A1">
        <w:t xml:space="preserve">16 inclura la modification de la partie II, qui contient le texte du </w:t>
      </w:r>
      <w:r w:rsidR="000F7C88">
        <w:t>r</w:t>
      </w:r>
      <w:r w:rsidRPr="001925A1">
        <w:t>èglement technique mondial</w:t>
      </w:r>
      <w:r>
        <w:t> :</w:t>
      </w:r>
    </w:p>
    <w:p w:rsidR="001925A1" w:rsidRPr="001925A1" w:rsidRDefault="001925A1" w:rsidP="001925A1">
      <w:pPr>
        <w:pStyle w:val="SingleTxtG"/>
        <w:ind w:firstLine="567"/>
      </w:pPr>
      <w:r w:rsidRPr="001925A1">
        <w:t>a)</w:t>
      </w:r>
      <w:r w:rsidRPr="001925A1">
        <w:tab/>
        <w:t>Ajout de nouvelles définitions (sect. 2)</w:t>
      </w:r>
      <w:r>
        <w:t> ;</w:t>
      </w:r>
    </w:p>
    <w:p w:rsidR="001925A1" w:rsidRPr="001925A1" w:rsidRDefault="001925A1" w:rsidP="001925A1">
      <w:pPr>
        <w:pStyle w:val="SingleTxtG"/>
        <w:ind w:firstLine="567"/>
      </w:pPr>
      <w:r w:rsidRPr="001925A1">
        <w:t>b)</w:t>
      </w:r>
      <w:r w:rsidRPr="001925A1">
        <w:tab/>
        <w:t>Harmonisation des codes de plage de charges en fonction de la pression de gonflage (sect. 2)</w:t>
      </w:r>
      <w:r>
        <w:t> ;</w:t>
      </w:r>
    </w:p>
    <w:p w:rsidR="001925A1" w:rsidRPr="001925A1" w:rsidRDefault="001925A1" w:rsidP="001925A1">
      <w:pPr>
        <w:pStyle w:val="SingleTxtG"/>
        <w:ind w:firstLine="567"/>
      </w:pPr>
      <w:r w:rsidRPr="001925A1">
        <w:t>c)</w:t>
      </w:r>
      <w:r w:rsidRPr="001925A1">
        <w:tab/>
        <w:t xml:space="preserve">Harmonisation des dispositions relatives au marquage et aux dimensions physiques des pneumatiques de voitures particulières en fonction des dernières évolutions des Règlements </w:t>
      </w:r>
      <w:r w:rsidRPr="001925A1">
        <w:rPr>
          <w:rFonts w:eastAsia="MS Mincho"/>
          <w:szCs w:val="22"/>
        </w:rPr>
        <w:t>n</w:t>
      </w:r>
      <w:r w:rsidRPr="001925A1">
        <w:rPr>
          <w:rFonts w:eastAsia="MS Mincho"/>
          <w:szCs w:val="22"/>
          <w:vertAlign w:val="superscript"/>
        </w:rPr>
        <w:t>o</w:t>
      </w:r>
      <w:r w:rsidRPr="001925A1">
        <w:t xml:space="preserve"> 30 et </w:t>
      </w:r>
      <w:r w:rsidRPr="001925A1">
        <w:rPr>
          <w:rFonts w:eastAsia="MS Mincho"/>
          <w:szCs w:val="22"/>
        </w:rPr>
        <w:t>n</w:t>
      </w:r>
      <w:r w:rsidRPr="001925A1">
        <w:rPr>
          <w:rFonts w:eastAsia="MS Mincho"/>
          <w:szCs w:val="22"/>
          <w:vertAlign w:val="superscript"/>
        </w:rPr>
        <w:t>o</w:t>
      </w:r>
      <w:r w:rsidRPr="001925A1">
        <w:t> 54 (sect. 3.3 et 3.5)</w:t>
      </w:r>
      <w:r>
        <w:t> ;</w:t>
      </w:r>
    </w:p>
    <w:p w:rsidR="001925A1" w:rsidRPr="001925A1" w:rsidRDefault="001925A1" w:rsidP="001925A1">
      <w:pPr>
        <w:pStyle w:val="SingleTxtG"/>
        <w:ind w:firstLine="567"/>
      </w:pPr>
      <w:r w:rsidRPr="001925A1">
        <w:t>d)</w:t>
      </w:r>
      <w:r w:rsidRPr="001925A1">
        <w:tab/>
        <w:t>Harmonisation des prescriptions de la norme FMVSS 139 avec l’indice PSI (sect. 3.14 et 3.15)</w:t>
      </w:r>
      <w:r>
        <w:t> ;</w:t>
      </w:r>
    </w:p>
    <w:p w:rsidR="001925A1" w:rsidRPr="001925A1" w:rsidRDefault="001925A1" w:rsidP="001925A1">
      <w:pPr>
        <w:pStyle w:val="SingleTxtG"/>
        <w:ind w:firstLine="567"/>
      </w:pPr>
      <w:r w:rsidRPr="001925A1">
        <w:t>e)</w:t>
      </w:r>
      <w:r w:rsidRPr="001925A1">
        <w:tab/>
        <w:t xml:space="preserve">Suppression des dispositions relatives aux dimensions physiques des pneumatiques des catégories LT/C fondées sur la norme FMVSS 139 (sect. 3.20) et le Règlement </w:t>
      </w:r>
      <w:r w:rsidRPr="001925A1">
        <w:rPr>
          <w:rFonts w:eastAsia="MS Mincho"/>
          <w:szCs w:val="22"/>
        </w:rPr>
        <w:t>n</w:t>
      </w:r>
      <w:r w:rsidRPr="001925A1">
        <w:rPr>
          <w:rFonts w:eastAsia="MS Mincho"/>
          <w:szCs w:val="22"/>
          <w:vertAlign w:val="superscript"/>
        </w:rPr>
        <w:t>o</w:t>
      </w:r>
      <w:r w:rsidRPr="001925A1">
        <w:t> 54 (sect. 3.21) et ajout de nouvelles dispositions harmonisées relatives aux dimensions physiques des pneumatiques de ces catégories (nouvelle sect. 3.20)</w:t>
      </w:r>
      <w:r>
        <w:t> ;</w:t>
      </w:r>
    </w:p>
    <w:p w:rsidR="001925A1" w:rsidRPr="001925A1" w:rsidRDefault="001925A1" w:rsidP="001925A1">
      <w:pPr>
        <w:pStyle w:val="SingleTxtG"/>
        <w:ind w:firstLine="567"/>
      </w:pPr>
      <w:r w:rsidRPr="001925A1">
        <w:t>f)</w:t>
      </w:r>
      <w:r w:rsidRPr="001925A1">
        <w:tab/>
        <w:t xml:space="preserve">Suppression des dispositions relatives à l’essai à grande vitesse des pneumatiques des catégories LT/C fondées sur la norme FMVSS 139 (sect. 3.19) et le Règlement </w:t>
      </w:r>
      <w:r w:rsidRPr="001925A1">
        <w:rPr>
          <w:rFonts w:eastAsia="MS Mincho"/>
          <w:szCs w:val="22"/>
        </w:rPr>
        <w:t>n</w:t>
      </w:r>
      <w:r w:rsidRPr="001925A1">
        <w:rPr>
          <w:rFonts w:eastAsia="MS Mincho"/>
          <w:szCs w:val="22"/>
          <w:vertAlign w:val="superscript"/>
        </w:rPr>
        <w:t>o</w:t>
      </w:r>
      <w:r w:rsidRPr="001925A1">
        <w:t> 54 (sect. 3.16) et ajout de nouvelles dispositions harmonisées pour l’essai à grande vitesse des pneumatiques de ces catégories (nouvelle sect. 3.16)</w:t>
      </w:r>
      <w:r>
        <w:t> ;</w:t>
      </w:r>
    </w:p>
    <w:p w:rsidR="001925A1" w:rsidRPr="001925A1" w:rsidRDefault="001925A1" w:rsidP="001925A1">
      <w:pPr>
        <w:pStyle w:val="SingleTxtG"/>
        <w:ind w:firstLine="567"/>
      </w:pPr>
      <w:r w:rsidRPr="001925A1">
        <w:t>g)</w:t>
      </w:r>
      <w:r w:rsidRPr="001925A1">
        <w:tab/>
        <w:t xml:space="preserve">Mise à jour des annexes 3 et 6 d’après les évolutions les plus récentes des Règlements </w:t>
      </w:r>
      <w:r w:rsidRPr="001925A1">
        <w:rPr>
          <w:rFonts w:eastAsia="MS Mincho"/>
          <w:szCs w:val="22"/>
        </w:rPr>
        <w:t>n</w:t>
      </w:r>
      <w:r w:rsidRPr="001925A1">
        <w:rPr>
          <w:rFonts w:eastAsia="MS Mincho"/>
          <w:szCs w:val="22"/>
          <w:vertAlign w:val="superscript"/>
        </w:rPr>
        <w:t>o</w:t>
      </w:r>
      <w:r w:rsidRPr="001925A1">
        <w:t xml:space="preserve"> 30 et </w:t>
      </w:r>
      <w:r w:rsidRPr="001925A1">
        <w:rPr>
          <w:rFonts w:eastAsia="MS Mincho"/>
          <w:szCs w:val="22"/>
        </w:rPr>
        <w:t>n</w:t>
      </w:r>
      <w:r w:rsidRPr="001925A1">
        <w:rPr>
          <w:rFonts w:eastAsia="MS Mincho"/>
          <w:szCs w:val="22"/>
          <w:vertAlign w:val="superscript"/>
        </w:rPr>
        <w:t>o</w:t>
      </w:r>
      <w:r w:rsidRPr="001925A1">
        <w:t> 54.</w:t>
      </w:r>
    </w:p>
    <w:p w:rsidR="001925A1" w:rsidRPr="001925A1" w:rsidRDefault="001925A1" w:rsidP="001925A1">
      <w:pPr>
        <w:pStyle w:val="ParNoG"/>
        <w:keepNext/>
      </w:pPr>
      <w:r w:rsidRPr="001925A1">
        <w:t xml:space="preserve">Autres points à examiner au sein du groupe de travail informel de la phase 2 de l’élaboration du RTM </w:t>
      </w:r>
      <w:r w:rsidRPr="001925A1">
        <w:rPr>
          <w:rFonts w:eastAsia="MS Mincho"/>
          <w:szCs w:val="22"/>
        </w:rPr>
        <w:t>n</w:t>
      </w:r>
      <w:r w:rsidRPr="001925A1">
        <w:rPr>
          <w:rFonts w:eastAsia="MS Mincho"/>
          <w:szCs w:val="22"/>
          <w:vertAlign w:val="superscript"/>
        </w:rPr>
        <w:t>o</w:t>
      </w:r>
      <w:r w:rsidRPr="001925A1">
        <w:t> 16</w:t>
      </w:r>
      <w:r>
        <w:t> :</w:t>
      </w:r>
    </w:p>
    <w:p w:rsidR="001925A1" w:rsidRPr="001925A1" w:rsidRDefault="001925A1" w:rsidP="001925A1">
      <w:pPr>
        <w:pStyle w:val="SingleTxtG"/>
        <w:ind w:firstLine="567"/>
      </w:pPr>
      <w:r w:rsidRPr="001925A1">
        <w:t>a)</w:t>
      </w:r>
      <w:r w:rsidRPr="001925A1">
        <w:tab/>
        <w:t>Faisabilité de l’harmonisation de l’essai d’endurance pour pneumatiques des catégories LT/C (sect. 3.16 et 3.17)</w:t>
      </w:r>
      <w:r>
        <w:t> ;</w:t>
      </w:r>
    </w:p>
    <w:p w:rsidR="001925A1" w:rsidRPr="001925A1" w:rsidRDefault="001925A1" w:rsidP="001925A1">
      <w:pPr>
        <w:pStyle w:val="SingleTxtG"/>
        <w:ind w:firstLine="567"/>
        <w:rPr>
          <w:noProof/>
          <w:spacing w:val="-2"/>
        </w:rPr>
      </w:pPr>
      <w:r w:rsidRPr="001925A1">
        <w:t>b)</w:t>
      </w:r>
      <w:r w:rsidRPr="001925A1">
        <w:tab/>
      </w:r>
      <w:r w:rsidRPr="001925A1">
        <w:rPr>
          <w:spacing w:val="-2"/>
        </w:rPr>
        <w:t>Faisabilité de l’élaboration de dispositions pour le marquage des pneumatiques.</w:t>
      </w:r>
    </w:p>
    <w:p w:rsidR="001925A1" w:rsidRPr="001925A1" w:rsidRDefault="001925A1" w:rsidP="001925A1">
      <w:pPr>
        <w:pStyle w:val="H1G"/>
        <w:rPr>
          <w:lang w:eastAsia="ko-KR"/>
        </w:rPr>
      </w:pPr>
      <w:r w:rsidRPr="001925A1">
        <w:rPr>
          <w:lang w:eastAsia="ko-KR"/>
        </w:rPr>
        <w:tab/>
        <w:t>D.</w:t>
      </w:r>
      <w:r w:rsidRPr="001925A1">
        <w:rPr>
          <w:lang w:eastAsia="ko-KR"/>
        </w:rPr>
        <w:tab/>
      </w:r>
      <w:r w:rsidRPr="001925A1">
        <w:t>Organisation du processus et calendrier</w:t>
      </w:r>
    </w:p>
    <w:p w:rsidR="001925A1" w:rsidRPr="001925A1" w:rsidRDefault="001925A1" w:rsidP="001925A1">
      <w:pPr>
        <w:pStyle w:val="ParNoG"/>
      </w:pPr>
      <w:r w:rsidRPr="001925A1">
        <w:t>Le groupe de travail informel chargé de l’élaboration de l’amendement</w:t>
      </w:r>
      <w:r>
        <w:t xml:space="preserve"> </w:t>
      </w:r>
      <w:r w:rsidRPr="001925A1">
        <w:t>2 au RTM</w:t>
      </w:r>
      <w:r>
        <w:t xml:space="preserve"> </w:t>
      </w:r>
      <w:r w:rsidRPr="001925A1">
        <w:rPr>
          <w:rFonts w:eastAsia="MS Mincho"/>
          <w:szCs w:val="22"/>
        </w:rPr>
        <w:t>n</w:t>
      </w:r>
      <w:r w:rsidRPr="001925A1">
        <w:rPr>
          <w:rFonts w:eastAsia="MS Mincho"/>
          <w:szCs w:val="22"/>
          <w:vertAlign w:val="superscript"/>
        </w:rPr>
        <w:t>o</w:t>
      </w:r>
      <w:r w:rsidRPr="001925A1">
        <w:t xml:space="preserve"> 16 sera établi en tant que sous-groupe du GRRF et sera considéré, pour des raisons pratiques, comme le groupe de travail informel du RTM sur les pneumatiques rétabli. Le mandat et le règlement intérieur de ce groupe de travail informel ont été adoptés par le GRRF à sa quatre-vingt-deuxième session, en septembre 2016. Les réunions du groupe de travail informel seront principalement organisées parallèlement aux sessions ordinaires du GRRF. Le groupe de travail informel sera présidé par le responsable technique du RTM </w:t>
      </w:r>
      <w:r w:rsidRPr="001925A1">
        <w:rPr>
          <w:rFonts w:eastAsia="MS Mincho"/>
          <w:szCs w:val="22"/>
        </w:rPr>
        <w:t>n</w:t>
      </w:r>
      <w:r w:rsidRPr="001925A1">
        <w:rPr>
          <w:rFonts w:eastAsia="MS Mincho"/>
          <w:szCs w:val="22"/>
          <w:vertAlign w:val="superscript"/>
        </w:rPr>
        <w:t>o</w:t>
      </w:r>
      <w:r w:rsidRPr="001925A1">
        <w:t> 16 (Fédération de Russie). L’ETRTO assurera le secrétariat.</w:t>
      </w:r>
    </w:p>
    <w:p w:rsidR="001925A1" w:rsidRPr="001925A1" w:rsidRDefault="001925A1" w:rsidP="001925A1">
      <w:pPr>
        <w:pStyle w:val="ParNoG"/>
        <w:keepNext/>
      </w:pPr>
      <w:r w:rsidRPr="001925A1">
        <w:t>Le plan d’action proposé est le suivant</w:t>
      </w:r>
      <w:r>
        <w:t> :</w:t>
      </w:r>
    </w:p>
    <w:p w:rsidR="001925A1" w:rsidRPr="001925A1" w:rsidRDefault="001925A1" w:rsidP="001925A1">
      <w:pPr>
        <w:pStyle w:val="SingleTxtG"/>
        <w:ind w:firstLine="567"/>
      </w:pPr>
      <w:r w:rsidRPr="001925A1">
        <w:t>a)</w:t>
      </w:r>
      <w:r w:rsidRPr="001925A1">
        <w:tab/>
        <w:t>Janvier 2017</w:t>
      </w:r>
      <w:r>
        <w:t> :</w:t>
      </w:r>
      <w:r w:rsidRPr="001925A1">
        <w:t xml:space="preserve"> Présentation et examen à la quatre-vingt-troisième session du GRRF de la proposition de phase</w:t>
      </w:r>
      <w:r>
        <w:t xml:space="preserve"> </w:t>
      </w:r>
      <w:r w:rsidRPr="001925A1">
        <w:t>2A, soumise dans un document informel</w:t>
      </w:r>
      <w:r>
        <w:t> ;</w:t>
      </w:r>
    </w:p>
    <w:p w:rsidR="001925A1" w:rsidRPr="001925A1" w:rsidRDefault="001925A1" w:rsidP="001925A1">
      <w:pPr>
        <w:pStyle w:val="SingleTxtG"/>
        <w:ind w:firstLine="567"/>
      </w:pPr>
      <w:r w:rsidRPr="001925A1">
        <w:t>b)</w:t>
      </w:r>
      <w:r w:rsidRPr="001925A1">
        <w:tab/>
        <w:t>Septembre 2017</w:t>
      </w:r>
      <w:r>
        <w:t> :</w:t>
      </w:r>
      <w:r w:rsidRPr="001925A1">
        <w:t xml:space="preserve"> </w:t>
      </w:r>
      <w:r w:rsidRPr="001925A1">
        <w:rPr>
          <w:spacing w:val="-2"/>
        </w:rPr>
        <w:t>Présentation</w:t>
      </w:r>
      <w:r w:rsidRPr="001925A1">
        <w:t xml:space="preserve"> et examen à la quatre-vingt-quatrième session du GRRF de la proposition de phase</w:t>
      </w:r>
      <w:r>
        <w:t xml:space="preserve"> </w:t>
      </w:r>
      <w:r w:rsidRPr="001925A1">
        <w:t>2B, soumise dans un document informel</w:t>
      </w:r>
      <w:r>
        <w:t> ;</w:t>
      </w:r>
    </w:p>
    <w:p w:rsidR="001925A1" w:rsidRPr="001925A1" w:rsidRDefault="001925A1" w:rsidP="001925A1">
      <w:pPr>
        <w:pStyle w:val="SingleTxtG"/>
        <w:ind w:firstLine="567"/>
      </w:pPr>
      <w:r w:rsidRPr="001925A1">
        <w:t>c)</w:t>
      </w:r>
      <w:r w:rsidRPr="001925A1">
        <w:tab/>
        <w:t>Février 2018</w:t>
      </w:r>
      <w:r>
        <w:t> :</w:t>
      </w:r>
      <w:r w:rsidRPr="001925A1">
        <w:t xml:space="preserve"> Soumission de la version complète du document de travail au GRRF. Examen des éventuelles questions en suspens à la quatre-vingt-cinquième session du GRRF</w:t>
      </w:r>
      <w:r>
        <w:t> ;</w:t>
      </w:r>
    </w:p>
    <w:p w:rsidR="001925A1" w:rsidRPr="001925A1" w:rsidRDefault="001925A1" w:rsidP="001925A1">
      <w:pPr>
        <w:pStyle w:val="SingleTxtG"/>
        <w:ind w:firstLine="567"/>
      </w:pPr>
      <w:r w:rsidRPr="001925A1">
        <w:t>d)</w:t>
      </w:r>
      <w:r w:rsidRPr="001925A1">
        <w:tab/>
        <w:t>Juin 2018</w:t>
      </w:r>
      <w:r>
        <w:t> :</w:t>
      </w:r>
      <w:r w:rsidRPr="001925A1">
        <w:t xml:space="preserve"> Adoption de la proposition par l’AC.3, s’il n’y a plus de questions en suspens</w:t>
      </w:r>
      <w:r>
        <w:t> ;</w:t>
      </w:r>
    </w:p>
    <w:p w:rsidR="001925A1" w:rsidRPr="001925A1" w:rsidRDefault="001925A1" w:rsidP="001925A1">
      <w:pPr>
        <w:pStyle w:val="SingleTxtG"/>
        <w:ind w:firstLine="567"/>
      </w:pPr>
      <w:r w:rsidRPr="001925A1">
        <w:t>e)</w:t>
      </w:r>
      <w:r w:rsidRPr="001925A1">
        <w:tab/>
        <w:t>Novembre 2018</w:t>
      </w:r>
      <w:r>
        <w:t> :</w:t>
      </w:r>
      <w:r w:rsidRPr="001925A1">
        <w:t xml:space="preserve"> Adoption de la proposition par l’AC.3, si toutes les questions en suspens ont été résolues.</w:t>
      </w:r>
    </w:p>
    <w:p w:rsidR="001925A1" w:rsidRPr="001925A1" w:rsidRDefault="001925A1" w:rsidP="001925A1">
      <w:pPr>
        <w:pStyle w:val="ParNoG"/>
        <w:rPr>
          <w:spacing w:val="-2"/>
        </w:rPr>
      </w:pPr>
      <w:r w:rsidRPr="001925A1">
        <w:rPr>
          <w:spacing w:val="-2"/>
        </w:rPr>
        <w:t>L’AC.3 sera tenu informé des progrès accomplis lors de ses sessions en 2017 et 2018.</w:t>
      </w:r>
    </w:p>
    <w:p w:rsidR="00F9573C" w:rsidRPr="001925A1" w:rsidRDefault="001925A1" w:rsidP="001925A1">
      <w:pPr>
        <w:pStyle w:val="SingleTxtG"/>
        <w:spacing w:before="240" w:after="0"/>
        <w:jc w:val="center"/>
        <w:rPr>
          <w:u w:val="single"/>
        </w:rPr>
      </w:pPr>
      <w:r w:rsidRPr="001925A1">
        <w:rPr>
          <w:u w:val="single"/>
        </w:rPr>
        <w:tab/>
      </w:r>
      <w:r w:rsidRPr="001925A1">
        <w:rPr>
          <w:u w:val="single"/>
        </w:rPr>
        <w:tab/>
      </w:r>
      <w:r w:rsidRPr="001925A1">
        <w:rPr>
          <w:u w:val="single"/>
        </w:rPr>
        <w:tab/>
      </w:r>
    </w:p>
    <w:sectPr w:rsidR="00F9573C" w:rsidRPr="001925A1" w:rsidSect="001925A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E7" w:rsidRDefault="00914BE7" w:rsidP="00F95C08">
      <w:pPr>
        <w:spacing w:line="240" w:lineRule="auto"/>
      </w:pPr>
    </w:p>
  </w:endnote>
  <w:endnote w:type="continuationSeparator" w:id="0">
    <w:p w:rsidR="00914BE7" w:rsidRPr="00AC3823" w:rsidRDefault="00914BE7" w:rsidP="00AC3823">
      <w:pPr>
        <w:pStyle w:val="Footer"/>
      </w:pPr>
    </w:p>
  </w:endnote>
  <w:endnote w:type="continuationNotice" w:id="1">
    <w:p w:rsidR="00914BE7" w:rsidRDefault="00914B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A1" w:rsidRPr="001925A1" w:rsidRDefault="001925A1" w:rsidP="001925A1">
    <w:pPr>
      <w:pStyle w:val="Footer"/>
      <w:tabs>
        <w:tab w:val="right" w:pos="9638"/>
      </w:tabs>
    </w:pPr>
    <w:r w:rsidRPr="001925A1">
      <w:rPr>
        <w:b/>
        <w:sz w:val="18"/>
      </w:rPr>
      <w:fldChar w:fldCharType="begin"/>
    </w:r>
    <w:r w:rsidRPr="001925A1">
      <w:rPr>
        <w:b/>
        <w:sz w:val="18"/>
      </w:rPr>
      <w:instrText xml:space="preserve"> PAGE  \* MERGEFORMAT </w:instrText>
    </w:r>
    <w:r w:rsidRPr="001925A1">
      <w:rPr>
        <w:b/>
        <w:sz w:val="18"/>
      </w:rPr>
      <w:fldChar w:fldCharType="separate"/>
    </w:r>
    <w:r w:rsidR="00E06214">
      <w:rPr>
        <w:b/>
        <w:noProof/>
        <w:sz w:val="18"/>
      </w:rPr>
      <w:t>4</w:t>
    </w:r>
    <w:r w:rsidRPr="001925A1">
      <w:rPr>
        <w:b/>
        <w:sz w:val="18"/>
      </w:rPr>
      <w:fldChar w:fldCharType="end"/>
    </w:r>
    <w:r>
      <w:rPr>
        <w:b/>
        <w:sz w:val="18"/>
      </w:rPr>
      <w:tab/>
    </w:r>
    <w:r>
      <w:t>GE.17-05681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A1" w:rsidRPr="001925A1" w:rsidRDefault="001925A1" w:rsidP="001925A1">
    <w:pPr>
      <w:pStyle w:val="Footer"/>
      <w:tabs>
        <w:tab w:val="right" w:pos="9638"/>
      </w:tabs>
      <w:rPr>
        <w:b/>
        <w:sz w:val="18"/>
      </w:rPr>
    </w:pPr>
    <w:r>
      <w:t>GE.17-05681</w:t>
    </w:r>
    <w:r>
      <w:tab/>
    </w:r>
    <w:r w:rsidRPr="001925A1">
      <w:rPr>
        <w:b/>
        <w:sz w:val="18"/>
      </w:rPr>
      <w:fldChar w:fldCharType="begin"/>
    </w:r>
    <w:r w:rsidRPr="001925A1">
      <w:rPr>
        <w:b/>
        <w:sz w:val="18"/>
      </w:rPr>
      <w:instrText xml:space="preserve"> PAGE  \* MERGEFORMAT </w:instrText>
    </w:r>
    <w:r w:rsidRPr="001925A1">
      <w:rPr>
        <w:b/>
        <w:sz w:val="18"/>
      </w:rPr>
      <w:fldChar w:fldCharType="separate"/>
    </w:r>
    <w:r w:rsidR="00E06214">
      <w:rPr>
        <w:b/>
        <w:noProof/>
        <w:sz w:val="18"/>
      </w:rPr>
      <w:t>3</w:t>
    </w:r>
    <w:r w:rsidRPr="001925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925A1" w:rsidRDefault="001925A1" w:rsidP="001925A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A7BBA02" wp14:editId="079BC2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17-05681  (F)    270417    040517</w:t>
    </w:r>
    <w:r>
      <w:rPr>
        <w:sz w:val="20"/>
      </w:rPr>
      <w:br/>
    </w:r>
    <w:r w:rsidRPr="001925A1">
      <w:rPr>
        <w:rFonts w:ascii="C39T30Lfz" w:hAnsi="C39T30Lfz"/>
        <w:sz w:val="56"/>
      </w:rPr>
      <w:t></w:t>
    </w:r>
    <w:r w:rsidRPr="001925A1">
      <w:rPr>
        <w:rFonts w:ascii="C39T30Lfz" w:hAnsi="C39T30Lfz"/>
        <w:sz w:val="56"/>
      </w:rPr>
      <w:t></w:t>
    </w:r>
    <w:r w:rsidRPr="001925A1">
      <w:rPr>
        <w:rFonts w:ascii="C39T30Lfz" w:hAnsi="C39T30Lfz"/>
        <w:sz w:val="56"/>
      </w:rPr>
      <w:t></w:t>
    </w:r>
    <w:r w:rsidRPr="001925A1">
      <w:rPr>
        <w:rFonts w:ascii="C39T30Lfz" w:hAnsi="C39T30Lfz"/>
        <w:sz w:val="56"/>
      </w:rPr>
      <w:t></w:t>
    </w:r>
    <w:r w:rsidRPr="001925A1">
      <w:rPr>
        <w:rFonts w:ascii="C39T30Lfz" w:hAnsi="C39T30Lfz"/>
        <w:sz w:val="56"/>
      </w:rPr>
      <w:t></w:t>
    </w:r>
    <w:r w:rsidRPr="001925A1">
      <w:rPr>
        <w:rFonts w:ascii="C39T30Lfz" w:hAnsi="C39T30Lfz"/>
        <w:sz w:val="56"/>
      </w:rPr>
      <w:t></w:t>
    </w:r>
    <w:r w:rsidRPr="001925A1">
      <w:rPr>
        <w:rFonts w:ascii="C39T30Lfz" w:hAnsi="C39T30Lfz"/>
        <w:sz w:val="56"/>
      </w:rPr>
      <w:t></w:t>
    </w:r>
    <w:r w:rsidRPr="001925A1">
      <w:rPr>
        <w:rFonts w:ascii="C39T30Lfz" w:hAnsi="C39T30Lfz"/>
        <w:sz w:val="56"/>
      </w:rPr>
      <w:t></w:t>
    </w:r>
    <w:r w:rsidRPr="001925A1">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D7453CA" wp14:editId="72BF75B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AC.3/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AC.3/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E7" w:rsidRPr="00AC3823" w:rsidRDefault="00914BE7" w:rsidP="00AC3823">
      <w:pPr>
        <w:pStyle w:val="Footer"/>
        <w:tabs>
          <w:tab w:val="right" w:pos="2155"/>
        </w:tabs>
        <w:spacing w:after="80" w:line="240" w:lineRule="atLeast"/>
        <w:ind w:left="680"/>
        <w:rPr>
          <w:u w:val="single"/>
        </w:rPr>
      </w:pPr>
      <w:r>
        <w:rPr>
          <w:u w:val="single"/>
        </w:rPr>
        <w:tab/>
      </w:r>
    </w:p>
  </w:footnote>
  <w:footnote w:type="continuationSeparator" w:id="0">
    <w:p w:rsidR="00914BE7" w:rsidRPr="00AC3823" w:rsidRDefault="00914BE7" w:rsidP="00AC3823">
      <w:pPr>
        <w:pStyle w:val="Footer"/>
        <w:tabs>
          <w:tab w:val="right" w:pos="2155"/>
        </w:tabs>
        <w:spacing w:after="80" w:line="240" w:lineRule="atLeast"/>
        <w:ind w:left="680"/>
        <w:rPr>
          <w:u w:val="single"/>
        </w:rPr>
      </w:pPr>
      <w:r>
        <w:rPr>
          <w:u w:val="single"/>
        </w:rPr>
        <w:tab/>
      </w:r>
    </w:p>
  </w:footnote>
  <w:footnote w:type="continuationNotice" w:id="1">
    <w:p w:rsidR="00914BE7" w:rsidRPr="00AC3823" w:rsidRDefault="00914BE7">
      <w:pPr>
        <w:spacing w:line="240" w:lineRule="auto"/>
        <w:rPr>
          <w:sz w:val="2"/>
          <w:szCs w:val="2"/>
        </w:rPr>
      </w:pPr>
    </w:p>
  </w:footnote>
  <w:footnote w:id="2">
    <w:p w:rsidR="001925A1" w:rsidRPr="00E06214" w:rsidRDefault="001925A1" w:rsidP="001925A1">
      <w:pPr>
        <w:pStyle w:val="FootnoteText"/>
        <w:rPr>
          <w:spacing w:val="-1"/>
        </w:rPr>
      </w:pPr>
      <w:r w:rsidRPr="00A90EA8">
        <w:rPr>
          <w:lang w:val="en-GB"/>
        </w:rPr>
        <w:tab/>
      </w:r>
      <w:r w:rsidRPr="00E06214">
        <w:rPr>
          <w:sz w:val="20"/>
        </w:rPr>
        <w:t>*</w:t>
      </w:r>
      <w:r w:rsidRPr="00E06214">
        <w:rPr>
          <w:sz w:val="20"/>
        </w:rPr>
        <w:tab/>
      </w:r>
      <w:r w:rsidRPr="001925A1">
        <w:rPr>
          <w:spacing w:val="-1"/>
          <w:lang w:val="fr-FR"/>
        </w:rP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w:t>
      </w:r>
      <w:r w:rsidRPr="00E06214">
        <w:rPr>
          <w:spacing w:val="-1"/>
        </w:rPr>
        <w:t xml:space="preserve">. </w:t>
      </w:r>
      <w:r w:rsidRPr="001925A1">
        <w:rPr>
          <w:spacing w:val="-1"/>
          <w:lang w:val="fr-FR"/>
        </w:rPr>
        <w:t>Le présent document est soumis en vertu de ce mandat</w:t>
      </w:r>
      <w:r w:rsidRPr="00E06214">
        <w:rPr>
          <w:spacing w:val="-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A1" w:rsidRPr="001925A1" w:rsidRDefault="00E06214">
    <w:pPr>
      <w:pStyle w:val="Header"/>
    </w:pPr>
    <w:r>
      <w:fldChar w:fldCharType="begin"/>
    </w:r>
    <w:r>
      <w:instrText xml:space="preserve"> TITLE  \* MERGEFORMAT </w:instrText>
    </w:r>
    <w:r>
      <w:fldChar w:fldCharType="separate"/>
    </w:r>
    <w:r w:rsidR="002D331D">
      <w:t>ECE/TRANS/WP.29/AC.3/48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A1" w:rsidRPr="001925A1" w:rsidRDefault="00E06214" w:rsidP="001925A1">
    <w:pPr>
      <w:pStyle w:val="Header"/>
      <w:jc w:val="right"/>
    </w:pPr>
    <w:r>
      <w:fldChar w:fldCharType="begin"/>
    </w:r>
    <w:r>
      <w:instrText xml:space="preserve"> TITLE  \* MERGEFORMAT </w:instrText>
    </w:r>
    <w:r>
      <w:fldChar w:fldCharType="separate"/>
    </w:r>
    <w:r w:rsidR="002D331D">
      <w:t>ECE/TRANS/WP.29/AC.3/48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E7"/>
    <w:rsid w:val="00017F94"/>
    <w:rsid w:val="00023842"/>
    <w:rsid w:val="000334F9"/>
    <w:rsid w:val="00045FEB"/>
    <w:rsid w:val="0007796D"/>
    <w:rsid w:val="000B7790"/>
    <w:rsid w:val="000F7C88"/>
    <w:rsid w:val="00111F2F"/>
    <w:rsid w:val="0014365E"/>
    <w:rsid w:val="00143C66"/>
    <w:rsid w:val="00176178"/>
    <w:rsid w:val="001925A1"/>
    <w:rsid w:val="001F525A"/>
    <w:rsid w:val="00223272"/>
    <w:rsid w:val="0024779E"/>
    <w:rsid w:val="00257168"/>
    <w:rsid w:val="002744B8"/>
    <w:rsid w:val="002832AC"/>
    <w:rsid w:val="002D331D"/>
    <w:rsid w:val="002D7C93"/>
    <w:rsid w:val="00305801"/>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14BE7"/>
    <w:rsid w:val="009446C0"/>
    <w:rsid w:val="009705C8"/>
    <w:rsid w:val="009C1CF4"/>
    <w:rsid w:val="009F6B74"/>
    <w:rsid w:val="00A30353"/>
    <w:rsid w:val="00A75FCF"/>
    <w:rsid w:val="00AC3823"/>
    <w:rsid w:val="00AE323C"/>
    <w:rsid w:val="00AF0CB5"/>
    <w:rsid w:val="00B00181"/>
    <w:rsid w:val="00B00B0D"/>
    <w:rsid w:val="00B765F7"/>
    <w:rsid w:val="00BA0CA9"/>
    <w:rsid w:val="00C02897"/>
    <w:rsid w:val="00C97039"/>
    <w:rsid w:val="00D3439C"/>
    <w:rsid w:val="00DB1831"/>
    <w:rsid w:val="00DD3BFD"/>
    <w:rsid w:val="00DF6678"/>
    <w:rsid w:val="00E06214"/>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925A1"/>
    <w:rPr>
      <w:rFonts w:ascii="Times New Roman" w:hAnsi="Times New Roman" w:cs="Times New Roman"/>
      <w:sz w:val="20"/>
      <w:szCs w:val="20"/>
      <w:lang w:eastAsia="en-US"/>
    </w:rPr>
  </w:style>
  <w:style w:type="character" w:customStyle="1" w:styleId="HChGChar">
    <w:name w:val="_ H _Ch_G Char"/>
    <w:link w:val="HChG"/>
    <w:rsid w:val="001925A1"/>
    <w:rPr>
      <w:rFonts w:ascii="Times New Roman" w:hAnsi="Times New Roman" w:cs="Times New Roman"/>
      <w:b/>
      <w:sz w:val="28"/>
      <w:szCs w:val="20"/>
      <w:lang w:eastAsia="en-US"/>
    </w:rPr>
  </w:style>
  <w:style w:type="character" w:customStyle="1" w:styleId="H1GChar">
    <w:name w:val="_ H_1_G Char"/>
    <w:link w:val="H1G"/>
    <w:rsid w:val="001925A1"/>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925A1"/>
    <w:rPr>
      <w:rFonts w:ascii="Times New Roman" w:hAnsi="Times New Roman" w:cs="Times New Roman"/>
      <w:sz w:val="20"/>
      <w:szCs w:val="20"/>
      <w:lang w:eastAsia="en-US"/>
    </w:rPr>
  </w:style>
  <w:style w:type="character" w:customStyle="1" w:styleId="HChGChar">
    <w:name w:val="_ H _Ch_G Char"/>
    <w:link w:val="HChG"/>
    <w:rsid w:val="001925A1"/>
    <w:rPr>
      <w:rFonts w:ascii="Times New Roman" w:hAnsi="Times New Roman" w:cs="Times New Roman"/>
      <w:b/>
      <w:sz w:val="28"/>
      <w:szCs w:val="20"/>
      <w:lang w:eastAsia="en-US"/>
    </w:rPr>
  </w:style>
  <w:style w:type="character" w:customStyle="1" w:styleId="H1GChar">
    <w:name w:val="_ H_1_G Char"/>
    <w:link w:val="H1G"/>
    <w:rsid w:val="001925A1"/>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6135</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ECE/TRANS/WP.29/AC.3/48</vt:lpstr>
      <vt:lpstr>ECE/TRANS/WP.29/AC.3/48</vt:lpstr>
    </vt:vector>
  </TitlesOfParts>
  <Company>DCM</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ECE/TRANS/WP.29/AC.3/48</dc:title>
  <dc:creator>Morin</dc:creator>
  <cp:lastModifiedBy>Benedicte Boudol</cp:lastModifiedBy>
  <cp:revision>2</cp:revision>
  <cp:lastPrinted>2017-05-04T06:56:00Z</cp:lastPrinted>
  <dcterms:created xsi:type="dcterms:W3CDTF">2017-05-04T16:20:00Z</dcterms:created>
  <dcterms:modified xsi:type="dcterms:W3CDTF">2017-05-04T16:20:00Z</dcterms:modified>
</cp:coreProperties>
</file>