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37CC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37CC9" w:rsidP="00337CC9">
            <w:pPr>
              <w:jc w:val="right"/>
            </w:pPr>
            <w:r w:rsidRPr="00337CC9">
              <w:rPr>
                <w:sz w:val="40"/>
              </w:rPr>
              <w:t>ECE</w:t>
            </w:r>
            <w:r>
              <w:t>/TRANS/WP.29/2017/127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37CC9" w:rsidP="00C97039">
            <w:pPr>
              <w:spacing w:before="240"/>
            </w:pPr>
            <w:proofErr w:type="spellStart"/>
            <w:r>
              <w:t>Distr</w:t>
            </w:r>
            <w:proofErr w:type="spellEnd"/>
            <w:r>
              <w:t xml:space="preserve">. </w:t>
            </w:r>
            <w:proofErr w:type="gramStart"/>
            <w:r>
              <w:t>générale</w:t>
            </w:r>
            <w:proofErr w:type="gramEnd"/>
          </w:p>
          <w:p w:rsidR="00337CC9" w:rsidRDefault="00337CC9" w:rsidP="00337CC9">
            <w:pPr>
              <w:spacing w:line="240" w:lineRule="exact"/>
            </w:pPr>
            <w:r>
              <w:t>23 août 2017</w:t>
            </w:r>
          </w:p>
          <w:p w:rsidR="00337CC9" w:rsidRDefault="00337CC9" w:rsidP="00337CC9">
            <w:pPr>
              <w:spacing w:line="240" w:lineRule="exact"/>
            </w:pPr>
            <w:r>
              <w:t>Français</w:t>
            </w:r>
          </w:p>
          <w:p w:rsidR="00337CC9" w:rsidRPr="00DB58B5" w:rsidRDefault="00337CC9" w:rsidP="00337CC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37CC9" w:rsidRDefault="00337CC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37CC9" w:rsidRDefault="00337CC9" w:rsidP="00AF0CB5">
      <w:pPr>
        <w:spacing w:before="120" w:line="240" w:lineRule="exact"/>
        <w:rPr>
          <w:b/>
        </w:rPr>
      </w:pPr>
      <w:r w:rsidRPr="00337CC9">
        <w:rPr>
          <w:b/>
        </w:rPr>
        <w:t>173</w:t>
      </w:r>
      <w:r w:rsidRPr="00337CC9">
        <w:rPr>
          <w:b/>
          <w:vertAlign w:val="superscript"/>
        </w:rPr>
        <w:t>e</w:t>
      </w:r>
      <w:r>
        <w:rPr>
          <w:b/>
        </w:rPr>
        <w:t> session</w:t>
      </w:r>
    </w:p>
    <w:p w:rsidR="00337CC9" w:rsidRDefault="00337CC9" w:rsidP="00AF0CB5">
      <w:pPr>
        <w:spacing w:line="240" w:lineRule="exact"/>
      </w:pPr>
      <w:r>
        <w:t>Genève, 14</w:t>
      </w:r>
      <w:r>
        <w:noBreakHyphen/>
        <w:t>17 novembre 2017</w:t>
      </w:r>
    </w:p>
    <w:p w:rsidR="00337CC9" w:rsidRDefault="00337CC9" w:rsidP="00AF0CB5">
      <w:pPr>
        <w:spacing w:line="240" w:lineRule="exact"/>
      </w:pPr>
      <w:r>
        <w:t>Point 4.8.10 de l’ordre du jour provisoire</w:t>
      </w:r>
    </w:p>
    <w:p w:rsidR="00337CC9" w:rsidRPr="00337CC9" w:rsidRDefault="00337CC9" w:rsidP="00337CC9">
      <w:pPr>
        <w:rPr>
          <w:b/>
        </w:rPr>
      </w:pPr>
      <w:r w:rsidRPr="00337CC9">
        <w:rPr>
          <w:b/>
        </w:rPr>
        <w:t>Accord de 1958 :</w:t>
      </w:r>
    </w:p>
    <w:p w:rsidR="00337CC9" w:rsidRDefault="00337CC9" w:rsidP="00337CC9">
      <w:pPr>
        <w:spacing w:line="240" w:lineRule="exact"/>
      </w:pPr>
      <w:r w:rsidRPr="00337CC9">
        <w:rPr>
          <w:b/>
        </w:rPr>
        <w:t xml:space="preserve">Examen de projets d’amendements </w:t>
      </w:r>
      <w:r w:rsidRPr="00337CC9">
        <w:rPr>
          <w:b/>
        </w:rPr>
        <w:br/>
        <w:t>à des Règlements existants soumis par le GRSP</w:t>
      </w:r>
    </w:p>
    <w:p w:rsidR="00F9573C" w:rsidRDefault="00337CC9" w:rsidP="00337CC9">
      <w:pPr>
        <w:pStyle w:val="HChG"/>
      </w:pPr>
      <w:r>
        <w:tab/>
      </w:r>
      <w:r>
        <w:tab/>
        <w:t xml:space="preserve">Proposition de complément 3 au Règlement </w:t>
      </w:r>
      <w:r w:rsidRPr="002D76F4">
        <w:rPr>
          <w:rFonts w:eastAsia="MS Mincho"/>
          <w:szCs w:val="22"/>
        </w:rPr>
        <w:t>n</w:t>
      </w:r>
      <w:r w:rsidRPr="002D76F4">
        <w:rPr>
          <w:rFonts w:eastAsia="MS Mincho"/>
          <w:szCs w:val="22"/>
          <w:vertAlign w:val="superscript"/>
        </w:rPr>
        <w:t>o</w:t>
      </w:r>
      <w:r>
        <w:t xml:space="preserve"> 134 </w:t>
      </w:r>
      <w:r>
        <w:br/>
        <w:t>(véhicules à hydrogène et à pile à combustible</w:t>
      </w:r>
      <w:r w:rsidR="00B45CFF">
        <w:t xml:space="preserve"> </w:t>
      </w:r>
      <w:r>
        <w:t>(HFCV))</w:t>
      </w:r>
    </w:p>
    <w:p w:rsidR="00337CC9" w:rsidRDefault="00337CC9" w:rsidP="00337CC9">
      <w:pPr>
        <w:pStyle w:val="H1G"/>
        <w:rPr>
          <w:b w:val="0"/>
          <w:sz w:val="20"/>
        </w:rPr>
      </w:pPr>
      <w:r>
        <w:tab/>
      </w:r>
      <w:r>
        <w:tab/>
        <w:t>Communication du Groupe de travail de la sécurité passive</w:t>
      </w:r>
      <w:r w:rsidRPr="00337CC9">
        <w:rPr>
          <w:rStyle w:val="FootnoteReference"/>
          <w:b w:val="0"/>
          <w:sz w:val="20"/>
          <w:vertAlign w:val="baseline"/>
        </w:rPr>
        <w:footnoteReference w:customMarkFollows="1" w:id="2"/>
        <w:t>*</w:t>
      </w:r>
    </w:p>
    <w:p w:rsidR="00A45B99" w:rsidRDefault="00B609F9" w:rsidP="00337CC9">
      <w:pPr>
        <w:pStyle w:val="SingleTxtG"/>
        <w:ind w:firstLine="567"/>
      </w:pPr>
      <w:r w:rsidRPr="00337CC9">
        <w:t>Le texte reproduit ci</w:t>
      </w:r>
      <w:r w:rsidR="001A5335">
        <w:noBreakHyphen/>
      </w:r>
      <w:r w:rsidRPr="00337CC9">
        <w:t xml:space="preserve">après a été adopté par le Groupe de travail de la sécurité passive (GRSP) à sa </w:t>
      </w:r>
      <w:r w:rsidR="005F5C42">
        <w:t>soixante et unième</w:t>
      </w:r>
      <w:r w:rsidR="001A5335">
        <w:t> </w:t>
      </w:r>
      <w:r w:rsidRPr="00337CC9">
        <w:t>session</w:t>
      </w:r>
      <w:r w:rsidR="001A5335">
        <w:t xml:space="preserve"> (ECE/TRANS/WP.29/GRSP/61, par. </w:t>
      </w:r>
      <w:r w:rsidRPr="00337CC9">
        <w:t>39). Il est fondé sur le document ECE/TRANS/WP.29/GRSP/2017/5, tel qu’il a été modifié par l’</w:t>
      </w:r>
      <w:r w:rsidR="001A5335">
        <w:t>annexe </w:t>
      </w:r>
      <w:r w:rsidRPr="00337CC9">
        <w:t>VII du rapport. Il est soumis au Forum mondial de l’</w:t>
      </w:r>
      <w:r w:rsidR="00804887">
        <w:t>harmonisation des </w:t>
      </w:r>
      <w:r w:rsidRPr="00337CC9">
        <w:t>Règlements concernant les véhicules (WP.29) et au Comité d’administration (AC.1) aux fins d’examen à leurs sessions de novembre 2017.</w:t>
      </w:r>
    </w:p>
    <w:p w:rsidR="0063662D" w:rsidRPr="00052F73" w:rsidRDefault="00A45B99" w:rsidP="00052F73">
      <w:pPr>
        <w:pStyle w:val="HChG"/>
      </w:pPr>
      <w:r>
        <w:br w:type="page"/>
      </w:r>
      <w:r w:rsidR="00052F73">
        <w:lastRenderedPageBreak/>
        <w:tab/>
      </w:r>
      <w:r w:rsidR="00052F73">
        <w:tab/>
        <w:t xml:space="preserve">Proposition de complément 3 au Règlement </w:t>
      </w:r>
      <w:r w:rsidR="00052F73" w:rsidRPr="002D76F4">
        <w:rPr>
          <w:rFonts w:eastAsia="MS Mincho"/>
          <w:szCs w:val="22"/>
        </w:rPr>
        <w:t>n</w:t>
      </w:r>
      <w:r w:rsidR="00052F73" w:rsidRPr="002D76F4">
        <w:rPr>
          <w:rFonts w:eastAsia="MS Mincho"/>
          <w:szCs w:val="22"/>
          <w:vertAlign w:val="superscript"/>
        </w:rPr>
        <w:t>o</w:t>
      </w:r>
      <w:r w:rsidR="00052F73">
        <w:t> </w:t>
      </w:r>
      <w:r w:rsidR="00B609F9" w:rsidRPr="00052F73">
        <w:t xml:space="preserve">134 </w:t>
      </w:r>
      <w:r w:rsidR="00052F73">
        <w:br/>
      </w:r>
      <w:r w:rsidR="00B609F9" w:rsidRPr="00052F73">
        <w:t>(véhicules à hydrogène et à pile à combustible</w:t>
      </w:r>
      <w:r w:rsidR="00AD2900">
        <w:t xml:space="preserve"> </w:t>
      </w:r>
      <w:r w:rsidR="00B609F9" w:rsidRPr="00052F73">
        <w:t>(HFCV))</w:t>
      </w:r>
    </w:p>
    <w:p w:rsidR="0063662D" w:rsidRPr="00052F73" w:rsidRDefault="00B609F9" w:rsidP="00052F73">
      <w:pPr>
        <w:pStyle w:val="SingleTxtG"/>
      </w:pPr>
      <w:r w:rsidRPr="00052F73">
        <w:rPr>
          <w:i/>
        </w:rPr>
        <w:t>Paragraphes </w:t>
      </w:r>
      <w:r w:rsidRPr="00052F73">
        <w:rPr>
          <w:rFonts w:hint="eastAsia"/>
          <w:i/>
        </w:rPr>
        <w:t>5.1.1</w:t>
      </w:r>
      <w:r w:rsidRPr="00052F73">
        <w:rPr>
          <w:i/>
        </w:rPr>
        <w:t xml:space="preserve"> et</w:t>
      </w:r>
      <w:r w:rsidRPr="00052F73">
        <w:rPr>
          <w:rFonts w:hint="eastAsia"/>
          <w:i/>
        </w:rPr>
        <w:t xml:space="preserve"> 5.1.2</w:t>
      </w:r>
      <w:r w:rsidRPr="00052F73">
        <w:rPr>
          <w:rFonts w:hint="eastAsia"/>
        </w:rPr>
        <w:t>,</w:t>
      </w:r>
      <w:r w:rsidRPr="00052F73">
        <w:t xml:space="preserve"> modifier comme suit :</w:t>
      </w:r>
    </w:p>
    <w:p w:rsidR="0063662D" w:rsidRPr="00052F73" w:rsidRDefault="00052F73" w:rsidP="00052F73">
      <w:pPr>
        <w:pStyle w:val="SingleTxtG"/>
      </w:pPr>
      <w:r>
        <w:t>« 5.1.1</w:t>
      </w:r>
      <w:r>
        <w:tab/>
      </w:r>
      <w:r>
        <w:tab/>
      </w:r>
      <w:r w:rsidR="00B609F9" w:rsidRPr="00052F73">
        <w:t>Pression d’éclatement initiale de référence</w:t>
      </w:r>
    </w:p>
    <w:p w:rsidR="0063662D" w:rsidRPr="00052F73" w:rsidRDefault="00B609F9" w:rsidP="00052F73">
      <w:pPr>
        <w:pStyle w:val="SingleTxtG"/>
        <w:ind w:left="2268"/>
      </w:pPr>
      <w:r w:rsidRPr="00052F73">
        <w:t>Trois (3) réservoirs doivent être soumis à une pression hydraulique jusqu’à éclatement</w:t>
      </w:r>
      <w:r w:rsidR="00214E38">
        <w:t xml:space="preserve"> (annexe </w:t>
      </w:r>
      <w:r w:rsidR="008D433A">
        <w:t>3, par. </w:t>
      </w:r>
      <w:r w:rsidR="00214E38">
        <w:t>2.1, procédure d’essai)</w:t>
      </w:r>
      <w:r w:rsidRPr="00052F73">
        <w:t>. Le constructeur doit fournir la documentation nécessaire (mesures et analyses statistiques) permettant d’établir la pression médiane d’éclatement des réservoirs neufs (BP</w:t>
      </w:r>
      <w:r w:rsidRPr="00052F73">
        <w:rPr>
          <w:vertAlign w:val="subscript"/>
        </w:rPr>
        <w:t>O</w:t>
      </w:r>
      <w:r w:rsidRPr="00052F73">
        <w:t>).</w:t>
      </w:r>
    </w:p>
    <w:p w:rsidR="0063662D" w:rsidRPr="00052F73" w:rsidRDefault="00B609F9" w:rsidP="00052F73">
      <w:pPr>
        <w:pStyle w:val="SingleTxtG"/>
        <w:ind w:left="2268"/>
        <w:rPr>
          <w:b/>
        </w:rPr>
      </w:pPr>
      <w:r w:rsidRPr="00052F73">
        <w:tab/>
        <w:t xml:space="preserve">Tous les réservoirs éprouvés doivent avoir une pression d’éclatement qui ne s’écarte pas de plus de </w:t>
      </w:r>
      <w:r w:rsidRPr="00052F73">
        <w:sym w:font="Symbol" w:char="F0B1"/>
      </w:r>
      <w:r w:rsidR="00CE3B40">
        <w:t> </w:t>
      </w:r>
      <w:r w:rsidRPr="00052F73">
        <w:t>10 % de la BP</w:t>
      </w:r>
      <w:r w:rsidRPr="00052F73">
        <w:rPr>
          <w:vertAlign w:val="subscript"/>
        </w:rPr>
        <w:t>O</w:t>
      </w:r>
      <w:r w:rsidRPr="00052F73">
        <w:t xml:space="preserve"> et qui soit supérieure ou égale à une valeur minimale </w:t>
      </w:r>
      <w:proofErr w:type="spellStart"/>
      <w:r w:rsidRPr="00052F73">
        <w:t>BP</w:t>
      </w:r>
      <w:r w:rsidRPr="00052F73">
        <w:rPr>
          <w:vertAlign w:val="subscript"/>
        </w:rPr>
        <w:t>min</w:t>
      </w:r>
      <w:proofErr w:type="spellEnd"/>
      <w:r w:rsidRPr="00052F73">
        <w:t xml:space="preserve"> de 225 % de la PSN.</w:t>
      </w:r>
    </w:p>
    <w:p w:rsidR="0063662D" w:rsidRPr="00052F73" w:rsidRDefault="00B609F9" w:rsidP="00052F73">
      <w:pPr>
        <w:pStyle w:val="SingleTxtG"/>
        <w:ind w:left="2268"/>
        <w:rPr>
          <w:b/>
        </w:rPr>
      </w:pPr>
      <w:r w:rsidRPr="00052F73">
        <w:t>En outre, les réservoirs dont le constituant primaire est un composite de fibre de verre doivent avoir une pression minimale d’</w:t>
      </w:r>
      <w:r w:rsidR="00CE3B40">
        <w:t>éclatement supérieure à </w:t>
      </w:r>
      <w:r w:rsidRPr="00052F73">
        <w:t>350 % de la PSN.</w:t>
      </w:r>
    </w:p>
    <w:p w:rsidR="0063662D" w:rsidRPr="00052F73" w:rsidRDefault="00B609F9" w:rsidP="00DE6C91">
      <w:pPr>
        <w:pStyle w:val="SingleTxtG"/>
      </w:pPr>
      <w:r w:rsidRPr="00052F73">
        <w:t>5.1.2</w:t>
      </w:r>
      <w:r w:rsidRPr="00052F73">
        <w:tab/>
      </w:r>
      <w:r w:rsidR="00DE6C91">
        <w:tab/>
      </w:r>
      <w:r w:rsidRPr="00052F73">
        <w:t>Nombre de cycles de pression initiale de référence</w:t>
      </w:r>
    </w:p>
    <w:p w:rsidR="0063662D" w:rsidRPr="00052F73" w:rsidRDefault="00B609F9" w:rsidP="00DE6C91">
      <w:pPr>
        <w:pStyle w:val="SingleTxtG"/>
        <w:ind w:left="2268"/>
      </w:pPr>
      <w:r w:rsidRPr="00052F73">
        <w:tab/>
        <w:t>Trois (3) réservoirs doivent être soumis à des cycles de pression hydraulique, à une température ambiante</w:t>
      </w:r>
      <w:r w:rsidR="00CE3B40">
        <w:t xml:space="preserve"> de 20 </w:t>
      </w:r>
      <w:r w:rsidRPr="00052F73">
        <w:t>(±</w:t>
      </w:r>
      <w:r w:rsidR="00CE3B40">
        <w:t>5) </w:t>
      </w:r>
      <w:r w:rsidRPr="00052F73">
        <w:t>°C à 125 </w:t>
      </w:r>
      <w:r w:rsidR="00CE3B40">
        <w:t>% de la PSN (+2/-0 </w:t>
      </w:r>
      <w:proofErr w:type="spellStart"/>
      <w:r w:rsidRPr="00052F73">
        <w:t>MPa</w:t>
      </w:r>
      <w:proofErr w:type="spellEnd"/>
      <w:r w:rsidRPr="00052F73">
        <w:t xml:space="preserve">) sans subir de rupture pendant 22 000 cycles ou jusqu’à l’apparition d’une fuite </w:t>
      </w:r>
      <w:r w:rsidR="00A92C15">
        <w:t>(annexe 3, par.</w:t>
      </w:r>
      <w:r w:rsidRPr="00052F73">
        <w:t> 2.2 procédure d’essai). Ils ne doivent pas présenter de fuite avant 11 000 cycles pour une durée de vie en</w:t>
      </w:r>
      <w:r w:rsidR="00CE3B40">
        <w:t xml:space="preserve"> service de </w:t>
      </w:r>
      <w:r w:rsidRPr="00052F73">
        <w:t>15 ans. ».</w:t>
      </w:r>
    </w:p>
    <w:p w:rsidR="0063662D" w:rsidRPr="00052F73" w:rsidRDefault="00B609F9" w:rsidP="00CA49E0">
      <w:pPr>
        <w:pStyle w:val="SingleTxtG"/>
      </w:pPr>
      <w:r w:rsidRPr="00052F73">
        <w:rPr>
          <w:i/>
        </w:rPr>
        <w:t>Paragraphe </w:t>
      </w:r>
      <w:r w:rsidRPr="00052F73">
        <w:rPr>
          <w:rFonts w:hint="eastAsia"/>
          <w:i/>
        </w:rPr>
        <w:t>9.3.1</w:t>
      </w:r>
      <w:r w:rsidRPr="00052F73">
        <w:t>, modifier comme suit :</w:t>
      </w:r>
    </w:p>
    <w:p w:rsidR="0063662D" w:rsidRPr="00052F73" w:rsidRDefault="00B609F9" w:rsidP="0078422D">
      <w:pPr>
        <w:pStyle w:val="SingleTxtG"/>
        <w:ind w:left="2268" w:hanging="1134"/>
      </w:pPr>
      <w:r w:rsidRPr="00052F73">
        <w:t>« </w:t>
      </w:r>
      <w:r w:rsidRPr="00052F73">
        <w:rPr>
          <w:rFonts w:hint="eastAsia"/>
        </w:rPr>
        <w:t>9.3.</w:t>
      </w:r>
      <w:r w:rsidRPr="00052F73">
        <w:t>1</w:t>
      </w:r>
      <w:r w:rsidRPr="00052F73">
        <w:rPr>
          <w:rFonts w:hint="eastAsia"/>
        </w:rPr>
        <w:tab/>
      </w:r>
      <w:r w:rsidR="0078422D">
        <w:tab/>
      </w:r>
      <w:r w:rsidRPr="00052F73">
        <w:t>Chaque réservoir doit être testé conformément au paragraphe 5.2.1 du présent</w:t>
      </w:r>
      <w:r w:rsidR="00CE3B40">
        <w:t> </w:t>
      </w:r>
      <w:r w:rsidRPr="00052F73">
        <w:t xml:space="preserve">Règlement. La pression d’essai doit être égale ou supérieure à </w:t>
      </w:r>
      <w:r w:rsidR="00CE3B40">
        <w:t>150 % de la </w:t>
      </w:r>
      <w:r w:rsidRPr="00052F73">
        <w:t>PSN</w:t>
      </w:r>
      <w:r w:rsidRPr="006D537A">
        <w:t>.</w:t>
      </w:r>
      <w:r w:rsidRPr="00052F73">
        <w:t> ».</w:t>
      </w:r>
    </w:p>
    <w:p w:rsidR="0063662D" w:rsidRPr="00052F73" w:rsidRDefault="00B609F9" w:rsidP="00CA49E0">
      <w:pPr>
        <w:pStyle w:val="SingleTxtG"/>
      </w:pPr>
      <w:r w:rsidRPr="00052F73">
        <w:rPr>
          <w:i/>
        </w:rPr>
        <w:t>Paragraphes </w:t>
      </w:r>
      <w:r w:rsidRPr="00052F73">
        <w:rPr>
          <w:rFonts w:hint="eastAsia"/>
          <w:i/>
        </w:rPr>
        <w:t>9.3.2.1</w:t>
      </w:r>
      <w:r w:rsidRPr="00052F73">
        <w:rPr>
          <w:i/>
        </w:rPr>
        <w:t xml:space="preserve"> et 9.3.2.2,</w:t>
      </w:r>
      <w:r w:rsidRPr="00052F73">
        <w:t xml:space="preserve"> modifier comme suit :</w:t>
      </w:r>
    </w:p>
    <w:p w:rsidR="0063662D" w:rsidRPr="00052F73" w:rsidRDefault="00B609F9" w:rsidP="00DF5D18">
      <w:pPr>
        <w:pStyle w:val="SingleTxtG"/>
      </w:pPr>
      <w:r w:rsidRPr="00052F73">
        <w:t>« </w:t>
      </w:r>
      <w:r w:rsidRPr="00052F73">
        <w:rPr>
          <w:rFonts w:hint="eastAsia"/>
        </w:rPr>
        <w:t>9.3.2.1</w:t>
      </w:r>
      <w:r w:rsidRPr="00052F73">
        <w:tab/>
        <w:t>Essai de rupture : essai par lots</w:t>
      </w:r>
    </w:p>
    <w:p w:rsidR="0063662D" w:rsidRPr="00052F73" w:rsidRDefault="00B609F9" w:rsidP="0078422D">
      <w:pPr>
        <w:pStyle w:val="SingleTxtG"/>
        <w:ind w:left="2268"/>
      </w:pPr>
      <w:r w:rsidRPr="00052F73">
        <w:tab/>
        <w:t xml:space="preserve">L’essai doit être exécuté conformément au paragraphe 2.1 (essai de rupture en pression hydrostatique) de l’annexe 3. La pression de rupture exigée doit être au moins égale à </w:t>
      </w:r>
      <w:proofErr w:type="spellStart"/>
      <w:r w:rsidRPr="00052F73">
        <w:t>BP</w:t>
      </w:r>
      <w:r w:rsidRPr="00052F73">
        <w:rPr>
          <w:vertAlign w:val="subscript"/>
        </w:rPr>
        <w:t>min</w:t>
      </w:r>
      <w:proofErr w:type="spellEnd"/>
      <w:r w:rsidRPr="00052F73">
        <w:rPr>
          <w:vertAlign w:val="subscript"/>
        </w:rPr>
        <w:t xml:space="preserve"> </w:t>
      </w:r>
      <w:r w:rsidRPr="00052F73">
        <w:t>et la pression de rupture moyenne relevée lors des dix derniers essais doit être au moins égale à BP</w:t>
      </w:r>
      <w:r w:rsidRPr="00052F73">
        <w:rPr>
          <w:vertAlign w:val="subscript"/>
        </w:rPr>
        <w:t>O</w:t>
      </w:r>
      <w:r w:rsidRPr="00052F73">
        <w:t>-10 %.</w:t>
      </w:r>
    </w:p>
    <w:p w:rsidR="0063662D" w:rsidRPr="00052F73" w:rsidRDefault="00B609F9" w:rsidP="00DF5D18">
      <w:pPr>
        <w:pStyle w:val="SingleTxtG"/>
      </w:pPr>
      <w:r w:rsidRPr="00052F73">
        <w:t>9.3.2.2</w:t>
      </w:r>
      <w:r w:rsidRPr="00052F73">
        <w:tab/>
      </w:r>
      <w:r w:rsidR="00DF5D18">
        <w:tab/>
      </w:r>
      <w:r w:rsidRPr="00052F73">
        <w:t>Essai de cycles de pression à la température ambiante : essai par lots</w:t>
      </w:r>
    </w:p>
    <w:p w:rsidR="0063662D" w:rsidRPr="00052F73" w:rsidRDefault="00B609F9" w:rsidP="0078422D">
      <w:pPr>
        <w:pStyle w:val="SingleTxtG"/>
        <w:ind w:left="2268"/>
      </w:pPr>
      <w:r w:rsidRPr="00052F73">
        <w:tab/>
        <w:t xml:space="preserve">L’essai doit être exécuté conformément au paragraphe 2.2 a) à c) (cycles de pression hydrostatique) de l’annexe 3, sauf que les prescriptions concernant la température du liquide et le revêtement du réservoir ainsi que celles qui concernent l’humidité relative ne s’appliquent pas. La bouteille doit être </w:t>
      </w:r>
      <w:proofErr w:type="gramStart"/>
      <w:r w:rsidRPr="00052F73">
        <w:t>soumise</w:t>
      </w:r>
      <w:proofErr w:type="gramEnd"/>
      <w:r w:rsidRPr="00052F73">
        <w:t xml:space="preserve"> à des cycles de pression avec des pressions hydrostatiques égales ou supérieures à 125 % de la PSN, jusqu’à 22 000 cycles lorsqu’il ne se produit pas de fuite ou jusqu’à ce qu’une fuite se produise. Pour la durée de service de 15 ans, la bouteille ne doit pas fuir ou se briser au cours des 11 000 premiers cycles. ».</w:t>
      </w:r>
    </w:p>
    <w:p w:rsidR="0063662D" w:rsidRPr="00052F73" w:rsidRDefault="00B609F9" w:rsidP="00DF5D18">
      <w:pPr>
        <w:pStyle w:val="SingleTxtG"/>
        <w:rPr>
          <w:i/>
        </w:rPr>
      </w:pPr>
      <w:r w:rsidRPr="00052F73">
        <w:rPr>
          <w:i/>
        </w:rPr>
        <w:t>Annexe 3</w:t>
      </w:r>
      <w:r w:rsidRPr="00052F73">
        <w:t>,</w:t>
      </w:r>
      <w:r w:rsidRPr="00052F73">
        <w:rPr>
          <w:i/>
        </w:rPr>
        <w:t xml:space="preserve"> </w:t>
      </w:r>
    </w:p>
    <w:p w:rsidR="0063662D" w:rsidRPr="00052F73" w:rsidRDefault="00B609F9" w:rsidP="00CA49E0">
      <w:pPr>
        <w:pStyle w:val="SingleTxtG"/>
      </w:pPr>
      <w:r w:rsidRPr="00052F73">
        <w:rPr>
          <w:i/>
        </w:rPr>
        <w:t>Paragraphe 2.1</w:t>
      </w:r>
      <w:r w:rsidRPr="00052F73">
        <w:t>, modifier comme suit :</w:t>
      </w:r>
    </w:p>
    <w:p w:rsidR="0063662D" w:rsidRPr="00052F73" w:rsidRDefault="00B609F9" w:rsidP="00DF5D18">
      <w:pPr>
        <w:pStyle w:val="SingleTxtG"/>
      </w:pPr>
      <w:r w:rsidRPr="00052F73">
        <w:t>« </w:t>
      </w:r>
      <w:r w:rsidR="00DF5D18">
        <w:t>2.1</w:t>
      </w:r>
      <w:r w:rsidRPr="00052F73">
        <w:rPr>
          <w:rFonts w:hint="eastAsia"/>
        </w:rPr>
        <w:tab/>
      </w:r>
      <w:r w:rsidR="00DF5D18">
        <w:tab/>
      </w:r>
      <w:r w:rsidRPr="00052F73">
        <w:t>Essai d’éclatement (hydraulique)</w:t>
      </w:r>
    </w:p>
    <w:p w:rsidR="00A45B99" w:rsidRDefault="00B609F9" w:rsidP="0078422D">
      <w:pPr>
        <w:pStyle w:val="SingleTxtG"/>
        <w:ind w:left="2268"/>
      </w:pPr>
      <w:r w:rsidRPr="00052F73">
        <w:tab/>
        <w:t>L’essai d’éclatement doit être effectué à la température ambiante de 20 (±5) °C, à l’aide d’un liquide non corrosif. ».</w:t>
      </w:r>
    </w:p>
    <w:p w:rsidR="00DF5D18" w:rsidRPr="00DF5D18" w:rsidRDefault="00DF5D18" w:rsidP="00DF5D18">
      <w:pPr>
        <w:pStyle w:val="SingleTxtG"/>
        <w:spacing w:before="240" w:after="0"/>
        <w:jc w:val="center"/>
        <w:rPr>
          <w:u w:val="single"/>
        </w:rPr>
      </w:pPr>
      <w:r>
        <w:rPr>
          <w:u w:val="single"/>
        </w:rPr>
        <w:tab/>
      </w:r>
      <w:r>
        <w:rPr>
          <w:u w:val="single"/>
        </w:rPr>
        <w:tab/>
      </w:r>
      <w:r>
        <w:rPr>
          <w:u w:val="single"/>
        </w:rPr>
        <w:tab/>
      </w:r>
    </w:p>
    <w:sectPr w:rsidR="00DF5D18" w:rsidRPr="00DF5D18" w:rsidSect="00337C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6D" w:rsidRDefault="0078256D" w:rsidP="00F95C08">
      <w:pPr>
        <w:spacing w:line="240" w:lineRule="auto"/>
      </w:pPr>
    </w:p>
  </w:endnote>
  <w:endnote w:type="continuationSeparator" w:id="0">
    <w:p w:rsidR="0078256D" w:rsidRPr="00AC3823" w:rsidRDefault="0078256D" w:rsidP="00AC3823">
      <w:pPr>
        <w:pStyle w:val="Footer"/>
      </w:pPr>
    </w:p>
  </w:endnote>
  <w:endnote w:type="continuationNotice" w:id="1">
    <w:p w:rsidR="0078256D" w:rsidRDefault="00782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C9" w:rsidRPr="00337CC9" w:rsidRDefault="00337CC9" w:rsidP="00337CC9">
    <w:pPr>
      <w:pStyle w:val="Footer"/>
      <w:tabs>
        <w:tab w:val="right" w:pos="9638"/>
      </w:tabs>
    </w:pPr>
    <w:r w:rsidRPr="00337CC9">
      <w:rPr>
        <w:b/>
        <w:sz w:val="18"/>
      </w:rPr>
      <w:fldChar w:fldCharType="begin"/>
    </w:r>
    <w:r w:rsidRPr="00337CC9">
      <w:rPr>
        <w:b/>
        <w:sz w:val="18"/>
      </w:rPr>
      <w:instrText xml:space="preserve"> PAGE  \* MERGEFORMAT </w:instrText>
    </w:r>
    <w:r w:rsidRPr="00337CC9">
      <w:rPr>
        <w:b/>
        <w:sz w:val="18"/>
      </w:rPr>
      <w:fldChar w:fldCharType="separate"/>
    </w:r>
    <w:r w:rsidR="009C5281">
      <w:rPr>
        <w:b/>
        <w:noProof/>
        <w:sz w:val="18"/>
      </w:rPr>
      <w:t>2</w:t>
    </w:r>
    <w:r w:rsidRPr="00337CC9">
      <w:rPr>
        <w:b/>
        <w:sz w:val="18"/>
      </w:rPr>
      <w:fldChar w:fldCharType="end"/>
    </w:r>
    <w:r>
      <w:rPr>
        <w:b/>
        <w:sz w:val="18"/>
      </w:rPr>
      <w:tab/>
    </w:r>
    <w:r>
      <w:t>GE.17-14583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C9" w:rsidRPr="00337CC9" w:rsidRDefault="00337CC9" w:rsidP="00337CC9">
    <w:pPr>
      <w:pStyle w:val="Footer"/>
      <w:tabs>
        <w:tab w:val="right" w:pos="9638"/>
      </w:tabs>
      <w:rPr>
        <w:b/>
        <w:sz w:val="18"/>
      </w:rPr>
    </w:pPr>
    <w:r>
      <w:t>GE.17-14583</w:t>
    </w:r>
    <w:r>
      <w:tab/>
    </w:r>
    <w:r w:rsidRPr="00337CC9">
      <w:rPr>
        <w:b/>
        <w:sz w:val="18"/>
      </w:rPr>
      <w:fldChar w:fldCharType="begin"/>
    </w:r>
    <w:r w:rsidRPr="00337CC9">
      <w:rPr>
        <w:b/>
        <w:sz w:val="18"/>
      </w:rPr>
      <w:instrText xml:space="preserve"> PAGE  \* MERGEFORMAT </w:instrText>
    </w:r>
    <w:r w:rsidRPr="00337CC9">
      <w:rPr>
        <w:b/>
        <w:sz w:val="18"/>
      </w:rPr>
      <w:fldChar w:fldCharType="separate"/>
    </w:r>
    <w:r w:rsidR="00B609F9">
      <w:rPr>
        <w:b/>
        <w:noProof/>
        <w:sz w:val="18"/>
      </w:rPr>
      <w:t>1</w:t>
    </w:r>
    <w:r w:rsidRPr="00337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37CC9" w:rsidRDefault="00337CC9" w:rsidP="00337CC9">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17-14583  (F)</w:t>
    </w:r>
    <w:r w:rsidR="00F835F5">
      <w:rPr>
        <w:sz w:val="20"/>
      </w:rPr>
      <w:t xml:space="preserve">    </w:t>
    </w:r>
    <w:r w:rsidR="005F5C42">
      <w:rPr>
        <w:sz w:val="20"/>
      </w:rPr>
      <w:t>21</w:t>
    </w:r>
    <w:r w:rsidR="00F835F5">
      <w:rPr>
        <w:sz w:val="20"/>
      </w:rPr>
      <w:t>0917    260917</w:t>
    </w:r>
    <w:r>
      <w:rPr>
        <w:sz w:val="20"/>
      </w:rPr>
      <w:br/>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sidRPr="00337CC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6D" w:rsidRPr="00AC3823" w:rsidRDefault="0078256D" w:rsidP="00AC3823">
      <w:pPr>
        <w:pStyle w:val="Footer"/>
        <w:tabs>
          <w:tab w:val="right" w:pos="2155"/>
        </w:tabs>
        <w:spacing w:after="80" w:line="240" w:lineRule="atLeast"/>
        <w:ind w:left="680"/>
        <w:rPr>
          <w:u w:val="single"/>
        </w:rPr>
      </w:pPr>
      <w:r>
        <w:rPr>
          <w:u w:val="single"/>
        </w:rPr>
        <w:tab/>
      </w:r>
    </w:p>
  </w:footnote>
  <w:footnote w:type="continuationSeparator" w:id="0">
    <w:p w:rsidR="0078256D" w:rsidRPr="00AC3823" w:rsidRDefault="0078256D" w:rsidP="00AC3823">
      <w:pPr>
        <w:pStyle w:val="Footer"/>
        <w:tabs>
          <w:tab w:val="right" w:pos="2155"/>
        </w:tabs>
        <w:spacing w:after="80" w:line="240" w:lineRule="atLeast"/>
        <w:ind w:left="680"/>
        <w:rPr>
          <w:u w:val="single"/>
        </w:rPr>
      </w:pPr>
      <w:r>
        <w:rPr>
          <w:u w:val="single"/>
        </w:rPr>
        <w:tab/>
      </w:r>
    </w:p>
  </w:footnote>
  <w:footnote w:type="continuationNotice" w:id="1">
    <w:p w:rsidR="0078256D" w:rsidRPr="00AC3823" w:rsidRDefault="0078256D">
      <w:pPr>
        <w:spacing w:line="240" w:lineRule="auto"/>
        <w:rPr>
          <w:sz w:val="2"/>
          <w:szCs w:val="2"/>
        </w:rPr>
      </w:pPr>
    </w:p>
  </w:footnote>
  <w:footnote w:id="2">
    <w:p w:rsidR="00337CC9" w:rsidRPr="00337CC9" w:rsidRDefault="00337CC9">
      <w:pPr>
        <w:pStyle w:val="FootnoteText"/>
      </w:pPr>
      <w:r>
        <w:rPr>
          <w:rStyle w:val="FootnoteReference"/>
        </w:rPr>
        <w:tab/>
      </w:r>
      <w:r w:rsidRPr="00337CC9">
        <w:rPr>
          <w:rStyle w:val="FootnoteReference"/>
          <w:sz w:val="20"/>
          <w:vertAlign w:val="baseline"/>
        </w:rPr>
        <w:t>*</w:t>
      </w:r>
      <w:r>
        <w:rPr>
          <w:rStyle w:val="FootnoteReference"/>
          <w:sz w:val="20"/>
          <w:vertAlign w:val="baseline"/>
        </w:rPr>
        <w:tab/>
      </w:r>
      <w:r w:rsidRPr="00CB5703">
        <w:t xml:space="preserve">Conformément au programme de travail du Comité des transports </w:t>
      </w:r>
      <w:r>
        <w:t>intérieurs pour la période 2016</w:t>
      </w:r>
      <w:r>
        <w:noBreakHyphen/>
      </w:r>
      <w:r w:rsidRPr="00CB5703">
        <w:t>2017 (ECE/TRANS/254, par.</w:t>
      </w:r>
      <w:r>
        <w:t> </w:t>
      </w:r>
      <w:r w:rsidRPr="00CB5703">
        <w:t>159, et ECE/TRANS/2016/28/Add.1, activité 3.1), le Forum mondial a pour mission d’élaborer, d’harmoniser et de mettre à jour les Règlements en vue d’améliorer les caractéristiques fonctionnelles des véhicules. Le présent document est soumis dans le cadre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C9" w:rsidRPr="00337CC9" w:rsidRDefault="009C5281">
    <w:pPr>
      <w:pStyle w:val="Header"/>
    </w:pPr>
    <w:r>
      <w:fldChar w:fldCharType="begin"/>
    </w:r>
    <w:r>
      <w:instrText xml:space="preserve"> TITLE  \* MERGEFORMAT </w:instrText>
    </w:r>
    <w:r>
      <w:fldChar w:fldCharType="separate"/>
    </w:r>
    <w:r>
      <w:t>ECE/TRANS/WP.29/2017/127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C9" w:rsidRPr="00337CC9" w:rsidRDefault="009C5281" w:rsidP="00337CC9">
    <w:pPr>
      <w:pStyle w:val="Header"/>
      <w:jc w:val="right"/>
    </w:pPr>
    <w:r>
      <w:fldChar w:fldCharType="begin"/>
    </w:r>
    <w:r>
      <w:instrText xml:space="preserve"> TITLE  \* MERGEFORMAT </w:instrText>
    </w:r>
    <w:r>
      <w:fldChar w:fldCharType="separate"/>
    </w:r>
    <w:r>
      <w:t>ECE/TRANS/WP.29/2017/127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6D"/>
    <w:rsid w:val="00017F94"/>
    <w:rsid w:val="00023842"/>
    <w:rsid w:val="000334F9"/>
    <w:rsid w:val="00045FEB"/>
    <w:rsid w:val="00052F73"/>
    <w:rsid w:val="0007796D"/>
    <w:rsid w:val="000B7790"/>
    <w:rsid w:val="00111F2F"/>
    <w:rsid w:val="0014365E"/>
    <w:rsid w:val="00143C66"/>
    <w:rsid w:val="00176178"/>
    <w:rsid w:val="001A5335"/>
    <w:rsid w:val="001A581F"/>
    <w:rsid w:val="001F525A"/>
    <w:rsid w:val="00214E38"/>
    <w:rsid w:val="00223272"/>
    <w:rsid w:val="0024779E"/>
    <w:rsid w:val="00257168"/>
    <w:rsid w:val="002744B8"/>
    <w:rsid w:val="002832AC"/>
    <w:rsid w:val="002D7C93"/>
    <w:rsid w:val="00305801"/>
    <w:rsid w:val="00337CC9"/>
    <w:rsid w:val="003856D8"/>
    <w:rsid w:val="003916DE"/>
    <w:rsid w:val="00441C3B"/>
    <w:rsid w:val="00446FE5"/>
    <w:rsid w:val="00452396"/>
    <w:rsid w:val="004837D8"/>
    <w:rsid w:val="004E468C"/>
    <w:rsid w:val="004E5535"/>
    <w:rsid w:val="005505B7"/>
    <w:rsid w:val="00573BE5"/>
    <w:rsid w:val="00586ED3"/>
    <w:rsid w:val="00596AA9"/>
    <w:rsid w:val="005F5C42"/>
    <w:rsid w:val="006D537A"/>
    <w:rsid w:val="0071601D"/>
    <w:rsid w:val="0078256D"/>
    <w:rsid w:val="0078422D"/>
    <w:rsid w:val="007A62E6"/>
    <w:rsid w:val="007F20FA"/>
    <w:rsid w:val="00804887"/>
    <w:rsid w:val="0080684C"/>
    <w:rsid w:val="00871C75"/>
    <w:rsid w:val="008776DC"/>
    <w:rsid w:val="008D433A"/>
    <w:rsid w:val="009446C0"/>
    <w:rsid w:val="009705C8"/>
    <w:rsid w:val="009C1CF4"/>
    <w:rsid w:val="009C5281"/>
    <w:rsid w:val="009F6B74"/>
    <w:rsid w:val="00A30353"/>
    <w:rsid w:val="00A45B99"/>
    <w:rsid w:val="00A92C15"/>
    <w:rsid w:val="00AC3823"/>
    <w:rsid w:val="00AD2900"/>
    <w:rsid w:val="00AE323C"/>
    <w:rsid w:val="00AF0CB5"/>
    <w:rsid w:val="00AF5375"/>
    <w:rsid w:val="00B00181"/>
    <w:rsid w:val="00B00B0D"/>
    <w:rsid w:val="00B45CFF"/>
    <w:rsid w:val="00B609F9"/>
    <w:rsid w:val="00B765F7"/>
    <w:rsid w:val="00BA0CA9"/>
    <w:rsid w:val="00BE118E"/>
    <w:rsid w:val="00C00E49"/>
    <w:rsid w:val="00C02897"/>
    <w:rsid w:val="00C77223"/>
    <w:rsid w:val="00C97039"/>
    <w:rsid w:val="00CA49E0"/>
    <w:rsid w:val="00CE3B40"/>
    <w:rsid w:val="00D3439C"/>
    <w:rsid w:val="00DB1831"/>
    <w:rsid w:val="00DD3BFD"/>
    <w:rsid w:val="00DE6C91"/>
    <w:rsid w:val="00DF5D18"/>
    <w:rsid w:val="00DF6678"/>
    <w:rsid w:val="00E0299A"/>
    <w:rsid w:val="00E85C74"/>
    <w:rsid w:val="00EA6547"/>
    <w:rsid w:val="00EF2E22"/>
    <w:rsid w:val="00F31B59"/>
    <w:rsid w:val="00F35BAF"/>
    <w:rsid w:val="00F660DF"/>
    <w:rsid w:val="00F835F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53A4D9-E58C-46AE-B5D2-F1AD8824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1724-B663-445D-AD69-2EADD379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ECE/TRANS/WP.29/2017/127</vt:lpstr>
      <vt:lpstr>ECE/TRANS/WP.29/2017/127</vt:lpstr>
    </vt:vector>
  </TitlesOfParts>
  <Company>DCM</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ECE/TRANS/WP.29/2017/127</dc:title>
  <dc:subject/>
  <dc:creator>DEVOS</dc:creator>
  <cp:keywords/>
  <cp:lastModifiedBy>Marie-Claude Collet</cp:lastModifiedBy>
  <cp:revision>3</cp:revision>
  <cp:lastPrinted>2017-09-26T13:02:00Z</cp:lastPrinted>
  <dcterms:created xsi:type="dcterms:W3CDTF">2017-09-26T13:01:00Z</dcterms:created>
  <dcterms:modified xsi:type="dcterms:W3CDTF">2017-09-26T13:02:00Z</dcterms:modified>
</cp:coreProperties>
</file>