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E122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E122F" w:rsidP="006E122F">
            <w:pPr>
              <w:jc w:val="right"/>
            </w:pPr>
            <w:r w:rsidRPr="006E122F">
              <w:rPr>
                <w:sz w:val="40"/>
              </w:rPr>
              <w:t>ECE</w:t>
            </w:r>
            <w:r>
              <w:t>/TRANS/WP.29/2017/118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E122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E122F" w:rsidRDefault="006E122F" w:rsidP="006E122F">
            <w:pPr>
              <w:spacing w:line="240" w:lineRule="exact"/>
            </w:pPr>
            <w:r>
              <w:t>23 août 2017</w:t>
            </w:r>
          </w:p>
          <w:p w:rsidR="006E122F" w:rsidRDefault="006E122F" w:rsidP="006E122F">
            <w:pPr>
              <w:spacing w:line="240" w:lineRule="exact"/>
            </w:pPr>
            <w:r>
              <w:t>Français</w:t>
            </w:r>
          </w:p>
          <w:p w:rsidR="006E122F" w:rsidRPr="00DB58B5" w:rsidRDefault="006E122F" w:rsidP="006E122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F57A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01028" w:rsidRPr="009E01B8" w:rsidRDefault="006F5F1D" w:rsidP="00AF0CB5">
      <w:pPr>
        <w:spacing w:before="120"/>
        <w:rPr>
          <w:b/>
          <w:sz w:val="24"/>
          <w:szCs w:val="24"/>
        </w:rPr>
      </w:pPr>
      <w:r w:rsidRPr="0028391A">
        <w:rPr>
          <w:b/>
          <w:sz w:val="24"/>
          <w:szCs w:val="24"/>
          <w:lang w:val="fr-FR"/>
        </w:rPr>
        <w:t>Forum mondial de l</w:t>
      </w:r>
      <w:r w:rsidR="00FF57A6">
        <w:rPr>
          <w:b/>
          <w:sz w:val="24"/>
          <w:szCs w:val="24"/>
          <w:lang w:val="fr-FR"/>
        </w:rPr>
        <w:t>’</w:t>
      </w:r>
      <w:r w:rsidRPr="0028391A">
        <w:rPr>
          <w:b/>
          <w:sz w:val="24"/>
          <w:szCs w:val="24"/>
          <w:lang w:val="fr-FR"/>
        </w:rPr>
        <w:t xml:space="preserve">harmonisation des Règlements </w:t>
      </w:r>
      <w:r>
        <w:rPr>
          <w:b/>
          <w:sz w:val="24"/>
          <w:szCs w:val="24"/>
          <w:lang w:val="fr-FR"/>
        </w:rPr>
        <w:br/>
      </w:r>
      <w:r w:rsidRPr="0028391A">
        <w:rPr>
          <w:b/>
          <w:sz w:val="24"/>
          <w:szCs w:val="24"/>
          <w:lang w:val="fr-FR"/>
        </w:rPr>
        <w:t>concernant les véhicules</w:t>
      </w:r>
    </w:p>
    <w:p w:rsidR="00301028" w:rsidRPr="00992778" w:rsidRDefault="00301028" w:rsidP="00AF0CB5">
      <w:pPr>
        <w:spacing w:before="120"/>
        <w:rPr>
          <w:b/>
        </w:rPr>
      </w:pPr>
      <w:r>
        <w:rPr>
          <w:b/>
        </w:rPr>
        <w:t>173</w:t>
      </w:r>
      <w:r w:rsidRPr="00301028">
        <w:rPr>
          <w:b/>
          <w:vertAlign w:val="superscript"/>
        </w:rPr>
        <w:t>e</w:t>
      </w:r>
      <w:r>
        <w:rPr>
          <w:b/>
        </w:rPr>
        <w:t xml:space="preserve"> </w:t>
      </w:r>
      <w:r w:rsidRPr="00992778">
        <w:rPr>
          <w:b/>
        </w:rPr>
        <w:t>session</w:t>
      </w:r>
    </w:p>
    <w:p w:rsidR="00301028" w:rsidRPr="006D33D9" w:rsidRDefault="00301028" w:rsidP="00301028">
      <w:r>
        <w:rPr>
          <w:lang w:val="fr-FR"/>
        </w:rPr>
        <w:t>Genève, 14-17</w:t>
      </w:r>
      <w:r w:rsidR="002D4D8E">
        <w:rPr>
          <w:lang w:val="fr-FR"/>
        </w:rPr>
        <w:t> </w:t>
      </w:r>
      <w:r>
        <w:rPr>
          <w:lang w:val="fr-FR"/>
        </w:rPr>
        <w:t>novembre 2017</w:t>
      </w:r>
    </w:p>
    <w:p w:rsidR="00301028" w:rsidRPr="00AF2205" w:rsidRDefault="00301028" w:rsidP="00301028">
      <w:r>
        <w:rPr>
          <w:lang w:val="fr-FR"/>
        </w:rPr>
        <w:t>Point 4.8.1 de l</w:t>
      </w:r>
      <w:r w:rsidR="00FF57A6">
        <w:rPr>
          <w:lang w:val="fr-FR"/>
        </w:rPr>
        <w:t>’</w:t>
      </w:r>
      <w:r>
        <w:rPr>
          <w:lang w:val="fr-FR"/>
        </w:rPr>
        <w:t>ordre du jour provisoire</w:t>
      </w:r>
    </w:p>
    <w:p w:rsidR="00301028" w:rsidRDefault="00301028" w:rsidP="00301028">
      <w:r w:rsidRPr="0028391A">
        <w:rPr>
          <w:b/>
          <w:lang w:val="fr-FR"/>
        </w:rPr>
        <w:t>Accord de 1958 :</w:t>
      </w:r>
      <w:r w:rsidR="00641903">
        <w:rPr>
          <w:b/>
          <w:lang w:val="fr-FR"/>
        </w:rPr>
        <w:br/>
      </w:r>
      <w:r w:rsidRPr="0028391A">
        <w:rPr>
          <w:b/>
          <w:lang w:val="fr-FR"/>
        </w:rPr>
        <w:t>Examen de projets d</w:t>
      </w:r>
      <w:r w:rsidR="00FF57A6">
        <w:rPr>
          <w:b/>
          <w:lang w:val="fr-FR"/>
        </w:rPr>
        <w:t>’</w:t>
      </w:r>
      <w:r w:rsidRPr="0028391A">
        <w:rPr>
          <w:b/>
          <w:lang w:val="fr-FR"/>
        </w:rPr>
        <w:t>amendements</w:t>
      </w:r>
      <w:r w:rsidR="00641903">
        <w:rPr>
          <w:b/>
          <w:lang w:val="fr-FR"/>
        </w:rPr>
        <w:t xml:space="preserve"> </w:t>
      </w:r>
      <w:r w:rsidRPr="0028391A">
        <w:rPr>
          <w:b/>
          <w:lang w:val="fr-FR"/>
        </w:rPr>
        <w:t xml:space="preserve">à des Règlements </w:t>
      </w:r>
      <w:r w:rsidR="00C675E1">
        <w:rPr>
          <w:b/>
          <w:lang w:val="fr-FR"/>
        </w:rPr>
        <w:br/>
      </w:r>
      <w:r w:rsidRPr="0028391A">
        <w:rPr>
          <w:b/>
          <w:lang w:val="fr-FR"/>
        </w:rPr>
        <w:t>existants, proposés par le GRSP</w:t>
      </w:r>
    </w:p>
    <w:p w:rsidR="00773CFE" w:rsidRPr="00A90EA8" w:rsidRDefault="00773CFE" w:rsidP="00773CF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5 à la série 04 d</w:t>
      </w:r>
      <w:r w:rsidR="00FF57A6">
        <w:rPr>
          <w:lang w:val="fr-FR"/>
        </w:rPr>
        <w:t>’</w:t>
      </w:r>
      <w:r>
        <w:rPr>
          <w:lang w:val="fr-FR"/>
        </w:rPr>
        <w:t>amendements au </w:t>
      </w:r>
      <w:r w:rsidRPr="00773CFE">
        <w:t>Règlement</w:t>
      </w:r>
      <w:r>
        <w:rPr>
          <w:lang w:val="fr-FR"/>
        </w:rPr>
        <w:t xml:space="preserve"> </w:t>
      </w:r>
      <w:r w:rsidR="002D4D8E" w:rsidRPr="002D4D8E">
        <w:rPr>
          <w:rFonts w:eastAsia="MS Mincho"/>
          <w:szCs w:val="22"/>
          <w:lang w:val="fr-FR"/>
        </w:rPr>
        <w:t>n</w:t>
      </w:r>
      <w:r w:rsidR="002D4D8E" w:rsidRPr="002D4D8E">
        <w:rPr>
          <w:rFonts w:eastAsia="MS Mincho"/>
          <w:szCs w:val="22"/>
          <w:vertAlign w:val="superscript"/>
          <w:lang w:val="fr-FR"/>
        </w:rPr>
        <w:t>o</w:t>
      </w:r>
      <w:r w:rsidR="002D4D8E">
        <w:rPr>
          <w:lang w:val="fr-FR"/>
        </w:rPr>
        <w:t> 12 (Mécanisme de direction)</w:t>
      </w:r>
    </w:p>
    <w:p w:rsidR="00F9573C" w:rsidRDefault="00773CFE" w:rsidP="00773CFE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8391A">
        <w:rPr>
          <w:lang w:val="fr-FR"/>
        </w:rPr>
        <w:t>Communication du Groupe de travail de la sécurité passive</w:t>
      </w:r>
      <w:r w:rsidRPr="002D4D8E">
        <w:rPr>
          <w:b w:val="0"/>
          <w:sz w:val="20"/>
          <w:lang w:val="fr-FR"/>
        </w:rPr>
        <w:footnoteReference w:customMarkFollows="1" w:id="2"/>
        <w:t>*</w:t>
      </w:r>
    </w:p>
    <w:p w:rsidR="006D55CB" w:rsidRDefault="002D4D8E" w:rsidP="002D4D8E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la sécurité passive (GRSP) à sa soixante et unième session (ECE/TRANS/WP.29/GRSP/61, par. 12). Il est fondé sur le document ECE/TRANS/WP.29/GRSP/2017/6, non modifié. Il est soumis au Forum mondial de l</w:t>
      </w:r>
      <w:r w:rsidR="00FF57A6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FF57A6">
        <w:rPr>
          <w:lang w:val="fr-FR"/>
        </w:rPr>
        <w:t>’</w:t>
      </w:r>
      <w:r>
        <w:rPr>
          <w:lang w:val="fr-FR"/>
        </w:rPr>
        <w:t>administration (AC.1) pour examen à leurs sessions de novembre 2017.</w:t>
      </w:r>
    </w:p>
    <w:p w:rsidR="006D55CB" w:rsidRPr="006D55CB" w:rsidRDefault="006D55CB" w:rsidP="006D55CB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6D55CB">
        <w:rPr>
          <w:lang w:val="fr-FR"/>
        </w:rPr>
        <w:t>Complément 5 à la série 04 d</w:t>
      </w:r>
      <w:r w:rsidR="00FF57A6">
        <w:rPr>
          <w:lang w:val="fr-FR"/>
        </w:rPr>
        <w:t>’</w:t>
      </w:r>
      <w:r w:rsidRPr="006D55CB">
        <w:rPr>
          <w:lang w:val="fr-FR"/>
        </w:rPr>
        <w:t xml:space="preserve">amendements </w:t>
      </w:r>
      <w:r w:rsidRPr="006D55CB">
        <w:rPr>
          <w:lang w:val="fr-FR"/>
        </w:rPr>
        <w:br/>
        <w:t>au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12 (Mécanisme de direction)</w:t>
      </w:r>
    </w:p>
    <w:p w:rsidR="006D55CB" w:rsidRPr="006D55CB" w:rsidRDefault="006D55CB" w:rsidP="009D557A">
      <w:pPr>
        <w:pStyle w:val="SingleTxtG"/>
      </w:pPr>
      <w:r w:rsidRPr="009D557A">
        <w:rPr>
          <w:i/>
          <w:lang w:val="fr-FR"/>
        </w:rPr>
        <w:t>Paragraphes 3.1.2.6 et 3.1.2.7</w:t>
      </w:r>
      <w:r w:rsidRPr="006D55CB">
        <w:rPr>
          <w:lang w:val="fr-FR"/>
        </w:rPr>
        <w:t>, modifier comme suit</w:t>
      </w:r>
      <w:r w:rsidR="00532755">
        <w:rPr>
          <w:lang w:val="fr-FR"/>
        </w:rPr>
        <w:t> </w:t>
      </w:r>
      <w:r w:rsidRPr="006D55CB">
        <w:rPr>
          <w:lang w:val="fr-FR"/>
        </w:rPr>
        <w:t>:</w:t>
      </w:r>
    </w:p>
    <w:p w:rsidR="006D55CB" w:rsidRPr="006D55CB" w:rsidRDefault="006D55CB" w:rsidP="009D557A">
      <w:pPr>
        <w:pStyle w:val="SingleTxtG"/>
        <w:ind w:left="2268" w:hanging="1134"/>
      </w:pPr>
      <w:r w:rsidRPr="006D55CB">
        <w:rPr>
          <w:lang w:val="fr-FR"/>
        </w:rPr>
        <w:t>«</w:t>
      </w:r>
      <w:r w:rsidR="00F40BA6">
        <w:rPr>
          <w:lang w:val="fr-FR"/>
        </w:rPr>
        <w:t> </w:t>
      </w:r>
      <w:r w:rsidRPr="006D55CB">
        <w:rPr>
          <w:lang w:val="fr-FR"/>
        </w:rPr>
        <w:t>3.1.2.6</w:t>
      </w:r>
      <w:r w:rsidRPr="006D55CB">
        <w:rPr>
          <w:lang w:val="fr-FR"/>
        </w:rPr>
        <w:tab/>
        <w:t>Éléments prouvant que le mécanisme de direction répond aux prescriptions du paragraphe</w:t>
      </w:r>
      <w:r w:rsidR="009D557A">
        <w:rPr>
          <w:lang w:val="fr-FR"/>
        </w:rPr>
        <w:t> </w:t>
      </w:r>
      <w:r w:rsidRPr="006D55CB">
        <w:rPr>
          <w:lang w:val="fr-FR"/>
        </w:rPr>
        <w:t>5.2.2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94 ou à celles du paragraphe</w:t>
      </w:r>
      <w:r w:rsidR="009D557A">
        <w:rPr>
          <w:lang w:val="fr-FR"/>
        </w:rPr>
        <w:t> </w:t>
      </w:r>
      <w:r w:rsidRPr="006D55CB">
        <w:rPr>
          <w:lang w:val="fr-FR"/>
        </w:rPr>
        <w:t>5.2.2.1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137, si l</w:t>
      </w:r>
      <w:r w:rsidR="00FF57A6">
        <w:rPr>
          <w:lang w:val="fr-FR"/>
        </w:rPr>
        <w:t>’</w:t>
      </w:r>
      <w:r w:rsidRPr="006D55CB">
        <w:rPr>
          <w:lang w:val="fr-FR"/>
        </w:rPr>
        <w:t>homologation est demandée en application du paragraphe</w:t>
      </w:r>
      <w:r w:rsidR="009D557A">
        <w:rPr>
          <w:lang w:val="fr-FR"/>
        </w:rPr>
        <w:t> </w:t>
      </w:r>
      <w:r w:rsidRPr="006D55CB">
        <w:rPr>
          <w:lang w:val="fr-FR"/>
        </w:rPr>
        <w:t>5.1.2 ci-après</w:t>
      </w:r>
      <w:r w:rsidR="00200A58">
        <w:rPr>
          <w:lang w:val="fr-FR"/>
        </w:rPr>
        <w:t> ;</w:t>
      </w:r>
    </w:p>
    <w:p w:rsidR="006D55CB" w:rsidRPr="006D55CB" w:rsidRDefault="006D55CB" w:rsidP="009D557A">
      <w:pPr>
        <w:pStyle w:val="SingleTxtG"/>
        <w:ind w:left="2268" w:hanging="1134"/>
      </w:pPr>
      <w:r w:rsidRPr="006D55CB">
        <w:rPr>
          <w:lang w:val="fr-FR"/>
        </w:rPr>
        <w:t>3.1.2.7</w:t>
      </w:r>
      <w:r w:rsidRPr="006D55CB">
        <w:rPr>
          <w:lang w:val="fr-FR"/>
        </w:rPr>
        <w:tab/>
        <w:t>Éléments prouvant que la commande de direction répond aux prescriptions des paragraphes</w:t>
      </w:r>
      <w:r w:rsidR="00F40BA6">
        <w:rPr>
          <w:lang w:val="fr-FR"/>
        </w:rPr>
        <w:t> </w:t>
      </w:r>
      <w:r w:rsidRPr="006D55CB">
        <w:rPr>
          <w:lang w:val="fr-FR"/>
        </w:rPr>
        <w:t>5.2.1.4 et 5.2.1.5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94 ou à celles des paragraphes</w:t>
      </w:r>
      <w:r w:rsidR="00F40BA6">
        <w:rPr>
          <w:lang w:val="fr-FR"/>
        </w:rPr>
        <w:t> </w:t>
      </w:r>
      <w:r w:rsidRPr="006D55CB">
        <w:rPr>
          <w:lang w:val="fr-FR"/>
        </w:rPr>
        <w:t>5.2.1.1.3 et 5.2.1.1.4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137, si l</w:t>
      </w:r>
      <w:r w:rsidR="00FF57A6">
        <w:rPr>
          <w:lang w:val="fr-FR"/>
        </w:rPr>
        <w:t>’</w:t>
      </w:r>
      <w:r w:rsidRPr="006D55CB">
        <w:rPr>
          <w:lang w:val="fr-FR"/>
        </w:rPr>
        <w:t>homologation est demandée en application du paragraphe</w:t>
      </w:r>
      <w:r w:rsidR="0051739C">
        <w:rPr>
          <w:lang w:val="fr-FR"/>
        </w:rPr>
        <w:t> </w:t>
      </w:r>
      <w:r w:rsidRPr="006D55CB">
        <w:rPr>
          <w:lang w:val="fr-FR"/>
        </w:rPr>
        <w:t>5.2.1 ci-après</w:t>
      </w:r>
      <w:r w:rsidR="00200A58">
        <w:rPr>
          <w:lang w:val="fr-FR"/>
        </w:rPr>
        <w:t> ;</w:t>
      </w:r>
      <w:r w:rsidR="00F40BA6">
        <w:rPr>
          <w:lang w:val="fr-FR"/>
        </w:rPr>
        <w:t> </w:t>
      </w:r>
      <w:r w:rsidRPr="006D55CB">
        <w:rPr>
          <w:lang w:val="fr-FR"/>
        </w:rPr>
        <w:t>».</w:t>
      </w:r>
    </w:p>
    <w:p w:rsidR="006D55CB" w:rsidRPr="006D55CB" w:rsidRDefault="006D55CB" w:rsidP="009D557A">
      <w:pPr>
        <w:pStyle w:val="SingleTxtG"/>
      </w:pPr>
      <w:r w:rsidRPr="006D55CB">
        <w:rPr>
          <w:i/>
          <w:iCs/>
          <w:lang w:val="fr-FR"/>
        </w:rPr>
        <w:t>Paragraphe 3.2.2.3</w:t>
      </w:r>
      <w:r w:rsidRPr="006D55CB">
        <w:rPr>
          <w:lang w:val="fr-FR"/>
        </w:rPr>
        <w:t>, modifier comme suit</w:t>
      </w:r>
      <w:r w:rsidR="00C675E1">
        <w:rPr>
          <w:lang w:val="fr-FR"/>
        </w:rPr>
        <w:t> </w:t>
      </w:r>
      <w:r w:rsidRPr="006D55CB">
        <w:rPr>
          <w:lang w:val="fr-FR"/>
        </w:rPr>
        <w:t>:</w:t>
      </w:r>
    </w:p>
    <w:p w:rsidR="006D55CB" w:rsidRPr="006D55CB" w:rsidRDefault="006D55CB" w:rsidP="009D557A">
      <w:pPr>
        <w:pStyle w:val="SingleTxtG"/>
        <w:ind w:left="2268" w:hanging="1134"/>
      </w:pPr>
      <w:r w:rsidRPr="006D55CB">
        <w:rPr>
          <w:lang w:val="fr-FR"/>
        </w:rPr>
        <w:t>«</w:t>
      </w:r>
      <w:r w:rsidR="00F40BA6">
        <w:rPr>
          <w:lang w:val="fr-FR"/>
        </w:rPr>
        <w:t> </w:t>
      </w:r>
      <w:r w:rsidRPr="006D55CB">
        <w:rPr>
          <w:lang w:val="fr-FR"/>
        </w:rPr>
        <w:t>3.2.2.3</w:t>
      </w:r>
      <w:r w:rsidRPr="006D55CB">
        <w:rPr>
          <w:lang w:val="fr-FR"/>
        </w:rPr>
        <w:tab/>
        <w:t>Éléments prouvant que la commande de direction répond aux prescriptions des paragraphes</w:t>
      </w:r>
      <w:r w:rsidR="0051739C">
        <w:rPr>
          <w:lang w:val="fr-FR"/>
        </w:rPr>
        <w:t> </w:t>
      </w:r>
      <w:r w:rsidRPr="006D55CB">
        <w:rPr>
          <w:lang w:val="fr-FR"/>
        </w:rPr>
        <w:t>5.2.1.4 et 5.2.1.5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94 ou à celles des paragraphes</w:t>
      </w:r>
      <w:r w:rsidR="0051739C">
        <w:rPr>
          <w:lang w:val="fr-FR"/>
        </w:rPr>
        <w:t> </w:t>
      </w:r>
      <w:r w:rsidRPr="006D55CB">
        <w:rPr>
          <w:lang w:val="fr-FR"/>
        </w:rPr>
        <w:t>5.2.1.1.3 et 5.2.1.1.4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137, si l</w:t>
      </w:r>
      <w:r w:rsidR="00FF57A6">
        <w:rPr>
          <w:lang w:val="fr-FR"/>
        </w:rPr>
        <w:t>’</w:t>
      </w:r>
      <w:r w:rsidRPr="006D55CB">
        <w:rPr>
          <w:lang w:val="fr-FR"/>
        </w:rPr>
        <w:t>homologation est demandée en application du paragraphe</w:t>
      </w:r>
      <w:r w:rsidR="0051739C">
        <w:rPr>
          <w:lang w:val="fr-FR"/>
        </w:rPr>
        <w:t> </w:t>
      </w:r>
      <w:r w:rsidRPr="006D55CB">
        <w:rPr>
          <w:lang w:val="fr-FR"/>
        </w:rPr>
        <w:t>5.2.1 ci-après</w:t>
      </w:r>
      <w:r w:rsidR="00200A58">
        <w:rPr>
          <w:lang w:val="fr-FR"/>
        </w:rPr>
        <w:t> ;</w:t>
      </w:r>
      <w:r w:rsidR="00C675E1">
        <w:rPr>
          <w:lang w:val="fr-FR"/>
        </w:rPr>
        <w:t> </w:t>
      </w:r>
      <w:r w:rsidRPr="006D55CB">
        <w:rPr>
          <w:lang w:val="fr-FR"/>
        </w:rPr>
        <w:t>».</w:t>
      </w:r>
    </w:p>
    <w:p w:rsidR="006D55CB" w:rsidRPr="006D55CB" w:rsidRDefault="006D55CB" w:rsidP="009D557A">
      <w:pPr>
        <w:pStyle w:val="SingleTxtG"/>
      </w:pPr>
      <w:r w:rsidRPr="006D55CB">
        <w:rPr>
          <w:i/>
          <w:lang w:val="fr-FR"/>
        </w:rPr>
        <w:t>Paragraphe 4.3.4.3</w:t>
      </w:r>
      <w:r w:rsidRPr="006D55CB">
        <w:rPr>
          <w:lang w:val="fr-FR"/>
        </w:rPr>
        <w:t>, modifier comme suit</w:t>
      </w:r>
      <w:r w:rsidR="0051739C">
        <w:rPr>
          <w:lang w:val="fr-FR"/>
        </w:rPr>
        <w:t> </w:t>
      </w:r>
      <w:r w:rsidRPr="006D55CB">
        <w:rPr>
          <w:lang w:val="fr-FR"/>
        </w:rPr>
        <w:t>:</w:t>
      </w:r>
    </w:p>
    <w:p w:rsidR="006D55CB" w:rsidRPr="006D55CB" w:rsidRDefault="006D55CB" w:rsidP="009D557A">
      <w:pPr>
        <w:pStyle w:val="SingleTxtG"/>
        <w:ind w:left="2268" w:hanging="1134"/>
      </w:pPr>
      <w:r w:rsidRPr="006D55CB">
        <w:rPr>
          <w:lang w:val="fr-FR"/>
        </w:rPr>
        <w:t>«</w:t>
      </w:r>
      <w:r w:rsidR="0051739C">
        <w:rPr>
          <w:lang w:val="fr-FR"/>
        </w:rPr>
        <w:t> </w:t>
      </w:r>
      <w:r w:rsidRPr="006D55CB">
        <w:rPr>
          <w:lang w:val="fr-FR"/>
        </w:rPr>
        <w:t>4.3.4.3</w:t>
      </w:r>
      <w:r w:rsidRPr="006D55CB">
        <w:rPr>
          <w:lang w:val="fr-FR"/>
        </w:rPr>
        <w:tab/>
        <w:t>Du symbole R94-02 ou R137 dans le cas d</w:t>
      </w:r>
      <w:r w:rsidR="00FF57A6">
        <w:rPr>
          <w:lang w:val="fr-FR"/>
        </w:rPr>
        <w:t>’</w:t>
      </w:r>
      <w:r w:rsidRPr="006D55CB">
        <w:rPr>
          <w:lang w:val="fr-FR"/>
        </w:rPr>
        <w:t>une homologation conforme au paragraphe</w:t>
      </w:r>
      <w:r w:rsidR="0051739C">
        <w:rPr>
          <w:lang w:val="fr-FR"/>
        </w:rPr>
        <w:t> </w:t>
      </w:r>
      <w:r w:rsidRPr="006D55CB">
        <w:rPr>
          <w:lang w:val="fr-FR"/>
        </w:rPr>
        <w:t>5.2.1 ci-après</w:t>
      </w:r>
      <w:r w:rsidR="00200A58">
        <w:rPr>
          <w:lang w:val="fr-FR"/>
        </w:rPr>
        <w:t> ;</w:t>
      </w:r>
      <w:r w:rsidR="00C675E1">
        <w:rPr>
          <w:lang w:val="fr-FR"/>
        </w:rPr>
        <w:t> </w:t>
      </w:r>
      <w:r w:rsidRPr="006D55CB">
        <w:rPr>
          <w:lang w:val="fr-FR"/>
        </w:rPr>
        <w:t>».</w:t>
      </w:r>
    </w:p>
    <w:p w:rsidR="006D55CB" w:rsidRPr="006D55CB" w:rsidRDefault="006D55CB" w:rsidP="009D557A">
      <w:pPr>
        <w:pStyle w:val="SingleTxtG"/>
      </w:pPr>
      <w:r w:rsidRPr="006D55CB">
        <w:rPr>
          <w:i/>
          <w:iCs/>
          <w:lang w:val="fr-FR"/>
        </w:rPr>
        <w:t>Paragraphe</w:t>
      </w:r>
      <w:r w:rsidR="0051739C">
        <w:rPr>
          <w:i/>
          <w:iCs/>
          <w:lang w:val="fr-FR"/>
        </w:rPr>
        <w:t> </w:t>
      </w:r>
      <w:r w:rsidRPr="006D55CB">
        <w:rPr>
          <w:i/>
          <w:iCs/>
          <w:lang w:val="fr-FR"/>
        </w:rPr>
        <w:t>5.1.2,</w:t>
      </w:r>
      <w:r w:rsidRPr="006D55CB">
        <w:rPr>
          <w:lang w:val="fr-FR"/>
        </w:rPr>
        <w:t xml:space="preserve"> modifier comme suit</w:t>
      </w:r>
      <w:r w:rsidR="00CB5B43">
        <w:rPr>
          <w:lang w:val="fr-FR"/>
        </w:rPr>
        <w:t> </w:t>
      </w:r>
      <w:r w:rsidRPr="006D55CB">
        <w:rPr>
          <w:lang w:val="fr-FR"/>
        </w:rPr>
        <w:t>:</w:t>
      </w:r>
    </w:p>
    <w:p w:rsidR="006D55CB" w:rsidRPr="006D55CB" w:rsidRDefault="006D55CB" w:rsidP="009D557A">
      <w:pPr>
        <w:pStyle w:val="SingleTxtG"/>
        <w:ind w:left="2268" w:hanging="1134"/>
      </w:pPr>
      <w:r w:rsidRPr="006D55CB">
        <w:rPr>
          <w:lang w:val="fr-FR"/>
        </w:rPr>
        <w:t>«</w:t>
      </w:r>
      <w:r w:rsidR="0051739C">
        <w:rPr>
          <w:lang w:val="fr-FR"/>
        </w:rPr>
        <w:t> </w:t>
      </w:r>
      <w:r w:rsidRPr="006D55CB">
        <w:rPr>
          <w:lang w:val="fr-FR"/>
        </w:rPr>
        <w:t>5.1.2</w:t>
      </w:r>
      <w:r w:rsidRPr="006D55CB">
        <w:rPr>
          <w:lang w:val="fr-FR"/>
        </w:rPr>
        <w:tab/>
        <w:t>Les prescriptions du paragraphe</w:t>
      </w:r>
      <w:r w:rsidR="00CB5B43">
        <w:rPr>
          <w:lang w:val="fr-FR"/>
        </w:rPr>
        <w:t> </w:t>
      </w:r>
      <w:r w:rsidRPr="006D55CB">
        <w:rPr>
          <w:lang w:val="fr-FR"/>
        </w:rPr>
        <w:t>5.1 ci-dessus sont considérées comme respectées si le véhicule équipé de ce système de direction est conforme aux prescriptions du paragraphe</w:t>
      </w:r>
      <w:r w:rsidR="00CB5B43">
        <w:rPr>
          <w:lang w:val="fr-FR"/>
        </w:rPr>
        <w:t> </w:t>
      </w:r>
      <w:r w:rsidRPr="006D55CB">
        <w:rPr>
          <w:lang w:val="fr-FR"/>
        </w:rPr>
        <w:t xml:space="preserve">5.2.2 du </w:t>
      </w:r>
      <w:r w:rsidRPr="009D557A">
        <w:t>Règlement</w:t>
      </w:r>
      <w:r w:rsidRPr="006D55CB">
        <w:rPr>
          <w:lang w:val="fr-FR"/>
        </w:rPr>
        <w:t xml:space="preserve"> </w:t>
      </w:r>
      <w:r w:rsidR="00CB5B43" w:rsidRPr="00CB5B43">
        <w:rPr>
          <w:rFonts w:eastAsia="MS Mincho"/>
          <w:szCs w:val="22"/>
          <w:lang w:val="fr-FR"/>
        </w:rPr>
        <w:t>n</w:t>
      </w:r>
      <w:r w:rsidR="00CB5B43" w:rsidRPr="00CB5B43">
        <w:rPr>
          <w:rFonts w:eastAsia="MS Mincho"/>
          <w:szCs w:val="22"/>
          <w:vertAlign w:val="superscript"/>
          <w:lang w:val="fr-FR"/>
        </w:rPr>
        <w:t>o</w:t>
      </w:r>
      <w:r w:rsidR="00CB5B43">
        <w:rPr>
          <w:lang w:val="fr-FR"/>
        </w:rPr>
        <w:t> </w:t>
      </w:r>
      <w:r w:rsidRPr="006D55CB">
        <w:rPr>
          <w:lang w:val="fr-FR"/>
        </w:rPr>
        <w:t>94 ou à celles du paragraphe</w:t>
      </w:r>
      <w:r w:rsidR="00CB5B43">
        <w:rPr>
          <w:lang w:val="fr-FR"/>
        </w:rPr>
        <w:t> </w:t>
      </w:r>
      <w:r w:rsidRPr="006D55CB">
        <w:rPr>
          <w:lang w:val="fr-FR"/>
        </w:rPr>
        <w:t>5.2.2.1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137</w:t>
      </w:r>
      <w:r w:rsidR="00200A58">
        <w:rPr>
          <w:lang w:val="fr-FR"/>
        </w:rPr>
        <w:t> ;</w:t>
      </w:r>
      <w:r w:rsidR="00641903">
        <w:rPr>
          <w:lang w:val="fr-FR"/>
        </w:rPr>
        <w:t> </w:t>
      </w:r>
      <w:r w:rsidRPr="006D55CB">
        <w:rPr>
          <w:lang w:val="fr-FR"/>
        </w:rPr>
        <w:t>».</w:t>
      </w:r>
    </w:p>
    <w:p w:rsidR="006D55CB" w:rsidRPr="006D55CB" w:rsidRDefault="006D55CB" w:rsidP="009D557A">
      <w:pPr>
        <w:pStyle w:val="SingleTxtG"/>
      </w:pPr>
      <w:r w:rsidRPr="006D55CB">
        <w:rPr>
          <w:i/>
          <w:iCs/>
          <w:lang w:val="fr-FR"/>
        </w:rPr>
        <w:t>Paragraphe 5.2.1</w:t>
      </w:r>
      <w:r w:rsidRPr="006D55CB">
        <w:rPr>
          <w:lang w:val="fr-FR"/>
        </w:rPr>
        <w:t>, modifier comme suit</w:t>
      </w:r>
      <w:r w:rsidR="00CB5B43">
        <w:rPr>
          <w:lang w:val="fr-FR"/>
        </w:rPr>
        <w:t> </w:t>
      </w:r>
      <w:r w:rsidRPr="006D55CB">
        <w:rPr>
          <w:lang w:val="fr-FR"/>
        </w:rPr>
        <w:t>:</w:t>
      </w:r>
    </w:p>
    <w:p w:rsidR="006D55CB" w:rsidRPr="006D55CB" w:rsidRDefault="006D55CB" w:rsidP="009D557A">
      <w:pPr>
        <w:pStyle w:val="SingleTxtG"/>
        <w:ind w:left="2268" w:hanging="1134"/>
      </w:pPr>
      <w:r w:rsidRPr="006D55CB">
        <w:rPr>
          <w:lang w:val="fr-FR"/>
        </w:rPr>
        <w:t>«</w:t>
      </w:r>
      <w:r w:rsidR="00CB5B43">
        <w:rPr>
          <w:lang w:val="fr-FR"/>
        </w:rPr>
        <w:t> </w:t>
      </w:r>
      <w:r w:rsidRPr="006D55CB">
        <w:rPr>
          <w:lang w:val="fr-FR"/>
        </w:rPr>
        <w:t>5.2.1</w:t>
      </w:r>
      <w:r w:rsidRPr="006D55CB">
        <w:rPr>
          <w:lang w:val="fr-FR"/>
        </w:rPr>
        <w:tab/>
        <w:t>Si la commande de direction est munie d</w:t>
      </w:r>
      <w:r w:rsidR="00FF57A6">
        <w:rPr>
          <w:lang w:val="fr-FR"/>
        </w:rPr>
        <w:t>’</w:t>
      </w:r>
      <w:r w:rsidRPr="006D55CB">
        <w:rPr>
          <w:lang w:val="fr-FR"/>
        </w:rPr>
        <w:t>un coussin gonflable, les prescriptions du paragraphe</w:t>
      </w:r>
      <w:r w:rsidR="00641903">
        <w:rPr>
          <w:lang w:val="fr-FR"/>
        </w:rPr>
        <w:t> </w:t>
      </w:r>
      <w:r w:rsidRPr="006D55CB">
        <w:rPr>
          <w:lang w:val="fr-FR"/>
        </w:rPr>
        <w:t>5.2 ci-dessus sont considérées comme respectées si le véhicule équipé de ce système de direction est conforme aux prescriptions des paragraphes</w:t>
      </w:r>
      <w:r w:rsidR="00641903">
        <w:rPr>
          <w:lang w:val="fr-FR"/>
        </w:rPr>
        <w:t> </w:t>
      </w:r>
      <w:r w:rsidRPr="006D55CB">
        <w:rPr>
          <w:lang w:val="fr-FR"/>
        </w:rPr>
        <w:t>5.2.1.4 et 5.2.1.5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94 ou à celles des paragraphes</w:t>
      </w:r>
      <w:r w:rsidR="00641903">
        <w:rPr>
          <w:lang w:val="fr-FR"/>
        </w:rPr>
        <w:t> </w:t>
      </w:r>
      <w:r w:rsidRPr="006D55CB">
        <w:rPr>
          <w:lang w:val="fr-FR"/>
        </w:rPr>
        <w:t>5.2.1.1.3 et 5.2.1.1.4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137</w:t>
      </w:r>
      <w:r w:rsidR="00200A58">
        <w:rPr>
          <w:lang w:val="fr-FR"/>
        </w:rPr>
        <w:t> ;</w:t>
      </w:r>
      <w:r w:rsidR="009A5DA0">
        <w:rPr>
          <w:lang w:val="fr-FR"/>
        </w:rPr>
        <w:t> </w:t>
      </w:r>
      <w:r w:rsidRPr="006D55CB">
        <w:rPr>
          <w:lang w:val="fr-FR"/>
        </w:rPr>
        <w:t>».</w:t>
      </w:r>
    </w:p>
    <w:p w:rsidR="006D55CB" w:rsidRPr="006D55CB" w:rsidRDefault="006D55CB" w:rsidP="009D557A">
      <w:pPr>
        <w:pStyle w:val="SingleTxtG"/>
      </w:pPr>
      <w:r w:rsidRPr="006D55CB">
        <w:rPr>
          <w:i/>
          <w:iCs/>
          <w:lang w:val="fr-FR"/>
        </w:rPr>
        <w:t>Paragraphe 5.6</w:t>
      </w:r>
      <w:r w:rsidRPr="006D55CB">
        <w:rPr>
          <w:lang w:val="fr-FR"/>
        </w:rPr>
        <w:t>, modifier comme suit</w:t>
      </w:r>
      <w:r w:rsidR="00641903">
        <w:rPr>
          <w:lang w:val="fr-FR"/>
        </w:rPr>
        <w:t> </w:t>
      </w:r>
      <w:r w:rsidRPr="006D55CB">
        <w:rPr>
          <w:lang w:val="fr-FR"/>
        </w:rPr>
        <w:t>:</w:t>
      </w:r>
    </w:p>
    <w:p w:rsidR="002D4D8E" w:rsidRDefault="006D55CB" w:rsidP="009D557A">
      <w:pPr>
        <w:pStyle w:val="SingleTxtG"/>
        <w:ind w:left="2268" w:hanging="1134"/>
        <w:rPr>
          <w:lang w:val="fr-FR"/>
        </w:rPr>
      </w:pPr>
      <w:r w:rsidRPr="006D55CB">
        <w:rPr>
          <w:lang w:val="fr-FR"/>
        </w:rPr>
        <w:t>«</w:t>
      </w:r>
      <w:r w:rsidR="00641903">
        <w:rPr>
          <w:lang w:val="fr-FR"/>
        </w:rPr>
        <w:t> </w:t>
      </w:r>
      <w:r w:rsidRPr="006D55CB">
        <w:rPr>
          <w:lang w:val="fr-FR"/>
        </w:rPr>
        <w:t>5.6</w:t>
      </w:r>
      <w:r w:rsidRPr="006D55CB">
        <w:rPr>
          <w:lang w:val="fr-FR"/>
        </w:rPr>
        <w:tab/>
        <w:t>Les prescriptions des paragraphes</w:t>
      </w:r>
      <w:r w:rsidR="00641903">
        <w:rPr>
          <w:lang w:val="fr-FR"/>
        </w:rPr>
        <w:t> </w:t>
      </w:r>
      <w:r w:rsidRPr="006D55CB">
        <w:rPr>
          <w:lang w:val="fr-FR"/>
        </w:rPr>
        <w:t>5.5 à 5.5.3 ci-dessus sont considérées comme respectées si le véhicule équipé d</w:t>
      </w:r>
      <w:r w:rsidR="00FF57A6">
        <w:rPr>
          <w:lang w:val="fr-FR"/>
        </w:rPr>
        <w:t>’</w:t>
      </w:r>
      <w:r w:rsidRPr="006D55CB">
        <w:rPr>
          <w:lang w:val="fr-FR"/>
        </w:rPr>
        <w:t>une chaîne de traction électrique à haute tension satisfait au</w:t>
      </w:r>
      <w:r w:rsidR="00641903">
        <w:rPr>
          <w:lang w:val="fr-FR"/>
        </w:rPr>
        <w:t>x prescriptions des paragraphes </w:t>
      </w:r>
      <w:r w:rsidRPr="006D55CB">
        <w:rPr>
          <w:lang w:val="fr-FR"/>
        </w:rPr>
        <w:t xml:space="preserve">5.2.8 à 5.2.8.3 de la </w:t>
      </w:r>
      <w:r w:rsidRPr="00641903">
        <w:rPr>
          <w:spacing w:val="-2"/>
          <w:lang w:val="fr-FR"/>
        </w:rPr>
        <w:t>série 02 d</w:t>
      </w:r>
      <w:r w:rsidR="00FF57A6">
        <w:rPr>
          <w:spacing w:val="-2"/>
          <w:lang w:val="fr-FR"/>
        </w:rPr>
        <w:t>’</w:t>
      </w:r>
      <w:r w:rsidRPr="00641903">
        <w:rPr>
          <w:spacing w:val="-2"/>
          <w:lang w:val="fr-FR"/>
        </w:rPr>
        <w:t>amendements au Règlement n</w:t>
      </w:r>
      <w:r w:rsidRPr="00641903">
        <w:rPr>
          <w:spacing w:val="-2"/>
          <w:vertAlign w:val="superscript"/>
          <w:lang w:val="fr-FR"/>
        </w:rPr>
        <w:t>o</w:t>
      </w:r>
      <w:r w:rsidRPr="00641903">
        <w:rPr>
          <w:spacing w:val="-2"/>
          <w:lang w:val="fr-FR"/>
        </w:rPr>
        <w:t> 94 ou à celles des paragraphes 5.2.8</w:t>
      </w:r>
      <w:r w:rsidRPr="006D55CB">
        <w:rPr>
          <w:lang w:val="fr-FR"/>
        </w:rPr>
        <w:t xml:space="preserve"> à 5.2.8.3 du Règlement n</w:t>
      </w:r>
      <w:r w:rsidRPr="006D55CB">
        <w:rPr>
          <w:vertAlign w:val="superscript"/>
          <w:lang w:val="fr-FR"/>
        </w:rPr>
        <w:t>o</w:t>
      </w:r>
      <w:r w:rsidRPr="006D55CB">
        <w:rPr>
          <w:lang w:val="fr-FR"/>
        </w:rPr>
        <w:t> 137</w:t>
      </w:r>
      <w:r w:rsidR="00200A58">
        <w:rPr>
          <w:lang w:val="fr-FR"/>
        </w:rPr>
        <w:t> ;</w:t>
      </w:r>
      <w:r w:rsidR="009A5DA0">
        <w:rPr>
          <w:lang w:val="fr-FR"/>
        </w:rPr>
        <w:t> </w:t>
      </w:r>
      <w:r w:rsidRPr="006D55CB">
        <w:rPr>
          <w:lang w:val="fr-FR"/>
        </w:rPr>
        <w:t>».</w:t>
      </w:r>
    </w:p>
    <w:p w:rsidR="00641903" w:rsidRPr="00641903" w:rsidRDefault="00641903" w:rsidP="0064190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41903" w:rsidRPr="00641903" w:rsidSect="006E122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2A" w:rsidRDefault="007D182A" w:rsidP="00F95C08">
      <w:pPr>
        <w:spacing w:line="240" w:lineRule="auto"/>
      </w:pPr>
    </w:p>
  </w:endnote>
  <w:endnote w:type="continuationSeparator" w:id="0">
    <w:p w:rsidR="007D182A" w:rsidRPr="00AC3823" w:rsidRDefault="007D182A" w:rsidP="00AC3823">
      <w:pPr>
        <w:pStyle w:val="Footer"/>
      </w:pPr>
    </w:p>
  </w:endnote>
  <w:endnote w:type="continuationNotice" w:id="1">
    <w:p w:rsidR="007D182A" w:rsidRDefault="007D18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E122F" w:rsidRDefault="006E122F" w:rsidP="006E122F">
    <w:pPr>
      <w:pStyle w:val="Footer"/>
      <w:tabs>
        <w:tab w:val="right" w:pos="9638"/>
      </w:tabs>
    </w:pPr>
    <w:r w:rsidRPr="006E122F">
      <w:rPr>
        <w:b/>
        <w:sz w:val="18"/>
      </w:rPr>
      <w:fldChar w:fldCharType="begin"/>
    </w:r>
    <w:r w:rsidRPr="006E122F">
      <w:rPr>
        <w:b/>
        <w:sz w:val="18"/>
      </w:rPr>
      <w:instrText xml:space="preserve"> PAGE  \* MERGEFORMAT </w:instrText>
    </w:r>
    <w:r w:rsidRPr="006E122F">
      <w:rPr>
        <w:b/>
        <w:sz w:val="18"/>
      </w:rPr>
      <w:fldChar w:fldCharType="separate"/>
    </w:r>
    <w:r w:rsidR="00AD5F2D">
      <w:rPr>
        <w:b/>
        <w:noProof/>
        <w:sz w:val="18"/>
      </w:rPr>
      <w:t>2</w:t>
    </w:r>
    <w:r w:rsidRPr="006E122F">
      <w:rPr>
        <w:b/>
        <w:sz w:val="18"/>
      </w:rPr>
      <w:fldChar w:fldCharType="end"/>
    </w:r>
    <w:r>
      <w:rPr>
        <w:b/>
        <w:sz w:val="18"/>
      </w:rPr>
      <w:tab/>
    </w:r>
    <w:r>
      <w:t>GE.17-14365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E122F" w:rsidRDefault="006E122F" w:rsidP="006E122F">
    <w:pPr>
      <w:pStyle w:val="Footer"/>
      <w:tabs>
        <w:tab w:val="right" w:pos="9638"/>
      </w:tabs>
      <w:rPr>
        <w:b/>
        <w:sz w:val="18"/>
      </w:rPr>
    </w:pPr>
    <w:r>
      <w:t>GE.17-14365</w:t>
    </w:r>
    <w:r>
      <w:tab/>
    </w:r>
    <w:r w:rsidRPr="006E122F">
      <w:rPr>
        <w:b/>
        <w:sz w:val="18"/>
      </w:rPr>
      <w:fldChar w:fldCharType="begin"/>
    </w:r>
    <w:r w:rsidRPr="006E122F">
      <w:rPr>
        <w:b/>
        <w:sz w:val="18"/>
      </w:rPr>
      <w:instrText xml:space="preserve"> PAGE  \* MERGEFORMAT </w:instrText>
    </w:r>
    <w:r w:rsidRPr="006E122F">
      <w:rPr>
        <w:b/>
        <w:sz w:val="18"/>
      </w:rPr>
      <w:fldChar w:fldCharType="separate"/>
    </w:r>
    <w:r w:rsidR="00E3164D">
      <w:rPr>
        <w:b/>
        <w:noProof/>
        <w:sz w:val="18"/>
      </w:rPr>
      <w:t>2</w:t>
    </w:r>
    <w:r w:rsidRPr="006E12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E122F" w:rsidRDefault="006E122F" w:rsidP="006E122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17-14365  (F)    2</w:t>
    </w:r>
    <w:r w:rsidR="001E1F9E">
      <w:rPr>
        <w:sz w:val="20"/>
      </w:rPr>
      <w:t>209</w:t>
    </w:r>
    <w:r>
      <w:rPr>
        <w:sz w:val="20"/>
      </w:rPr>
      <w:t>17    260917</w:t>
    </w:r>
    <w:r>
      <w:rPr>
        <w:sz w:val="20"/>
      </w:rPr>
      <w:br/>
    </w:r>
    <w:r w:rsidRPr="006E122F">
      <w:rPr>
        <w:rFonts w:ascii="C39T30Lfz" w:hAnsi="C39T30Lfz"/>
        <w:sz w:val="56"/>
      </w:rPr>
      <w:t></w:t>
    </w:r>
    <w:r w:rsidRPr="006E122F">
      <w:rPr>
        <w:rFonts w:ascii="C39T30Lfz" w:hAnsi="C39T30Lfz"/>
        <w:sz w:val="56"/>
      </w:rPr>
      <w:t></w:t>
    </w:r>
    <w:r w:rsidRPr="006E122F">
      <w:rPr>
        <w:rFonts w:ascii="C39T30Lfz" w:hAnsi="C39T30Lfz"/>
        <w:sz w:val="56"/>
      </w:rPr>
      <w:t></w:t>
    </w:r>
    <w:r w:rsidRPr="006E122F">
      <w:rPr>
        <w:rFonts w:ascii="C39T30Lfz" w:hAnsi="C39T30Lfz"/>
        <w:sz w:val="56"/>
      </w:rPr>
      <w:t></w:t>
    </w:r>
    <w:r w:rsidRPr="006E122F">
      <w:rPr>
        <w:rFonts w:ascii="C39T30Lfz" w:hAnsi="C39T30Lfz"/>
        <w:sz w:val="56"/>
      </w:rPr>
      <w:t></w:t>
    </w:r>
    <w:r w:rsidRPr="006E122F">
      <w:rPr>
        <w:rFonts w:ascii="C39T30Lfz" w:hAnsi="C39T30Lfz"/>
        <w:sz w:val="56"/>
      </w:rPr>
      <w:t></w:t>
    </w:r>
    <w:r w:rsidRPr="006E122F">
      <w:rPr>
        <w:rFonts w:ascii="C39T30Lfz" w:hAnsi="C39T30Lfz"/>
        <w:sz w:val="56"/>
      </w:rPr>
      <w:t></w:t>
    </w:r>
    <w:r w:rsidRPr="006E122F">
      <w:rPr>
        <w:rFonts w:ascii="C39T30Lfz" w:hAnsi="C39T30Lfz"/>
        <w:sz w:val="56"/>
      </w:rPr>
      <w:t></w:t>
    </w:r>
    <w:r w:rsidRPr="006E122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2A" w:rsidRPr="00AC3823" w:rsidRDefault="007D182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182A" w:rsidRPr="00AC3823" w:rsidRDefault="007D182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D182A" w:rsidRPr="00AC3823" w:rsidRDefault="007D182A">
      <w:pPr>
        <w:spacing w:line="240" w:lineRule="auto"/>
        <w:rPr>
          <w:sz w:val="2"/>
          <w:szCs w:val="2"/>
        </w:rPr>
      </w:pPr>
    </w:p>
  </w:footnote>
  <w:footnote w:id="2">
    <w:p w:rsidR="00773CFE" w:rsidRPr="00706101" w:rsidRDefault="00773CFE" w:rsidP="00773CFE">
      <w:pPr>
        <w:pStyle w:val="FootnoteText"/>
      </w:pPr>
      <w:r>
        <w:rPr>
          <w:lang w:val="fr-FR"/>
        </w:rPr>
        <w:tab/>
      </w:r>
      <w:r w:rsidRPr="00A74BCA">
        <w:rPr>
          <w:sz w:val="20"/>
          <w:lang w:val="fr-FR"/>
        </w:rPr>
        <w:t>*</w:t>
      </w:r>
      <w:r>
        <w:rPr>
          <w:lang w:val="fr-FR"/>
        </w:rPr>
        <w:tab/>
      </w:r>
      <w:r w:rsidRPr="006D55CB">
        <w:rPr>
          <w:spacing w:val="-2"/>
          <w:lang w:val="fr-FR"/>
        </w:rPr>
        <w:t>Conformément au programme de travail du Comité des transports intérieurs pour la période 2016-2017</w:t>
      </w:r>
      <w:r>
        <w:rPr>
          <w:lang w:val="fr-FR"/>
        </w:rPr>
        <w:t xml:space="preserve"> (ECE/TRANS/254, par. 159, et ECE/TRANS/2016/28/Add.1, module 3.1), le Forum mondial a pour mission d’élaborer, d’harmoniser et de mettre à jour les Règlements en vue d’améliorer les caractéristiques fonctionnelles des véhicules. Le présent document est soumis en vertu </w:t>
      </w:r>
      <w:r w:rsidR="006D55CB">
        <w:rPr>
          <w:lang w:val="fr-FR"/>
        </w:rPr>
        <w:br/>
      </w:r>
      <w:r>
        <w:rPr>
          <w:lang w:val="fr-FR"/>
        </w:rPr>
        <w:t>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E122F" w:rsidRDefault="00AD5F2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22F" w:rsidRPr="006E122F" w:rsidRDefault="00AD5F2D" w:rsidP="006E122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2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1F9E"/>
    <w:rsid w:val="001F525A"/>
    <w:rsid w:val="00200A58"/>
    <w:rsid w:val="00223272"/>
    <w:rsid w:val="002344F1"/>
    <w:rsid w:val="0024779E"/>
    <w:rsid w:val="0025377A"/>
    <w:rsid w:val="00256CBB"/>
    <w:rsid w:val="00257168"/>
    <w:rsid w:val="002744B8"/>
    <w:rsid w:val="002832AC"/>
    <w:rsid w:val="002D4D8E"/>
    <w:rsid w:val="002D7C93"/>
    <w:rsid w:val="00301028"/>
    <w:rsid w:val="00305801"/>
    <w:rsid w:val="003916DE"/>
    <w:rsid w:val="00441C3B"/>
    <w:rsid w:val="00446FE5"/>
    <w:rsid w:val="00452396"/>
    <w:rsid w:val="004837D8"/>
    <w:rsid w:val="004E468C"/>
    <w:rsid w:val="0051739C"/>
    <w:rsid w:val="00532755"/>
    <w:rsid w:val="005505B7"/>
    <w:rsid w:val="00573BE5"/>
    <w:rsid w:val="00586ED3"/>
    <w:rsid w:val="0059158A"/>
    <w:rsid w:val="00596AA9"/>
    <w:rsid w:val="00641903"/>
    <w:rsid w:val="00675F05"/>
    <w:rsid w:val="006D55CB"/>
    <w:rsid w:val="006E122F"/>
    <w:rsid w:val="006F5F1D"/>
    <w:rsid w:val="0071601D"/>
    <w:rsid w:val="00773CFE"/>
    <w:rsid w:val="007A62E6"/>
    <w:rsid w:val="007D182A"/>
    <w:rsid w:val="007F20FA"/>
    <w:rsid w:val="0080684C"/>
    <w:rsid w:val="00871C75"/>
    <w:rsid w:val="008776DC"/>
    <w:rsid w:val="009446C0"/>
    <w:rsid w:val="009705C8"/>
    <w:rsid w:val="00995BF7"/>
    <w:rsid w:val="009A5DA0"/>
    <w:rsid w:val="009C1CF4"/>
    <w:rsid w:val="009D557A"/>
    <w:rsid w:val="009F6B74"/>
    <w:rsid w:val="00A30353"/>
    <w:rsid w:val="00A74BCA"/>
    <w:rsid w:val="00AC3823"/>
    <w:rsid w:val="00AD5F2D"/>
    <w:rsid w:val="00AE323C"/>
    <w:rsid w:val="00AF0CB5"/>
    <w:rsid w:val="00B00181"/>
    <w:rsid w:val="00B00B0D"/>
    <w:rsid w:val="00B765F7"/>
    <w:rsid w:val="00BA0CA9"/>
    <w:rsid w:val="00C02897"/>
    <w:rsid w:val="00C675E1"/>
    <w:rsid w:val="00C86574"/>
    <w:rsid w:val="00C97039"/>
    <w:rsid w:val="00CB5B43"/>
    <w:rsid w:val="00D3439C"/>
    <w:rsid w:val="00D748E7"/>
    <w:rsid w:val="00DB1831"/>
    <w:rsid w:val="00DD3BFD"/>
    <w:rsid w:val="00DF6678"/>
    <w:rsid w:val="00E0299A"/>
    <w:rsid w:val="00E3164D"/>
    <w:rsid w:val="00E85C74"/>
    <w:rsid w:val="00EA6547"/>
    <w:rsid w:val="00EC4672"/>
    <w:rsid w:val="00EF2E22"/>
    <w:rsid w:val="00F35BAF"/>
    <w:rsid w:val="00F40BA6"/>
    <w:rsid w:val="00F660DF"/>
    <w:rsid w:val="00F84E3D"/>
    <w:rsid w:val="00F94664"/>
    <w:rsid w:val="00F9573C"/>
    <w:rsid w:val="00F95C08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F35632-F922-46AA-9537-BB4B500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73CF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ECE/TRANS/WP.29/2017/118</vt:lpstr>
      <vt:lpstr>ECE/TRANS/WP.29/2017/118</vt:lpstr>
    </vt:vector>
  </TitlesOfParts>
  <Company>DCM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ECE/TRANS/WP.29/2017/118</dc:title>
  <dc:subject/>
  <dc:creator>Corinne ROBERT</dc:creator>
  <cp:keywords/>
  <cp:lastModifiedBy>Marie-Claude Collet</cp:lastModifiedBy>
  <cp:revision>3</cp:revision>
  <cp:lastPrinted>2017-09-26T12:50:00Z</cp:lastPrinted>
  <dcterms:created xsi:type="dcterms:W3CDTF">2017-09-26T12:50:00Z</dcterms:created>
  <dcterms:modified xsi:type="dcterms:W3CDTF">2017-09-26T12:50:00Z</dcterms:modified>
</cp:coreProperties>
</file>