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8A579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2351C6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8A5797">
              <w:rPr>
                <w:lang w:val="en-GB"/>
              </w:rPr>
              <w:t>112</w:t>
            </w:r>
          </w:p>
        </w:tc>
      </w:tr>
      <w:tr w:rsidR="00AF2205" w:rsidRPr="00C83F6D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8A5797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C59EF">
              <w:rPr>
                <w:lang w:val="en-GB"/>
              </w:rPr>
              <w:t>8</w:t>
            </w:r>
            <w:r w:rsidR="006817DA" w:rsidRPr="006817DA">
              <w:rPr>
                <w:lang w:val="en-GB"/>
              </w:rPr>
              <w:t xml:space="preserve"> </w:t>
            </w:r>
            <w:r>
              <w:rPr>
                <w:lang w:val="en-GB"/>
              </w:rPr>
              <w:t>August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7</w:t>
            </w:r>
            <w:bookmarkStart w:id="0" w:name="_GoBack"/>
            <w:bookmarkEnd w:id="0"/>
          </w:p>
          <w:p w:rsidR="00AF2205" w:rsidRPr="00AF2205" w:rsidRDefault="008A5797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  <w:r w:rsidR="00F353C4">
              <w:rPr>
                <w:lang w:val="en-GB"/>
              </w:rPr>
              <w:t xml:space="preserve"> and French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8A5797">
        <w:rPr>
          <w:b/>
          <w:lang w:val="en-US"/>
        </w:rPr>
        <w:t>3rd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D5046F">
        <w:rPr>
          <w:lang w:val="en-US"/>
        </w:rPr>
        <w:t>4</w:t>
      </w:r>
      <w:r w:rsidR="00D17398">
        <w:rPr>
          <w:lang w:val="en-US"/>
        </w:rPr>
        <w:t>-1</w:t>
      </w:r>
      <w:r w:rsidR="00D5046F">
        <w:rPr>
          <w:lang w:val="en-US"/>
        </w:rPr>
        <w:t>7</w:t>
      </w:r>
      <w:r w:rsidR="004E7423">
        <w:rPr>
          <w:lang w:val="en-US"/>
        </w:rPr>
        <w:t xml:space="preserve"> </w:t>
      </w:r>
      <w:r w:rsidR="00977FCC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5046F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A5797">
        <w:rPr>
          <w:lang w:val="en-GB"/>
        </w:rPr>
        <w:t>7</w:t>
      </w:r>
      <w:r w:rsidR="00A90EA8">
        <w:rPr>
          <w:lang w:val="en-GB"/>
        </w:rPr>
        <w:t>.</w:t>
      </w:r>
      <w:r w:rsidR="008A5797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AF2205" w:rsidRPr="00AF2205">
        <w:rPr>
          <w:b/>
          <w:lang w:val="en-GB"/>
        </w:rPr>
        <w:t xml:space="preserve"> 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D83FA9">
        <w:rPr>
          <w:lang w:val="en-GB"/>
        </w:rPr>
        <w:t>Corrigendum</w:t>
      </w:r>
      <w:r w:rsidR="00BC59A3">
        <w:rPr>
          <w:lang w:val="en-GB"/>
        </w:rPr>
        <w:t xml:space="preserve"> </w:t>
      </w:r>
      <w:r w:rsidR="00D83FA9">
        <w:rPr>
          <w:lang w:val="en-GB"/>
        </w:rPr>
        <w:t>6</w:t>
      </w:r>
      <w:r w:rsidR="00BC59A3">
        <w:rPr>
          <w:lang w:val="en-GB"/>
        </w:rPr>
        <w:t xml:space="preserve"> to </w:t>
      </w:r>
      <w:r w:rsidR="00D83FA9">
        <w:rPr>
          <w:lang w:val="en-GB"/>
        </w:rPr>
        <w:t>Revision 3 of</w:t>
      </w:r>
      <w:r w:rsidR="00041ECD" w:rsidRPr="00A90EA8">
        <w:rPr>
          <w:lang w:val="en-GB"/>
        </w:rPr>
        <w:t xml:space="preserve">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8A5797">
        <w:rPr>
          <w:lang w:val="en-GB"/>
        </w:rPr>
        <w:t> </w:t>
      </w:r>
      <w:r w:rsidR="00161B22">
        <w:rPr>
          <w:lang w:val="en-GB"/>
        </w:rPr>
        <w:t>43</w:t>
      </w:r>
      <w:r w:rsidR="00041ECD">
        <w:rPr>
          <w:lang w:val="en-GB"/>
        </w:rPr>
        <w:t xml:space="preserve"> (</w:t>
      </w:r>
      <w:r w:rsidRPr="00A965F0">
        <w:rPr>
          <w:lang w:val="en-GB"/>
        </w:rPr>
        <w:t>S</w:t>
      </w:r>
      <w:r w:rsidR="00161B22">
        <w:rPr>
          <w:lang w:val="en-GB"/>
        </w:rPr>
        <w:t>afety glazing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D83FA9">
        <w:rPr>
          <w:lang w:val="en-GB"/>
        </w:rPr>
        <w:t>2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D83FA9">
        <w:rPr>
          <w:lang w:val="en-GB"/>
        </w:rPr>
        <w:t>1</w:t>
      </w:r>
      <w:r w:rsidRPr="00A90EA8">
        <w:rPr>
          <w:lang w:val="en-GB"/>
        </w:rPr>
        <w:t xml:space="preserve">, para. </w:t>
      </w:r>
      <w:r w:rsidR="00D83FA9">
        <w:rPr>
          <w:lang w:val="en-GB"/>
        </w:rPr>
        <w:t>13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161B22">
        <w:rPr>
          <w:bCs/>
          <w:lang w:val="en-GB"/>
        </w:rPr>
        <w:t>Annex II to</w:t>
      </w:r>
      <w:r w:rsidR="00021FBB" w:rsidRPr="00021FBB">
        <w:rPr>
          <w:bCs/>
          <w:lang w:val="en-GB"/>
        </w:rPr>
        <w:t xml:space="preserve">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D83FA9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2351C6">
        <w:rPr>
          <w:lang w:val="en-GB"/>
        </w:rPr>
        <w:t>7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977FCC" w:rsidRPr="00977FCC" w:rsidRDefault="00977FCC" w:rsidP="00977FCC">
      <w:pPr>
        <w:spacing w:after="120" w:line="240" w:lineRule="auto"/>
        <w:ind w:left="2268" w:right="540" w:hanging="1134"/>
        <w:jc w:val="both"/>
        <w:rPr>
          <w:color w:val="00000A"/>
          <w:lang w:val="en-GB" w:eastAsia="ar-SA"/>
        </w:rPr>
      </w:pPr>
      <w:r w:rsidRPr="00977FCC">
        <w:rPr>
          <w:i/>
          <w:color w:val="00000A"/>
          <w:lang w:val="en-GB" w:eastAsia="ar-SA"/>
        </w:rPr>
        <w:lastRenderedPageBreak/>
        <w:t xml:space="preserve">Paragraph 2.6.1., </w:t>
      </w:r>
      <w:r>
        <w:rPr>
          <w:color w:val="00000A"/>
          <w:lang w:val="en-GB" w:eastAsia="ar-SA"/>
        </w:rPr>
        <w:t>correct to read:</w:t>
      </w:r>
    </w:p>
    <w:p w:rsidR="00977FCC" w:rsidRPr="00977FCC" w:rsidRDefault="00977FCC" w:rsidP="001C024C">
      <w:pPr>
        <w:spacing w:after="120" w:line="240" w:lineRule="auto"/>
        <w:ind w:left="2268" w:right="539" w:hanging="1134"/>
        <w:jc w:val="both"/>
        <w:rPr>
          <w:color w:val="00000A"/>
          <w:lang w:val="en-GB" w:eastAsia="ar-SA"/>
        </w:rPr>
      </w:pPr>
      <w:r w:rsidRPr="00977FCC">
        <w:rPr>
          <w:color w:val="00000A"/>
          <w:lang w:val="en-GB" w:eastAsia="ar-SA"/>
        </w:rPr>
        <w:t>[The changes do</w:t>
      </w:r>
      <w:r>
        <w:rPr>
          <w:color w:val="00000A"/>
          <w:lang w:val="en-GB" w:eastAsia="ar-SA"/>
        </w:rPr>
        <w:t xml:space="preserve"> </w:t>
      </w:r>
      <w:r w:rsidRPr="00977FCC">
        <w:rPr>
          <w:color w:val="00000A"/>
          <w:lang w:val="en-GB" w:eastAsia="ar-SA"/>
        </w:rPr>
        <w:t>not affect the English tex</w:t>
      </w:r>
      <w:r>
        <w:rPr>
          <w:color w:val="00000A"/>
          <w:lang w:val="en-GB" w:eastAsia="ar-SA"/>
        </w:rPr>
        <w:t>t]</w:t>
      </w:r>
    </w:p>
    <w:p w:rsidR="00977FCC" w:rsidRPr="00977FCC" w:rsidRDefault="00977FCC" w:rsidP="00977FCC">
      <w:pPr>
        <w:spacing w:after="120" w:line="240" w:lineRule="auto"/>
        <w:ind w:left="2268" w:right="540" w:hanging="1134"/>
        <w:jc w:val="both"/>
        <w:rPr>
          <w:color w:val="00000A"/>
          <w:lang w:val="en-GB" w:eastAsia="ar-SA"/>
        </w:rPr>
      </w:pPr>
    </w:p>
    <w:p w:rsidR="00D83FA9" w:rsidRPr="00D83FA9" w:rsidRDefault="00D83FA9" w:rsidP="00977FCC">
      <w:pPr>
        <w:spacing w:after="120" w:line="240" w:lineRule="auto"/>
        <w:ind w:left="2268" w:right="540" w:hanging="1134"/>
        <w:jc w:val="both"/>
        <w:rPr>
          <w:color w:val="00000A"/>
          <w:sz w:val="24"/>
          <w:szCs w:val="24"/>
          <w:lang w:val="en-GB" w:eastAsia="ar-SA"/>
        </w:rPr>
      </w:pPr>
      <w:r w:rsidRPr="00D83FA9">
        <w:rPr>
          <w:i/>
          <w:color w:val="00000A"/>
          <w:lang w:val="en-GB" w:eastAsia="ar-SA"/>
        </w:rPr>
        <w:t xml:space="preserve">Annex 1 – Appendix 3, </w:t>
      </w:r>
      <w:r w:rsidRPr="00D83FA9">
        <w:rPr>
          <w:color w:val="00000A"/>
          <w:lang w:val="en-GB" w:eastAsia="ar-SA"/>
        </w:rPr>
        <w:t>correct to read:</w:t>
      </w:r>
    </w:p>
    <w:p w:rsidR="00D83FA9" w:rsidRPr="00D83FA9" w:rsidRDefault="00D83FA9" w:rsidP="00977FCC">
      <w:pPr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>"…</w:t>
      </w:r>
    </w:p>
    <w:p w:rsidR="00D83FA9" w:rsidRPr="00D83FA9" w:rsidRDefault="00D83FA9" w:rsidP="00977FCC">
      <w:pPr>
        <w:spacing w:after="120" w:line="240" w:lineRule="auto"/>
        <w:ind w:left="2268" w:hanging="1134"/>
        <w:rPr>
          <w:color w:val="00000A"/>
          <w:sz w:val="24"/>
          <w:szCs w:val="24"/>
          <w:lang w:val="en-GB" w:eastAsia="ar-SA"/>
        </w:rPr>
      </w:pPr>
      <w:r w:rsidRPr="00D83FA9">
        <w:rPr>
          <w:color w:val="00000A"/>
          <w:u w:val="single"/>
          <w:lang w:val="en-GB" w:eastAsia="ar-SA"/>
        </w:rPr>
        <w:t>Principal characteristics:</w:t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sz w:val="24"/>
          <w:szCs w:val="24"/>
          <w:lang w:val="en-GB" w:eastAsia="ar-SA"/>
        </w:rPr>
      </w:pPr>
      <w:r w:rsidRPr="00D83FA9">
        <w:rPr>
          <w:color w:val="00000A"/>
          <w:lang w:val="en-GB" w:eastAsia="ar-SA"/>
        </w:rPr>
        <w:t xml:space="preserve">Number of layers of glass: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Number or layers of interlayer: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Nominal thickness of the windscreen: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Nominal thickness of interlayer(s):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Special treatment of glass: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Nature and type of interlayer(s):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Nature and type of plastics coating(s):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Nominal thickness of plastic coating(s):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spacing w:after="120" w:line="240" w:lineRule="auto"/>
        <w:ind w:left="2268" w:hanging="1134"/>
        <w:rPr>
          <w:color w:val="00000A"/>
          <w:lang w:val="en-GB" w:eastAsia="ar-SA"/>
        </w:rPr>
      </w:pPr>
    </w:p>
    <w:p w:rsidR="00D83FA9" w:rsidRPr="00D83FA9" w:rsidRDefault="00D83FA9" w:rsidP="00977FCC">
      <w:pPr>
        <w:spacing w:after="120" w:line="240" w:lineRule="auto"/>
        <w:ind w:left="2268" w:hanging="1134"/>
        <w:rPr>
          <w:color w:val="00000A"/>
          <w:sz w:val="24"/>
          <w:szCs w:val="24"/>
          <w:lang w:val="en-GB" w:eastAsia="ar-SA"/>
        </w:rPr>
      </w:pPr>
      <w:r w:rsidRPr="00D83FA9">
        <w:rPr>
          <w:color w:val="00000A"/>
          <w:u w:val="single"/>
          <w:lang w:val="en-GB" w:eastAsia="ar-SA"/>
        </w:rPr>
        <w:t>Secondary characteristics:</w:t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Nature of the material (plate, float, sheet glass):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Colouring of glass (colourless/tinted):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sz w:val="24"/>
          <w:szCs w:val="24"/>
          <w:lang w:val="en-GB" w:eastAsia="ar-SA"/>
        </w:rPr>
      </w:pPr>
      <w:r w:rsidRPr="00D83FA9">
        <w:rPr>
          <w:color w:val="00000A"/>
          <w:lang w:val="en-GB" w:eastAsia="ar-SA"/>
        </w:rPr>
        <w:t>Colouring of plastics coating(s):</w:t>
      </w:r>
      <w:r w:rsidRPr="00D83FA9">
        <w:rPr>
          <w:bCs/>
          <w:color w:val="00000A"/>
          <w:lang w:val="en-GB" w:eastAsia="ar-SA"/>
        </w:rPr>
        <w:t xml:space="preserve"> </w:t>
      </w:r>
      <w:r w:rsidRPr="00D83FA9">
        <w:rPr>
          <w:bCs/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Colouring of interlayer (total/partial):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Conductors incorporated (YES/NO): </w:t>
      </w:r>
      <w:r w:rsidRPr="00D83FA9">
        <w:rPr>
          <w:color w:val="00000A"/>
          <w:lang w:val="en-GB" w:eastAsia="ar-SA"/>
        </w:rPr>
        <w:tab/>
      </w:r>
    </w:p>
    <w:p w:rsidR="00D83FA9" w:rsidRP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 xml:space="preserve">Opaque obscuration incorporated (YES/NO): </w:t>
      </w:r>
      <w:r w:rsidRPr="00D83FA9">
        <w:rPr>
          <w:color w:val="00000A"/>
          <w:lang w:val="en-GB" w:eastAsia="ar-SA"/>
        </w:rPr>
        <w:tab/>
      </w:r>
    </w:p>
    <w:p w:rsidR="00D83FA9" w:rsidRDefault="00D83FA9" w:rsidP="00977FCC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val="en-GB" w:eastAsia="ar-SA"/>
        </w:rPr>
      </w:pPr>
      <w:r w:rsidRPr="00D83FA9">
        <w:rPr>
          <w:color w:val="00000A"/>
          <w:lang w:val="en-GB" w:eastAsia="ar-SA"/>
        </w:rPr>
        <w:t>…"</w:t>
      </w:r>
    </w:p>
    <w:p w:rsidR="00BF3A94" w:rsidRPr="009646C2" w:rsidRDefault="00BF3A94" w:rsidP="00977FCC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76" w:rsidRDefault="00F61576"/>
  </w:endnote>
  <w:endnote w:type="continuationSeparator" w:id="0">
    <w:p w:rsidR="00F61576" w:rsidRDefault="00F61576"/>
  </w:endnote>
  <w:endnote w:type="continuationNotice" w:id="1">
    <w:p w:rsidR="00F61576" w:rsidRDefault="00F61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C59E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83FA9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76" w:rsidRPr="00D27D5E" w:rsidRDefault="00F6157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1576" w:rsidRDefault="00F6157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F61576" w:rsidRDefault="00F61576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D46E1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351C6" w:rsidP="009556DB">
    <w:pPr>
      <w:pStyle w:val="Header"/>
      <w:rPr>
        <w:lang w:val="en-US"/>
      </w:rPr>
    </w:pPr>
    <w:r>
      <w:rPr>
        <w:lang w:val="en-US"/>
      </w:rPr>
      <w:t>ECE/TRANS/WP.29/2017/</w:t>
    </w:r>
    <w:r w:rsidR="008A5797">
      <w:rPr>
        <w:lang w:val="en-US"/>
      </w:rPr>
      <w:t>112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727706">
      <w:rPr>
        <w:lang w:val="en-US"/>
      </w:rPr>
      <w:t>7</w:t>
    </w:r>
    <w:r>
      <w:rPr>
        <w:lang w:val="en-US"/>
      </w:rPr>
      <w:t>/</w:t>
    </w:r>
    <w:r w:rsidR="00BF3A94">
      <w:rPr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024C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5797"/>
    <w:rsid w:val="008A6088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5BF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331B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010"/>
    <w:rsid w:val="00BA38A9"/>
    <w:rsid w:val="00BA4CAC"/>
    <w:rsid w:val="00BA5929"/>
    <w:rsid w:val="00BA5C0D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3F6D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C59EF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00543C39"/>
  <w15:docId w15:val="{4BA278A2-CCEE-49B2-B41C-ECD78D4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00F6-F3F8-4A1C-86C2-6666559D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1432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8</cp:revision>
  <cp:lastPrinted>2017-08-16T11:52:00Z</cp:lastPrinted>
  <dcterms:created xsi:type="dcterms:W3CDTF">2017-08-14T08:06:00Z</dcterms:created>
  <dcterms:modified xsi:type="dcterms:W3CDTF">2017-08-18T06:41:00Z</dcterms:modified>
</cp:coreProperties>
</file>