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64FED">
                <w:t>TRANS/WP.29/2017/25</w:t>
              </w:r>
            </w:fldSimple>
            <w:r w:rsidR="00464FED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602C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464FED" w:rsidP="007B199D">
            <w:r>
              <w:rPr>
                <w:lang w:val="en-US"/>
              </w:rPr>
              <w:t>19 December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602C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64FED" w:rsidRPr="00464FED" w:rsidRDefault="00464FED" w:rsidP="00464FED">
      <w:pPr>
        <w:spacing w:before="120" w:line="240" w:lineRule="auto"/>
        <w:rPr>
          <w:sz w:val="28"/>
          <w:szCs w:val="28"/>
        </w:rPr>
      </w:pPr>
      <w:r w:rsidRPr="00464FED">
        <w:rPr>
          <w:sz w:val="28"/>
          <w:szCs w:val="28"/>
        </w:rPr>
        <w:t>Комитет по внутреннему транспорту</w:t>
      </w:r>
    </w:p>
    <w:p w:rsidR="00464FED" w:rsidRPr="00464FED" w:rsidRDefault="00464FED" w:rsidP="00464FED">
      <w:pPr>
        <w:spacing w:before="120" w:line="240" w:lineRule="auto"/>
        <w:rPr>
          <w:b/>
          <w:bCs/>
          <w:sz w:val="24"/>
          <w:szCs w:val="24"/>
        </w:rPr>
      </w:pPr>
      <w:r w:rsidRPr="00464FE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64FED">
        <w:rPr>
          <w:b/>
          <w:bCs/>
          <w:sz w:val="24"/>
          <w:szCs w:val="24"/>
        </w:rPr>
        <w:br/>
        <w:t>в области транспортных средств</w:t>
      </w:r>
    </w:p>
    <w:p w:rsidR="00464FED" w:rsidRPr="00464FED" w:rsidRDefault="00464FED" w:rsidP="00464FED">
      <w:pPr>
        <w:spacing w:before="120" w:line="240" w:lineRule="auto"/>
        <w:rPr>
          <w:b/>
          <w:bCs/>
        </w:rPr>
      </w:pPr>
      <w:r w:rsidRPr="00464FED">
        <w:rPr>
          <w:b/>
          <w:bCs/>
        </w:rPr>
        <w:t>171-я сессия</w:t>
      </w:r>
    </w:p>
    <w:p w:rsidR="00464FED" w:rsidRPr="00464FED" w:rsidRDefault="00464FED" w:rsidP="00464FED">
      <w:pPr>
        <w:spacing w:line="240" w:lineRule="auto"/>
      </w:pPr>
      <w:r w:rsidRPr="00464FED">
        <w:t>Женева, 14–17 марта 2017 года</w:t>
      </w:r>
    </w:p>
    <w:p w:rsidR="00464FED" w:rsidRPr="00464FED" w:rsidRDefault="00464FED" w:rsidP="00464FED">
      <w:pPr>
        <w:spacing w:line="240" w:lineRule="auto"/>
      </w:pPr>
      <w:r w:rsidRPr="00464FED">
        <w:t>Пункт 4.9.7 предварительной повестки дня</w:t>
      </w:r>
    </w:p>
    <w:p w:rsidR="00464FED" w:rsidRPr="00464FED" w:rsidRDefault="00464FED" w:rsidP="00464FED">
      <w:pPr>
        <w:spacing w:line="240" w:lineRule="auto"/>
        <w:rPr>
          <w:b/>
          <w:bCs/>
        </w:rPr>
      </w:pPr>
      <w:r w:rsidRPr="00464FED">
        <w:rPr>
          <w:b/>
          <w:bCs/>
        </w:rPr>
        <w:t>Соглашение 1958 года:</w:t>
      </w:r>
    </w:p>
    <w:p w:rsidR="00464FED" w:rsidRPr="00464FED" w:rsidRDefault="00464FED" w:rsidP="00464FED">
      <w:pPr>
        <w:spacing w:line="240" w:lineRule="auto"/>
        <w:rPr>
          <w:b/>
          <w:bCs/>
        </w:rPr>
      </w:pPr>
      <w:r w:rsidRPr="00464FED">
        <w:rPr>
          <w:b/>
          <w:bCs/>
        </w:rPr>
        <w:t xml:space="preserve">Рассмотрение проектов поправок к существующим </w:t>
      </w:r>
      <w:r w:rsidRPr="00464FED">
        <w:rPr>
          <w:b/>
          <w:bCs/>
        </w:rPr>
        <w:br/>
        <w:t>правилам, представленных GRE</w:t>
      </w:r>
    </w:p>
    <w:p w:rsidR="00464FED" w:rsidRPr="00464FED" w:rsidRDefault="00464FED" w:rsidP="00464FED">
      <w:pPr>
        <w:pStyle w:val="HChGR"/>
      </w:pPr>
      <w:r w:rsidRPr="00464FED">
        <w:tab/>
      </w:r>
      <w:r w:rsidRPr="00464FED">
        <w:tab/>
        <w:t xml:space="preserve">Предложение по дополнению 1 к поправкам серии 04 к Правилам № 27 (предупреждающие треугольники) </w:t>
      </w:r>
    </w:p>
    <w:p w:rsidR="00464FED" w:rsidRPr="00464FED" w:rsidRDefault="00464FED" w:rsidP="00464FED">
      <w:pPr>
        <w:pStyle w:val="H1GR"/>
      </w:pPr>
      <w:r w:rsidRPr="00464FED">
        <w:tab/>
      </w:r>
      <w:r w:rsidRPr="00464FED">
        <w:tab/>
        <w:t>Представлено Рабочей группой по вопросам освещения и</w:t>
      </w:r>
      <w:r w:rsidR="001C7325">
        <w:rPr>
          <w:lang w:val="en-US"/>
        </w:rPr>
        <w:t> </w:t>
      </w:r>
      <w:r w:rsidRPr="00464FED">
        <w:t>световой сигнализации</w:t>
      </w:r>
      <w:r w:rsidR="001C7325" w:rsidRPr="001C7325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64FED" w:rsidRPr="00464FED" w:rsidRDefault="00464FED" w:rsidP="00464FED">
      <w:pPr>
        <w:pStyle w:val="SingleTxtGR"/>
      </w:pPr>
      <w:r w:rsidRPr="00464FED">
        <w:tab/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 10). В его основу положен документ</w:t>
      </w:r>
      <w:r w:rsidR="001C7325">
        <w:rPr>
          <w:lang w:val="en-US"/>
        </w:rPr>
        <w:t> </w:t>
      </w:r>
      <w:r w:rsidRPr="00464FED">
        <w:t>ECE/</w:t>
      </w:r>
      <w:r w:rsidR="004D25F8" w:rsidRPr="00E7529B">
        <w:br/>
      </w:r>
      <w:r w:rsidRPr="00464FED">
        <w:t>TRANS/WP.29/GRE/2014/31.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464FED" w:rsidRPr="00464FED" w:rsidRDefault="00464FED" w:rsidP="00464FED">
      <w:pPr>
        <w:spacing w:line="240" w:lineRule="auto"/>
      </w:pPr>
      <w:r w:rsidRPr="00464FED">
        <w:br w:type="page"/>
      </w:r>
    </w:p>
    <w:p w:rsidR="00464FED" w:rsidRPr="00464FED" w:rsidRDefault="00464FED" w:rsidP="00464FED">
      <w:pPr>
        <w:pStyle w:val="HChGR"/>
      </w:pPr>
      <w:r w:rsidRPr="00464FED">
        <w:lastRenderedPageBreak/>
        <w:tab/>
      </w:r>
      <w:r w:rsidRPr="00464FED">
        <w:tab/>
        <w:t xml:space="preserve">Дополнение 1 к поправкам серии 04 к </w:t>
      </w:r>
      <w:r w:rsidR="001C7325">
        <w:t>Правилам №</w:t>
      </w:r>
      <w:r w:rsidR="001C7325">
        <w:rPr>
          <w:lang w:val="en-US"/>
        </w:rPr>
        <w:t> </w:t>
      </w:r>
      <w:r w:rsidRPr="00464FED">
        <w:t xml:space="preserve">27 (предупреждающие треугольники) </w:t>
      </w:r>
    </w:p>
    <w:p w:rsidR="00464FED" w:rsidRPr="00464FED" w:rsidRDefault="00464FED" w:rsidP="00464FED">
      <w:pPr>
        <w:pStyle w:val="SingleTxtGR"/>
      </w:pPr>
      <w:r w:rsidRPr="00464FED">
        <w:rPr>
          <w:i/>
        </w:rPr>
        <w:t>Пункт 10.1</w:t>
      </w:r>
      <w:r w:rsidRPr="00464FED">
        <w:t xml:space="preserve"> изменить следующим образом:</w:t>
      </w:r>
    </w:p>
    <w:p w:rsidR="00464FED" w:rsidRPr="00464FED" w:rsidRDefault="002A795B" w:rsidP="005C5555">
      <w:pPr>
        <w:pStyle w:val="SingleTxtGR"/>
        <w:ind w:left="2268" w:hanging="1134"/>
      </w:pPr>
      <w:r>
        <w:t>«</w:t>
      </w:r>
      <w:r w:rsidR="00464FED" w:rsidRPr="00464FED">
        <w:t>10.1</w:t>
      </w:r>
      <w:r w:rsidR="00464FED" w:rsidRPr="00464FED">
        <w:tab/>
      </w:r>
      <w:r w:rsidR="00464FED" w:rsidRPr="00464FED">
        <w:tab/>
        <w:t>Предупреждающие треугольники изготавливают таким образом, чтобы они соответствовали типу, официально утвержденному на основании настоящих Правил.</w:t>
      </w:r>
    </w:p>
    <w:p w:rsidR="00464FED" w:rsidRPr="00464FED" w:rsidRDefault="005C5555" w:rsidP="005C5555">
      <w:pPr>
        <w:pStyle w:val="SingleTxtGR"/>
        <w:ind w:left="2268" w:hanging="1134"/>
      </w:pPr>
      <w:r w:rsidRPr="002A795B">
        <w:tab/>
      </w:r>
      <w:r w:rsidRPr="002A795B">
        <w:tab/>
      </w:r>
      <w:r w:rsidR="00464FED" w:rsidRPr="00464FED">
        <w:t>Проверку соблюдения требований, изложенных в пунктах</w:t>
      </w:r>
      <w:r w:rsidR="00464FED">
        <w:t xml:space="preserve"> </w:t>
      </w:r>
      <w:r w:rsidR="00464FED" w:rsidRPr="00464FED">
        <w:t>6, 7 и 8 выше, проводят следующим образом:</w:t>
      </w:r>
      <w:r w:rsidR="002A795B">
        <w:t>»</w:t>
      </w:r>
      <w:r w:rsidR="00464FED" w:rsidRPr="00464FED">
        <w:t>.</w:t>
      </w:r>
    </w:p>
    <w:p w:rsidR="00464FED" w:rsidRPr="00464FED" w:rsidRDefault="00464FED" w:rsidP="00464FED">
      <w:pPr>
        <w:pStyle w:val="SingleTxtGR"/>
      </w:pPr>
      <w:r w:rsidRPr="00464FED">
        <w:rPr>
          <w:i/>
        </w:rPr>
        <w:t>Пункт 10.</w:t>
      </w:r>
      <w:r w:rsidR="00E7529B">
        <w:rPr>
          <w:i/>
          <w:lang w:val="en-US"/>
        </w:rPr>
        <w:t>1.</w:t>
      </w:r>
      <w:r w:rsidRPr="00464FED">
        <w:rPr>
          <w:i/>
        </w:rPr>
        <w:t>2</w:t>
      </w:r>
      <w:r w:rsidRPr="00464FED">
        <w:t xml:space="preserve"> изменить следующим образом: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«10.1.2</w:t>
      </w:r>
      <w:r w:rsidRPr="00464FED">
        <w:tab/>
        <w:t>Должны соблюдаться минимальные требования в отношении процедур контроля за соответствием производства (СП), установленные в приложении 7 к настоящим Правилам».</w:t>
      </w:r>
    </w:p>
    <w:p w:rsidR="00464FED" w:rsidRPr="00464FED" w:rsidRDefault="00464FED" w:rsidP="00464FED">
      <w:pPr>
        <w:pStyle w:val="SingleTxtGR"/>
        <w:rPr>
          <w:i/>
        </w:rPr>
      </w:pPr>
      <w:r w:rsidRPr="00464FED">
        <w:rPr>
          <w:i/>
        </w:rPr>
        <w:t>Приложение 8</w:t>
      </w:r>
    </w:p>
    <w:p w:rsidR="00464FED" w:rsidRPr="00464FED" w:rsidRDefault="00464FED" w:rsidP="00464FED">
      <w:pPr>
        <w:pStyle w:val="SingleTxtGR"/>
        <w:rPr>
          <w:i/>
        </w:rPr>
      </w:pPr>
      <w:r w:rsidRPr="00464FED">
        <w:rPr>
          <w:i/>
        </w:rPr>
        <w:t xml:space="preserve">Пункты 2−4 и рис. 1 </w:t>
      </w:r>
      <w:r w:rsidRPr="002A795B">
        <w:t>исключить</w:t>
      </w:r>
      <w:r w:rsidRPr="00464FED">
        <w:rPr>
          <w:i/>
        </w:rPr>
        <w:t>.</w:t>
      </w:r>
    </w:p>
    <w:p w:rsidR="00464FED" w:rsidRPr="00464FED" w:rsidRDefault="00464FED" w:rsidP="00464FED">
      <w:pPr>
        <w:pStyle w:val="SingleTxtGR"/>
      </w:pPr>
      <w:r w:rsidRPr="00464FED">
        <w:rPr>
          <w:i/>
        </w:rPr>
        <w:t>Включить новые пункты 2−6</w:t>
      </w:r>
      <w:r w:rsidRPr="00464FED">
        <w:t xml:space="preserve"> следующего содержания:</w:t>
      </w:r>
    </w:p>
    <w:p w:rsidR="00464FED" w:rsidRPr="00464FED" w:rsidRDefault="002A795B" w:rsidP="00464FED">
      <w:pPr>
        <w:pStyle w:val="SingleTxtGR"/>
      </w:pPr>
      <w:r>
        <w:t>«</w:t>
      </w:r>
      <w:r w:rsidR="00464FED" w:rsidRPr="00464FED">
        <w:t>2.</w:t>
      </w:r>
      <w:r w:rsidR="00464FED" w:rsidRPr="00464FED">
        <w:tab/>
      </w:r>
      <w:r w:rsidR="00464FED" w:rsidRPr="00464FED">
        <w:tab/>
        <w:t>Первый отбор образцов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В ходе первого отбора образцов произвольно выбирают четыре предупреждающих треугольника. Первую выборку из двух образцов обозначают буквой A, а вторую выборку из двух образцов − буквой B.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2.1</w:t>
      </w:r>
      <w:r w:rsidRPr="00464FED">
        <w:tab/>
      </w:r>
      <w:r w:rsidRPr="00464FED">
        <w:tab/>
        <w:t>Соответствие производства серийных предупреждающих треугольников считается доказанным, если отклонение любого образца из выборок A и B (на всех четырех предупреждающих треугольниках) не превышает 20%.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В том случае если отклонение обоих предупреждающих треугольников из выборки</w:t>
      </w:r>
      <w:r w:rsidR="00464FED">
        <w:t xml:space="preserve"> </w:t>
      </w:r>
      <w:r w:rsidR="00464FED" w:rsidRPr="00464FED">
        <w:t>А не превышает</w:t>
      </w:r>
      <w:r w:rsidR="00464FED">
        <w:t xml:space="preserve"> </w:t>
      </w:r>
      <w:r w:rsidR="00464FED" w:rsidRPr="00464FED">
        <w:t>0%, измерения могут быть прекращены.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2.2</w:t>
      </w:r>
      <w:r w:rsidRPr="00464FED">
        <w:tab/>
      </w:r>
      <w:r w:rsidRPr="00464FED">
        <w:tab/>
        <w:t>Соответствие производства серийных предупреждающих треугольников не считается доказанным, если отклонение по крайней мере одного образца из выборки А или В превышает 20%.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СП.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3.</w:t>
      </w:r>
      <w:r w:rsidRPr="00464FED">
        <w:tab/>
      </w:r>
      <w:r w:rsidRPr="00464FED">
        <w:tab/>
        <w:t>Первый повторный отбор образцов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предупреждающих треугольников.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Первую выборку из двух образцов обозначают буквой</w:t>
      </w:r>
      <w:r w:rsidR="00464FED">
        <w:t xml:space="preserve"> </w:t>
      </w:r>
      <w:r w:rsidR="00464FED" w:rsidRPr="00464FED">
        <w:rPr>
          <w:lang w:val="en-US"/>
        </w:rPr>
        <w:t>C</w:t>
      </w:r>
      <w:r w:rsidR="00464FED" w:rsidRPr="00464FED">
        <w:t>, а вторую выборку из</w:t>
      </w:r>
      <w:r w:rsidR="00464FED">
        <w:t xml:space="preserve"> </w:t>
      </w:r>
      <w:r w:rsidR="00464FED" w:rsidRPr="00464FED">
        <w:t>двух образцов − буквой</w:t>
      </w:r>
      <w:r w:rsidR="00464FED">
        <w:t xml:space="preserve"> </w:t>
      </w:r>
      <w:r w:rsidR="00464FED" w:rsidRPr="00464FED">
        <w:rPr>
          <w:lang w:val="en-US"/>
        </w:rPr>
        <w:t>D</w:t>
      </w:r>
      <w:r w:rsidR="00464FED" w:rsidRPr="00464FED">
        <w:t>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lastRenderedPageBreak/>
        <w:t>3.1</w:t>
      </w:r>
      <w:r w:rsidRPr="00464FED">
        <w:tab/>
      </w:r>
      <w:r w:rsidRPr="00464FED">
        <w:tab/>
        <w:t xml:space="preserve">Соответствие серийных предупреждающих треугольников </w:t>
      </w:r>
      <w:r w:rsidR="001C7325" w:rsidRPr="001C7325">
        <w:br/>
      </w:r>
      <w:r w:rsidRPr="00464FED">
        <w:t xml:space="preserve">считается доказанным, если отклонение любого образца из выборок </w:t>
      </w:r>
      <w:r w:rsidRPr="00464FED">
        <w:rPr>
          <w:lang w:val="en-US"/>
        </w:rPr>
        <w:t>C</w:t>
      </w:r>
      <w:r w:rsidRPr="00464FED">
        <w:t xml:space="preserve"> и </w:t>
      </w:r>
      <w:r w:rsidRPr="00464FED">
        <w:rPr>
          <w:lang w:val="en-US"/>
        </w:rPr>
        <w:t>D</w:t>
      </w:r>
      <w:r w:rsidRPr="00464FED">
        <w:t xml:space="preserve"> (на всех четырех предупреждающих треугольниках) не превышает 20%.</w:t>
      </w:r>
    </w:p>
    <w:p w:rsidR="00464FED" w:rsidRPr="00464FED" w:rsidRDefault="005C5555" w:rsidP="005C5555">
      <w:pPr>
        <w:pStyle w:val="SingleTxtGR"/>
        <w:ind w:left="2268" w:hanging="1134"/>
      </w:pPr>
      <w:r w:rsidRPr="001C7325">
        <w:tab/>
      </w:r>
      <w:r w:rsidRPr="001C7325">
        <w:tab/>
      </w:r>
      <w:r w:rsidR="006A331F">
        <w:t>В том случае</w:t>
      </w:r>
      <w:r w:rsidR="00464FED" w:rsidRPr="00464FED">
        <w:t xml:space="preserve"> если отклонение обоих предупреждающих треугольников из выборки</w:t>
      </w:r>
      <w:r w:rsidR="00464FED">
        <w:t xml:space="preserve"> </w:t>
      </w:r>
      <w:r w:rsidR="00464FED" w:rsidRPr="00464FED">
        <w:t>С не превышает 0%, измерения могут быть прекращены.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3.2</w:t>
      </w:r>
      <w:r w:rsidRPr="00464FED">
        <w:tab/>
      </w:r>
      <w:r w:rsidRPr="00464FED">
        <w:tab/>
        <w:t>Соответствие производства серийных предупреждающих треугольников не считается доказанным, если отклонение</w:t>
      </w:r>
      <w:r w:rsidR="006A331F">
        <w:t xml:space="preserve"> по крайней мере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3.2.1</w:t>
      </w:r>
      <w:r w:rsidRPr="00464FED">
        <w:tab/>
      </w:r>
      <w:r w:rsidRPr="00464FED">
        <w:tab/>
        <w:t xml:space="preserve">одного образца из выборки </w:t>
      </w:r>
      <w:r w:rsidRPr="00464FED">
        <w:rPr>
          <w:lang w:val="en-US"/>
        </w:rPr>
        <w:t>C</w:t>
      </w:r>
      <w:r w:rsidRPr="00464FED">
        <w:t xml:space="preserve"> или </w:t>
      </w:r>
      <w:r w:rsidRPr="00464FED">
        <w:rPr>
          <w:lang w:val="en-US"/>
        </w:rPr>
        <w:t>D</w:t>
      </w:r>
      <w:r w:rsidRPr="00464FED">
        <w:t xml:space="preserve"> превышает 20%, но отклонение всех образцов из этих выборок не превышает 30%.</w:t>
      </w:r>
    </w:p>
    <w:p w:rsidR="00464FED" w:rsidRPr="00464FED" w:rsidRDefault="005C5555" w:rsidP="005C5555">
      <w:pPr>
        <w:pStyle w:val="SingleTxtGR"/>
        <w:ind w:left="2268" w:hanging="1134"/>
      </w:pPr>
      <w:r w:rsidRPr="006A331F">
        <w:tab/>
      </w:r>
      <w:r w:rsidRPr="006A331F">
        <w:tab/>
      </w:r>
      <w:r w:rsidR="00464FED" w:rsidRPr="00464FED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требованиями).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="00464FED" w:rsidRPr="00464FED">
        <w:rPr>
          <w:lang w:val="en-US"/>
        </w:rPr>
        <w:t>C</w:t>
      </w:r>
      <w:r w:rsidR="00464FED" w:rsidRPr="00464FED">
        <w:t xml:space="preserve"> и </w:t>
      </w:r>
      <w:r w:rsidR="00464FED" w:rsidRPr="00464FED">
        <w:rPr>
          <w:lang w:val="en-US"/>
        </w:rPr>
        <w:t>D</w:t>
      </w:r>
      <w:r w:rsidR="00464FED" w:rsidRPr="00464FED">
        <w:t xml:space="preserve"> хранятся в технической службе до завершения всего процесса СП;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3.2.2</w:t>
      </w:r>
      <w:r w:rsidRPr="00464FED">
        <w:tab/>
      </w:r>
      <w:r w:rsidRPr="00464FED">
        <w:tab/>
        <w:t xml:space="preserve">одного образца из выборок </w:t>
      </w:r>
      <w:r w:rsidRPr="00464FED">
        <w:rPr>
          <w:lang w:val="en-US"/>
        </w:rPr>
        <w:t>C</w:t>
      </w:r>
      <w:r w:rsidRPr="00464FED">
        <w:t xml:space="preserve"> и </w:t>
      </w:r>
      <w:r w:rsidRPr="00464FED">
        <w:rPr>
          <w:lang w:val="en-US"/>
        </w:rPr>
        <w:t>D</w:t>
      </w:r>
      <w:r w:rsidRPr="00464FED">
        <w:t xml:space="preserve"> превышает 30%.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В таком случае официальное утверждение отменяют и применяют пункт 5 ниже.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4.</w:t>
      </w:r>
      <w:r w:rsidRPr="00464FED">
        <w:tab/>
      </w:r>
      <w:r w:rsidRPr="00464FED">
        <w:tab/>
        <w:t>Второй повторный отбор образцов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предупреждающих треугольников.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Первую выборку из двух образцов обозначают буквой</w:t>
      </w:r>
      <w:r w:rsidR="00464FED">
        <w:t xml:space="preserve"> </w:t>
      </w:r>
      <w:r w:rsidR="00464FED" w:rsidRPr="00464FED">
        <w:rPr>
          <w:lang w:val="en-US"/>
        </w:rPr>
        <w:t>E</w:t>
      </w:r>
      <w:r w:rsidR="00464FED" w:rsidRPr="00464FED">
        <w:t>, а вторую выборку из</w:t>
      </w:r>
      <w:r w:rsidR="00464FED">
        <w:t xml:space="preserve"> </w:t>
      </w:r>
      <w:r w:rsidR="00464FED" w:rsidRPr="00464FED">
        <w:t xml:space="preserve">двух образцов − буквой </w:t>
      </w:r>
      <w:r w:rsidR="00464FED" w:rsidRPr="00464FED">
        <w:rPr>
          <w:lang w:val="en-US"/>
        </w:rPr>
        <w:t>F</w:t>
      </w:r>
      <w:r w:rsidR="00464FED" w:rsidRPr="00464FED">
        <w:t>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4.1</w:t>
      </w:r>
      <w:r w:rsidRPr="00464FED">
        <w:tab/>
      </w:r>
      <w:r w:rsidRPr="00464FED">
        <w:tab/>
        <w:t xml:space="preserve">Соответствие производства серийных предупреждающих треугольников считается доказанным, если отклонение любого образца из выборок </w:t>
      </w:r>
      <w:r w:rsidRPr="00464FED">
        <w:rPr>
          <w:lang w:val="en-US"/>
        </w:rPr>
        <w:t>E</w:t>
      </w:r>
      <w:r w:rsidRPr="00464FED">
        <w:t xml:space="preserve"> и </w:t>
      </w:r>
      <w:r w:rsidRPr="00464FED">
        <w:rPr>
          <w:lang w:val="en-US"/>
        </w:rPr>
        <w:t>F</w:t>
      </w:r>
      <w:r w:rsidRPr="00464FED">
        <w:t xml:space="preserve"> (на всех четырех предупреждающих треугольниках) не превышает 20%. 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2036AD">
        <w:t>В том случае</w:t>
      </w:r>
      <w:r w:rsidR="00464FED" w:rsidRPr="00464FED">
        <w:t xml:space="preserve"> если отклонение обоих предупреждающих треугольников из выборки </w:t>
      </w:r>
      <w:r w:rsidR="00464FED" w:rsidRPr="00464FED">
        <w:rPr>
          <w:lang w:val="en-US"/>
        </w:rPr>
        <w:t>E</w:t>
      </w:r>
      <w:r w:rsidR="00464FED" w:rsidRPr="00464FED">
        <w:t xml:space="preserve"> не превышает 0%, измерения могут быть прекращены.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4.2</w:t>
      </w:r>
      <w:r w:rsidRPr="00464FED">
        <w:tab/>
      </w:r>
      <w:r w:rsidRPr="00464FED">
        <w:tab/>
        <w:t xml:space="preserve">Соответствие производства серийных предупреждающих треугольников не считается доказанным, если отклонение по крайней мере одного образца из выборки </w:t>
      </w:r>
      <w:r w:rsidRPr="00464FED">
        <w:rPr>
          <w:lang w:val="en-US"/>
        </w:rPr>
        <w:t>E</w:t>
      </w:r>
      <w:r w:rsidRPr="00464FED">
        <w:t xml:space="preserve"> или </w:t>
      </w:r>
      <w:r w:rsidRPr="00464FED">
        <w:rPr>
          <w:lang w:val="en-US"/>
        </w:rPr>
        <w:t>F</w:t>
      </w:r>
      <w:r w:rsidRPr="00464FED">
        <w:t xml:space="preserve"> превышает 20%.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В таком случае официальное утверждение отменяют и применяют пункт 5 ниже.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5.</w:t>
      </w:r>
      <w:r w:rsidRPr="00464FED">
        <w:tab/>
      </w:r>
      <w:r w:rsidRPr="00464FED">
        <w:tab/>
        <w:t>Отмена официального утверждения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Официальное утверждение отменяют в соответствии с пунктом 9 настоящих Правил.</w:t>
      </w:r>
    </w:p>
    <w:p w:rsidR="00464FED" w:rsidRPr="00464FED" w:rsidRDefault="00464FED" w:rsidP="005C5555">
      <w:pPr>
        <w:pStyle w:val="SingleTxtGR"/>
        <w:ind w:left="2268" w:hanging="1134"/>
      </w:pPr>
      <w:r w:rsidRPr="00464FED">
        <w:t>6.</w:t>
      </w:r>
      <w:r w:rsidRPr="00464FED">
        <w:tab/>
      </w:r>
      <w:r w:rsidRPr="00464FED">
        <w:tab/>
        <w:t>Дополнительные испытания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Для проверки на предмет обычного применения используют следующие процедуры: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lastRenderedPageBreak/>
        <w:tab/>
      </w:r>
      <w:r w:rsidRPr="00E7529B">
        <w:tab/>
      </w:r>
      <w:r w:rsidR="00464FED" w:rsidRPr="00464FED">
        <w:t>Один дополнительный предупреждающий треугольник подвергают испытанию в соответствии с процедурами, описание которых приведено в пунктах 1.5.3−1.8.3 приложения 5.</w:t>
      </w:r>
    </w:p>
    <w:p w:rsidR="00464FED" w:rsidRPr="00464FED" w:rsidRDefault="005C5555" w:rsidP="005C5555">
      <w:pPr>
        <w:pStyle w:val="SingleTxtGR"/>
        <w:ind w:left="2268" w:hanging="1134"/>
      </w:pPr>
      <w:r w:rsidRPr="00E7529B">
        <w:tab/>
      </w:r>
      <w:r w:rsidRPr="00E7529B">
        <w:tab/>
      </w:r>
      <w:r w:rsidR="00464FED" w:rsidRPr="00464FED">
        <w:t>Предупреждающие треугольники считаются приемлемыми, если они выдерживают испытания.</w:t>
      </w:r>
    </w:p>
    <w:p w:rsidR="00A658DB" w:rsidRPr="001C7325" w:rsidRDefault="005C5555" w:rsidP="005C5555">
      <w:pPr>
        <w:pStyle w:val="SingleTxtGR"/>
        <w:ind w:left="2268" w:hanging="1134"/>
      </w:pPr>
      <w:r w:rsidRPr="005C5555">
        <w:tab/>
      </w:r>
      <w:r w:rsidRPr="005C5555">
        <w:tab/>
      </w:r>
      <w:r w:rsidR="00464FED" w:rsidRPr="00464FED">
        <w:t>Однако если результаты испытания для данной выборки оказываются неудовлетворительными, то такой же процедуре подвергают два других дополнительных предупреждающих треугольника, причем оба должны выдержать испытания</w:t>
      </w:r>
      <w:r w:rsidR="000A534D" w:rsidRPr="000A534D">
        <w:t>.</w:t>
      </w:r>
      <w:r w:rsidR="002036AD">
        <w:t>»</w:t>
      </w:r>
      <w:r w:rsidR="00464FED" w:rsidRPr="00464FED">
        <w:t>.</w:t>
      </w:r>
      <w:r w:rsidR="001C7325" w:rsidRPr="001C7325">
        <w:t xml:space="preserve"> </w:t>
      </w:r>
    </w:p>
    <w:p w:rsidR="00464FED" w:rsidRPr="005C5555" w:rsidRDefault="005C5555" w:rsidP="005C55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4FED" w:rsidRPr="005C5555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ED" w:rsidRDefault="00464FED" w:rsidP="00B471C5">
      <w:r>
        <w:separator/>
      </w:r>
    </w:p>
  </w:endnote>
  <w:endnote w:type="continuationSeparator" w:id="0">
    <w:p w:rsidR="00464FED" w:rsidRDefault="00464FE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602C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2682F">
      <w:rPr>
        <w:lang w:val="en-US"/>
      </w:rPr>
      <w:t>22392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62682F">
      <w:rPr>
        <w:lang w:val="en-US"/>
      </w:rPr>
      <w:t>22392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602CB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2682F">
            <w:rPr>
              <w:lang w:val="en-US"/>
            </w:rPr>
            <w:t>22392</w:t>
          </w:r>
          <w:r w:rsidRPr="001C3ABC">
            <w:rPr>
              <w:lang w:val="en-US"/>
            </w:rPr>
            <w:t xml:space="preserve"> (R)</w:t>
          </w:r>
          <w:r w:rsidR="0062682F">
            <w:rPr>
              <w:lang w:val="en-US"/>
            </w:rPr>
            <w:t xml:space="preserve">  060117  090117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2682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2017/2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2682F" w:rsidRDefault="0062682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268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ED" w:rsidRPr="009141DC" w:rsidRDefault="00464FE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64FED" w:rsidRPr="00D1261C" w:rsidRDefault="00464FE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C7325" w:rsidRPr="001C7325" w:rsidRDefault="001C7325">
      <w:pPr>
        <w:pStyle w:val="FootnoteText"/>
        <w:rPr>
          <w:lang w:val="en-US"/>
        </w:rPr>
      </w:pPr>
      <w:r>
        <w:tab/>
      </w:r>
      <w:r w:rsidRPr="001C7325">
        <w:rPr>
          <w:rStyle w:val="FootnoteReference"/>
          <w:sz w:val="20"/>
          <w:vertAlign w:val="baseline"/>
          <w:lang w:val="ru-RU"/>
        </w:rPr>
        <w:t>*</w:t>
      </w:r>
      <w:r w:rsidRPr="001C7325">
        <w:rPr>
          <w:lang w:val="ru-RU"/>
        </w:rPr>
        <w:t xml:space="preserve"> </w:t>
      </w:r>
      <w:r w:rsidRPr="001C732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1C7325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62682F" w:rsidRPr="0062682F">
      <w:rPr>
        <w:lang w:val="en-US"/>
      </w:rPr>
      <w:t>TRANS/WP.29/2017/25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62682F" w:rsidRPr="0062682F">
      <w:rPr>
        <w:lang w:val="en-US"/>
      </w:rPr>
      <w:t>TRANS/WP.29/2017/25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D"/>
    <w:rsid w:val="000450D1"/>
    <w:rsid w:val="000A534D"/>
    <w:rsid w:val="000B1FD5"/>
    <w:rsid w:val="000F2A4F"/>
    <w:rsid w:val="001C7325"/>
    <w:rsid w:val="002036AD"/>
    <w:rsid w:val="00203F84"/>
    <w:rsid w:val="00275188"/>
    <w:rsid w:val="0028687D"/>
    <w:rsid w:val="002A795B"/>
    <w:rsid w:val="002B091C"/>
    <w:rsid w:val="002B3D40"/>
    <w:rsid w:val="002D0CCB"/>
    <w:rsid w:val="00345C79"/>
    <w:rsid w:val="00366A39"/>
    <w:rsid w:val="00412C59"/>
    <w:rsid w:val="00464FED"/>
    <w:rsid w:val="0048005C"/>
    <w:rsid w:val="004C6D99"/>
    <w:rsid w:val="004D25F8"/>
    <w:rsid w:val="004D639B"/>
    <w:rsid w:val="004E242B"/>
    <w:rsid w:val="00544379"/>
    <w:rsid w:val="00566944"/>
    <w:rsid w:val="005C5555"/>
    <w:rsid w:val="005D56BF"/>
    <w:rsid w:val="006007F0"/>
    <w:rsid w:val="0062027E"/>
    <w:rsid w:val="0062682F"/>
    <w:rsid w:val="00643644"/>
    <w:rsid w:val="00665D8D"/>
    <w:rsid w:val="006A331F"/>
    <w:rsid w:val="006A7A3B"/>
    <w:rsid w:val="006B6B57"/>
    <w:rsid w:val="006F49F1"/>
    <w:rsid w:val="007005EE"/>
    <w:rsid w:val="00705394"/>
    <w:rsid w:val="0074179F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602CB"/>
    <w:rsid w:val="00D1261C"/>
    <w:rsid w:val="00D26030"/>
    <w:rsid w:val="00D75DCE"/>
    <w:rsid w:val="00DD35AC"/>
    <w:rsid w:val="00DD479F"/>
    <w:rsid w:val="00E15E48"/>
    <w:rsid w:val="00E7529B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DEF089-8BB1-43EB-BA63-09115487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9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442D-D17D-4008-8501-18EEAB0A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</cp:lastModifiedBy>
  <cp:revision>2</cp:revision>
  <cp:lastPrinted>2017-01-09T07:45:00Z</cp:lastPrinted>
  <dcterms:created xsi:type="dcterms:W3CDTF">2017-01-19T15:11:00Z</dcterms:created>
  <dcterms:modified xsi:type="dcterms:W3CDTF">2017-01-19T15:11:00Z</dcterms:modified>
</cp:coreProperties>
</file>