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96382">
            <w:bookmarkStart w:id="0" w:name="_GoBack"/>
            <w:bookmarkEnd w:id="0"/>
          </w:p>
        </w:tc>
        <w:tc>
          <w:tcPr>
            <w:tcW w:w="2268" w:type="dxa"/>
            <w:tcBorders>
              <w:bottom w:val="single" w:sz="4" w:space="0" w:color="auto"/>
            </w:tcBorders>
            <w:vAlign w:val="bottom"/>
          </w:tcPr>
          <w:p w:rsidR="00F35BAF" w:rsidRPr="00DB58B5" w:rsidRDefault="00F35BAF" w:rsidP="008F37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96382" w:rsidP="00A96382">
            <w:pPr>
              <w:jc w:val="right"/>
            </w:pPr>
            <w:r w:rsidRPr="00A96382">
              <w:rPr>
                <w:sz w:val="40"/>
              </w:rPr>
              <w:t>ECE</w:t>
            </w:r>
            <w:r>
              <w:t>/TRANS/WP.29/2017/9</w:t>
            </w:r>
          </w:p>
        </w:tc>
      </w:tr>
      <w:tr w:rsidR="00F35BAF" w:rsidRPr="00DB58B5" w:rsidTr="008F3781">
        <w:trPr>
          <w:trHeight w:hRule="exact" w:val="2835"/>
        </w:trPr>
        <w:tc>
          <w:tcPr>
            <w:tcW w:w="1276" w:type="dxa"/>
            <w:tcBorders>
              <w:top w:val="single" w:sz="4" w:space="0" w:color="auto"/>
              <w:bottom w:val="single" w:sz="12" w:space="0" w:color="auto"/>
            </w:tcBorders>
          </w:tcPr>
          <w:p w:rsidR="00F35BAF" w:rsidRPr="00DB58B5" w:rsidRDefault="00F35BAF" w:rsidP="008F3781">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F378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96382" w:rsidP="008F3781">
            <w:pPr>
              <w:spacing w:before="240"/>
            </w:pPr>
            <w:r>
              <w:t>Distr. générale</w:t>
            </w:r>
          </w:p>
          <w:p w:rsidR="00A96382" w:rsidRDefault="00A96382" w:rsidP="00A96382">
            <w:pPr>
              <w:spacing w:line="240" w:lineRule="exact"/>
            </w:pPr>
            <w:r>
              <w:t>22 décembre 2016</w:t>
            </w:r>
          </w:p>
          <w:p w:rsidR="00A96382" w:rsidRDefault="00A96382" w:rsidP="00A96382">
            <w:pPr>
              <w:spacing w:line="240" w:lineRule="exact"/>
            </w:pPr>
            <w:r>
              <w:t>Français</w:t>
            </w:r>
          </w:p>
          <w:p w:rsidR="00A96382" w:rsidRPr="00DB58B5" w:rsidRDefault="00A96382" w:rsidP="00A9638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96382" w:rsidRDefault="00A96382"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96382" w:rsidRDefault="00A96382" w:rsidP="00AF0CB5">
      <w:pPr>
        <w:spacing w:before="120" w:line="240" w:lineRule="exact"/>
        <w:rPr>
          <w:b/>
        </w:rPr>
      </w:pPr>
      <w:r>
        <w:rPr>
          <w:b/>
        </w:rPr>
        <w:t>171</w:t>
      </w:r>
      <w:r w:rsidRPr="00A96382">
        <w:rPr>
          <w:b/>
          <w:vertAlign w:val="superscript"/>
        </w:rPr>
        <w:t>e</w:t>
      </w:r>
      <w:r>
        <w:rPr>
          <w:b/>
        </w:rPr>
        <w:t> session</w:t>
      </w:r>
    </w:p>
    <w:p w:rsidR="00A96382" w:rsidRDefault="00A96382" w:rsidP="00AF0CB5">
      <w:pPr>
        <w:spacing w:line="240" w:lineRule="exact"/>
      </w:pPr>
      <w:r>
        <w:t>Genève, 14-17 mars 2017</w:t>
      </w:r>
    </w:p>
    <w:p w:rsidR="00A96382" w:rsidRDefault="00A96382" w:rsidP="00AF0CB5">
      <w:pPr>
        <w:spacing w:line="240" w:lineRule="exact"/>
      </w:pPr>
      <w:r>
        <w:t>Point 4.7.2 de l’ordre du jour provisoire</w:t>
      </w:r>
    </w:p>
    <w:p w:rsidR="008F3781" w:rsidRPr="00A96382" w:rsidRDefault="008F3781" w:rsidP="00A96382">
      <w:pPr>
        <w:rPr>
          <w:b/>
          <w:lang w:val="fr-FR"/>
        </w:rPr>
      </w:pPr>
      <w:r w:rsidRPr="00A96382">
        <w:rPr>
          <w:b/>
          <w:lang w:val="fr-FR"/>
        </w:rPr>
        <w:t xml:space="preserve">Accord de </w:t>
      </w:r>
      <w:r w:rsidR="00A96382">
        <w:rPr>
          <w:b/>
          <w:lang w:val="fr-FR"/>
        </w:rPr>
        <w:t>1958 </w:t>
      </w:r>
      <w:r w:rsidRPr="00A96382">
        <w:rPr>
          <w:b/>
          <w:lang w:val="fr-FR"/>
        </w:rPr>
        <w:t>: Examen de projets d</w:t>
      </w:r>
      <w:r w:rsidR="00A96382" w:rsidRPr="00A96382">
        <w:rPr>
          <w:b/>
          <w:lang w:val="fr-FR"/>
        </w:rPr>
        <w:t>’</w:t>
      </w:r>
      <w:r w:rsidRPr="00A96382">
        <w:rPr>
          <w:b/>
          <w:lang w:val="fr-FR"/>
        </w:rPr>
        <w:t xml:space="preserve">amendements </w:t>
      </w:r>
      <w:r w:rsidR="00A96382">
        <w:rPr>
          <w:b/>
          <w:lang w:val="fr-FR"/>
        </w:rPr>
        <w:br/>
      </w:r>
      <w:r w:rsidRPr="00A96382">
        <w:rPr>
          <w:b/>
          <w:lang w:val="fr-FR"/>
        </w:rPr>
        <w:t>à des Règlements existants, soumis par le GRRF</w:t>
      </w:r>
    </w:p>
    <w:p w:rsidR="008F3781" w:rsidRPr="00A96382" w:rsidRDefault="008F3781" w:rsidP="00A96382">
      <w:pPr>
        <w:pStyle w:val="HChG"/>
        <w:rPr>
          <w:lang w:val="fr-FR"/>
        </w:rPr>
      </w:pPr>
      <w:r w:rsidRPr="00A96382">
        <w:rPr>
          <w:lang w:val="fr-FR"/>
        </w:rPr>
        <w:tab/>
      </w:r>
      <w:r w:rsidRPr="00A96382">
        <w:rPr>
          <w:lang w:val="fr-FR"/>
        </w:rPr>
        <w:tab/>
      </w:r>
      <w:r w:rsidRPr="00A96382">
        <w:rPr>
          <w:spacing w:val="2"/>
          <w:lang w:val="fr-FR"/>
        </w:rPr>
        <w:t>Proposition de complément</w:t>
      </w:r>
      <w:r w:rsidR="00A96382" w:rsidRPr="00A96382">
        <w:rPr>
          <w:spacing w:val="2"/>
          <w:lang w:val="fr-FR"/>
        </w:rPr>
        <w:t> </w:t>
      </w:r>
      <w:r w:rsidRPr="00A96382">
        <w:rPr>
          <w:spacing w:val="2"/>
          <w:lang w:val="fr-FR"/>
        </w:rPr>
        <w:t>8 au Règlement n</w:t>
      </w:r>
      <w:r w:rsidRPr="00A96382">
        <w:rPr>
          <w:spacing w:val="2"/>
          <w:vertAlign w:val="superscript"/>
          <w:lang w:val="fr-FR"/>
        </w:rPr>
        <w:t>o</w:t>
      </w:r>
      <w:r w:rsidR="00A96382" w:rsidRPr="00A96382">
        <w:rPr>
          <w:spacing w:val="2"/>
          <w:lang w:val="fr-FR"/>
        </w:rPr>
        <w:t> </w:t>
      </w:r>
      <w:r w:rsidRPr="00A96382">
        <w:rPr>
          <w:spacing w:val="2"/>
          <w:lang w:val="fr-FR"/>
        </w:rPr>
        <w:t>109</w:t>
      </w:r>
      <w:r w:rsidRPr="00A96382">
        <w:rPr>
          <w:lang w:val="fr-FR"/>
        </w:rPr>
        <w:t xml:space="preserve"> </w:t>
      </w:r>
      <w:r w:rsidRPr="00A96382">
        <w:rPr>
          <w:spacing w:val="-2"/>
          <w:lang w:val="fr-FR"/>
        </w:rPr>
        <w:t>(Pneumatiques rechapés pour les véhicules utilitaires</w:t>
      </w:r>
      <w:r w:rsidRPr="00A96382">
        <w:rPr>
          <w:lang w:val="fr-FR"/>
        </w:rPr>
        <w:t xml:space="preserve"> </w:t>
      </w:r>
      <w:r w:rsidR="00A96382">
        <w:rPr>
          <w:lang w:val="fr-FR"/>
        </w:rPr>
        <w:br/>
      </w:r>
      <w:r w:rsidRPr="00A96382">
        <w:rPr>
          <w:lang w:val="fr-FR"/>
        </w:rPr>
        <w:t>et leurs remorques)</w:t>
      </w:r>
    </w:p>
    <w:p w:rsidR="008F3781" w:rsidRPr="00A96382" w:rsidRDefault="00A96382" w:rsidP="00A96382">
      <w:pPr>
        <w:pStyle w:val="H1G"/>
        <w:rPr>
          <w:lang w:val="fr-FR"/>
        </w:rPr>
      </w:pPr>
      <w:r>
        <w:rPr>
          <w:lang w:val="fr-FR"/>
        </w:rPr>
        <w:tab/>
      </w:r>
      <w:r>
        <w:rPr>
          <w:lang w:val="fr-FR"/>
        </w:rPr>
        <w:tab/>
      </w:r>
      <w:r w:rsidR="008F3781" w:rsidRPr="00A96382">
        <w:rPr>
          <w:lang w:val="fr-FR"/>
        </w:rPr>
        <w:t xml:space="preserve">Communication du Groupe de travail en matière de roulement </w:t>
      </w:r>
      <w:r>
        <w:rPr>
          <w:lang w:val="fr-FR"/>
        </w:rPr>
        <w:br/>
      </w:r>
      <w:r w:rsidR="008F3781" w:rsidRPr="00A96382">
        <w:rPr>
          <w:lang w:val="fr-FR"/>
        </w:rPr>
        <w:t>et de freinage</w:t>
      </w:r>
      <w:r w:rsidRPr="00DC17E9">
        <w:rPr>
          <w:rStyle w:val="FootnoteReference"/>
          <w:b w:val="0"/>
          <w:sz w:val="20"/>
          <w:vertAlign w:val="baseline"/>
        </w:rPr>
        <w:footnoteReference w:customMarkFollows="1" w:id="2"/>
        <w:t>*</w:t>
      </w:r>
    </w:p>
    <w:p w:rsidR="00F9573C" w:rsidRDefault="008F3781" w:rsidP="00A736CF">
      <w:pPr>
        <w:pStyle w:val="SingleTxtG"/>
        <w:ind w:firstLine="567"/>
        <w:rPr>
          <w:lang w:val="fr-FR"/>
        </w:rPr>
      </w:pPr>
      <w:r w:rsidRPr="00A96382">
        <w:rPr>
          <w:lang w:val="fr-FR"/>
        </w:rPr>
        <w:t xml:space="preserve">Le texte reproduit ci-après a été adopté par le Groupe de travail en matière de </w:t>
      </w:r>
      <w:r w:rsidRPr="00DC17E9">
        <w:rPr>
          <w:spacing w:val="-1"/>
          <w:lang w:val="fr-FR"/>
        </w:rPr>
        <w:t>roulement et de freinage (GRRF) à sa quatre-vingt-deuxième session (ECE/TRANS/WP.29/</w:t>
      </w:r>
      <w:r w:rsidR="00DC17E9">
        <w:rPr>
          <w:lang w:val="fr-FR"/>
        </w:rPr>
        <w:br/>
      </w:r>
      <w:r w:rsidRPr="00A96382">
        <w:rPr>
          <w:lang w:val="fr-FR"/>
        </w:rPr>
        <w:t>GRRF/82, par. 55). Il est fondé sur les documents ECE/TRANS/WP.29/GRRF/2016/40 et ECE/TRANS/WP.29/GRRF/2016/41</w:t>
      </w:r>
      <w:r w:rsidRPr="00A96382">
        <w:rPr>
          <w:bCs/>
          <w:lang w:val="fr-FR"/>
        </w:rPr>
        <w:t xml:space="preserve">. </w:t>
      </w:r>
      <w:r w:rsidRPr="00A96382">
        <w:rPr>
          <w:lang w:val="fr-FR"/>
        </w:rPr>
        <w:t>Il est soumis au Forum mondial de l</w:t>
      </w:r>
      <w:r w:rsidR="00A96382" w:rsidRPr="00A96382">
        <w:rPr>
          <w:lang w:val="fr-FR"/>
        </w:rPr>
        <w:t>’</w:t>
      </w:r>
      <w:r w:rsidRPr="00A96382">
        <w:rPr>
          <w:lang w:val="fr-FR"/>
        </w:rPr>
        <w:t>harmonisation des Règlements concernant les véhicules (WP.29) et au Comité d</w:t>
      </w:r>
      <w:r w:rsidR="00A96382" w:rsidRPr="00A96382">
        <w:rPr>
          <w:lang w:val="fr-FR"/>
        </w:rPr>
        <w:t>’</w:t>
      </w:r>
      <w:r w:rsidRPr="00A96382">
        <w:rPr>
          <w:lang w:val="fr-FR"/>
        </w:rPr>
        <w:t>administration (AC.1) pour examen à leur session de mars 2017.</w:t>
      </w:r>
    </w:p>
    <w:p w:rsidR="008F3781" w:rsidRPr="00880DE8" w:rsidRDefault="00A736CF" w:rsidP="008F3781">
      <w:pPr>
        <w:pStyle w:val="HChG"/>
        <w:rPr>
          <w:lang w:val="fr-FR"/>
        </w:rPr>
      </w:pPr>
      <w:r>
        <w:rPr>
          <w:lang w:val="fr-FR"/>
        </w:rPr>
        <w:br w:type="page"/>
      </w:r>
      <w:r w:rsidR="008F3781">
        <w:rPr>
          <w:lang w:val="fr-FR"/>
        </w:rPr>
        <w:lastRenderedPageBreak/>
        <w:tab/>
      </w:r>
      <w:r w:rsidR="008F3781">
        <w:rPr>
          <w:lang w:val="fr-FR"/>
        </w:rPr>
        <w:tab/>
      </w:r>
      <w:r w:rsidR="008F3781" w:rsidRPr="00880DE8">
        <w:rPr>
          <w:lang w:val="fr-FR"/>
        </w:rPr>
        <w:t>Complément</w:t>
      </w:r>
      <w:r w:rsidR="008F3781">
        <w:rPr>
          <w:lang w:val="fr-FR"/>
        </w:rPr>
        <w:t> </w:t>
      </w:r>
      <w:r w:rsidR="008F3781" w:rsidRPr="00880DE8">
        <w:rPr>
          <w:lang w:val="fr-FR"/>
        </w:rPr>
        <w:t>8 au Règlement n</w:t>
      </w:r>
      <w:r w:rsidR="008F3781" w:rsidRPr="008F3781">
        <w:rPr>
          <w:vertAlign w:val="superscript"/>
          <w:lang w:val="fr-FR"/>
        </w:rPr>
        <w:t>o</w:t>
      </w:r>
      <w:r w:rsidR="008F3781">
        <w:rPr>
          <w:lang w:val="fr-FR"/>
        </w:rPr>
        <w:t> </w:t>
      </w:r>
      <w:r w:rsidR="008F3781" w:rsidRPr="00880DE8">
        <w:rPr>
          <w:lang w:val="fr-FR"/>
        </w:rPr>
        <w:t>109 (Pneumatiques rechapés pour les véhicules utilitaires et leurs remorques)</w:t>
      </w:r>
    </w:p>
    <w:p w:rsidR="008F3781" w:rsidRPr="00880DE8" w:rsidRDefault="008F3781" w:rsidP="00344E5D">
      <w:pPr>
        <w:pStyle w:val="SingleTxtG"/>
        <w:rPr>
          <w:i/>
          <w:lang w:val="fr-FR"/>
        </w:rPr>
      </w:pPr>
      <w:r w:rsidRPr="00880DE8">
        <w:rPr>
          <w:i/>
          <w:lang w:val="fr-FR"/>
        </w:rPr>
        <w:t>Paragraphe 3.2.14.1</w:t>
      </w:r>
      <w:r w:rsidRPr="00355EE0">
        <w:rPr>
          <w:lang w:val="fr-FR"/>
        </w:rPr>
        <w:t xml:space="preserve">, </w:t>
      </w:r>
      <w:r w:rsidRPr="00880DE8">
        <w:rPr>
          <w:lang w:val="fr-FR"/>
        </w:rPr>
        <w:t>lire</w:t>
      </w:r>
      <w:r>
        <w:rPr>
          <w:lang w:val="fr-FR"/>
        </w:rPr>
        <w:t> </w:t>
      </w:r>
      <w:r w:rsidRPr="00880DE8">
        <w:rPr>
          <w:lang w:val="fr-FR"/>
        </w:rPr>
        <w:t>:</w:t>
      </w:r>
    </w:p>
    <w:p w:rsidR="008F3781" w:rsidRPr="00880DE8" w:rsidRDefault="008F3781" w:rsidP="008F3781">
      <w:pPr>
        <w:pStyle w:val="SingleTxtG"/>
        <w:ind w:left="2268" w:hanging="1134"/>
        <w:rPr>
          <w:lang w:val="fr-FR"/>
        </w:rPr>
      </w:pPr>
      <w:r>
        <w:rPr>
          <w:lang w:val="fr-FR"/>
        </w:rPr>
        <w:t>« </w:t>
      </w:r>
      <w:r w:rsidRPr="00880DE8">
        <w:rPr>
          <w:lang w:val="fr-FR"/>
        </w:rPr>
        <w:t>3.2.14.1</w:t>
      </w:r>
      <w:r w:rsidRPr="00880DE8">
        <w:rPr>
          <w:lang w:val="fr-FR"/>
        </w:rPr>
        <w:tab/>
        <w:t>Cette indication est facultative pour les pneumatiques montés sur jantes à base creuse à épaulement de 5° se prêtant à un montage simple ou jumelé, dont l</w:t>
      </w:r>
      <w:r w:rsidR="00880DE8" w:rsidRPr="00880DE8">
        <w:rPr>
          <w:lang w:val="fr-FR"/>
        </w:rPr>
        <w:t>’</w:t>
      </w:r>
      <w:r w:rsidRPr="00880DE8">
        <w:rPr>
          <w:lang w:val="fr-FR"/>
        </w:rPr>
        <w:t>indice de charge en montage simple est au maximum de 121 et qui sont destinés aux véhicules automobiles.</w:t>
      </w:r>
      <w:r>
        <w:rPr>
          <w:lang w:val="fr-FR"/>
        </w:rPr>
        <w:t> »</w:t>
      </w:r>
      <w:r w:rsidRPr="00880DE8">
        <w:rPr>
          <w:lang w:val="fr-FR"/>
        </w:rPr>
        <w:t>.</w:t>
      </w:r>
    </w:p>
    <w:p w:rsidR="008F3781" w:rsidRPr="00880DE8" w:rsidRDefault="008F3781" w:rsidP="00344E5D">
      <w:pPr>
        <w:pStyle w:val="SingleTxtG"/>
        <w:rPr>
          <w:lang w:val="fr-FR"/>
        </w:rPr>
      </w:pPr>
      <w:r w:rsidRPr="00880DE8">
        <w:rPr>
          <w:i/>
          <w:lang w:val="fr-FR"/>
        </w:rPr>
        <w:t>Paragraphe 3.2.14.2</w:t>
      </w:r>
      <w:r w:rsidRPr="00355EE0">
        <w:rPr>
          <w:lang w:val="fr-FR"/>
        </w:rPr>
        <w:t xml:space="preserve">, </w:t>
      </w:r>
      <w:r w:rsidRPr="00880DE8">
        <w:rPr>
          <w:lang w:val="fr-FR"/>
        </w:rPr>
        <w:t>lire</w:t>
      </w:r>
      <w:r>
        <w:rPr>
          <w:lang w:val="fr-FR"/>
        </w:rPr>
        <w:t> </w:t>
      </w:r>
      <w:r w:rsidRPr="00880DE8">
        <w:rPr>
          <w:lang w:val="fr-FR"/>
        </w:rPr>
        <w:t>:</w:t>
      </w:r>
    </w:p>
    <w:p w:rsidR="008F3781" w:rsidRPr="00880DE8" w:rsidRDefault="008F3781" w:rsidP="008F3781">
      <w:pPr>
        <w:pStyle w:val="SingleTxtG"/>
        <w:ind w:left="2268" w:hanging="1134"/>
        <w:rPr>
          <w:lang w:val="fr-FR"/>
        </w:rPr>
      </w:pPr>
      <w:r>
        <w:rPr>
          <w:lang w:val="fr-FR"/>
        </w:rPr>
        <w:t>« </w:t>
      </w:r>
      <w:r w:rsidRPr="00880DE8">
        <w:rPr>
          <w:lang w:val="fr-FR"/>
        </w:rPr>
        <w:t>3.2.14.2</w:t>
      </w:r>
      <w:r w:rsidRPr="00880DE8">
        <w:rPr>
          <w:lang w:val="fr-FR"/>
        </w:rPr>
        <w:tab/>
        <w:t>Cette indication est obligatoire pour les pneumatiques montés sur jantes à base creuse à épaulement de 5° se prêtant uniquement à un montage simple, dont l</w:t>
      </w:r>
      <w:r w:rsidR="00880DE8" w:rsidRPr="00880DE8">
        <w:rPr>
          <w:lang w:val="fr-FR"/>
        </w:rPr>
        <w:t>’</w:t>
      </w:r>
      <w:r w:rsidRPr="00880DE8">
        <w:rPr>
          <w:lang w:val="fr-FR"/>
        </w:rPr>
        <w:t>indice de charge est au minimum de 122 et qui sont destinés aux véhicules automobiles.</w:t>
      </w:r>
      <w:r>
        <w:rPr>
          <w:lang w:val="fr-FR"/>
        </w:rPr>
        <w:t> »</w:t>
      </w:r>
      <w:r w:rsidRPr="00880DE8">
        <w:rPr>
          <w:lang w:val="fr-FR"/>
        </w:rPr>
        <w:t>.</w:t>
      </w:r>
    </w:p>
    <w:p w:rsidR="008F3781" w:rsidRPr="00880DE8" w:rsidRDefault="008F3781" w:rsidP="00344E5D">
      <w:pPr>
        <w:pStyle w:val="SingleTxtG"/>
        <w:rPr>
          <w:lang w:val="fr-FR"/>
        </w:rPr>
      </w:pPr>
      <w:r w:rsidRPr="00880DE8">
        <w:rPr>
          <w:i/>
          <w:lang w:val="fr-FR"/>
        </w:rPr>
        <w:t>Paragraphe 3.2.15</w:t>
      </w:r>
      <w:r w:rsidRPr="00355EE0">
        <w:rPr>
          <w:lang w:val="fr-FR"/>
        </w:rPr>
        <w:t xml:space="preserve">, </w:t>
      </w:r>
      <w:r w:rsidRPr="00880DE8">
        <w:rPr>
          <w:lang w:val="fr-FR"/>
        </w:rPr>
        <w:t>lire</w:t>
      </w:r>
      <w:r>
        <w:rPr>
          <w:lang w:val="fr-FR"/>
        </w:rPr>
        <w:t> </w:t>
      </w:r>
      <w:r w:rsidRPr="00880DE8">
        <w:rPr>
          <w:lang w:val="fr-FR"/>
        </w:rPr>
        <w:t>:</w:t>
      </w:r>
    </w:p>
    <w:p w:rsidR="008F3781" w:rsidRPr="00880DE8" w:rsidRDefault="008F3781" w:rsidP="008F3781">
      <w:pPr>
        <w:pStyle w:val="SingleTxtG"/>
        <w:ind w:left="2268" w:hanging="1134"/>
        <w:rPr>
          <w:lang w:val="fr-FR"/>
        </w:rPr>
      </w:pPr>
      <w:r>
        <w:rPr>
          <w:lang w:val="fr-FR"/>
        </w:rPr>
        <w:t>« 3.2.15</w:t>
      </w:r>
      <w:r w:rsidRPr="00880DE8">
        <w:rPr>
          <w:lang w:val="fr-FR"/>
        </w:rPr>
        <w:tab/>
        <w:t>La mention “CP” après la marque du diamètre de la jante visée au paragraphe</w:t>
      </w:r>
      <w:r w:rsidR="00355EE0">
        <w:rPr>
          <w:lang w:val="fr-FR"/>
        </w:rPr>
        <w:t> </w:t>
      </w:r>
      <w:r w:rsidRPr="00880DE8">
        <w:rPr>
          <w:lang w:val="fr-FR"/>
        </w:rPr>
        <w:t>2.21.3 et, le cas échéant, après le symbole de la configuration du montage du pneumatique sur la jante visé au paragraphe</w:t>
      </w:r>
      <w:r>
        <w:rPr>
          <w:lang w:val="fr-FR"/>
        </w:rPr>
        <w:t> </w:t>
      </w:r>
      <w:r w:rsidRPr="00880DE8">
        <w:rPr>
          <w:lang w:val="fr-FR"/>
        </w:rPr>
        <w:t>2.21.4. Cette indication est obligatoire pour les pneumatiques montés sur jantes à base creuse à épaulement de 5°, dont l</w:t>
      </w:r>
      <w:r w:rsidR="00880DE8" w:rsidRPr="00880DE8">
        <w:rPr>
          <w:lang w:val="fr-FR"/>
        </w:rPr>
        <w:t>’</w:t>
      </w:r>
      <w:r w:rsidRPr="00880DE8">
        <w:rPr>
          <w:lang w:val="fr-FR"/>
        </w:rPr>
        <w:t>indice de charge en montage simple est au maximum de 121 et qui sont conçus spécifiquement pour les autocaravanes.</w:t>
      </w:r>
      <w:r w:rsidR="00355EE0">
        <w:rPr>
          <w:lang w:val="fr-FR"/>
        </w:rPr>
        <w:t> »</w:t>
      </w:r>
      <w:r w:rsidRPr="00880DE8">
        <w:rPr>
          <w:lang w:val="fr-FR"/>
        </w:rPr>
        <w:t>.</w:t>
      </w:r>
    </w:p>
    <w:p w:rsidR="008F3781" w:rsidRPr="00880DE8" w:rsidRDefault="008F3781" w:rsidP="00344E5D">
      <w:pPr>
        <w:pStyle w:val="SingleTxtG"/>
        <w:rPr>
          <w:i/>
          <w:lang w:val="fr-FR"/>
        </w:rPr>
      </w:pPr>
      <w:r w:rsidRPr="00880DE8">
        <w:rPr>
          <w:i/>
          <w:lang w:val="fr-FR"/>
        </w:rPr>
        <w:t>Annexe 3</w:t>
      </w:r>
      <w:r w:rsidRPr="00355EE0">
        <w:rPr>
          <w:lang w:val="fr-FR"/>
        </w:rPr>
        <w:t>,</w:t>
      </w:r>
      <w:r w:rsidRPr="00880DE8">
        <w:rPr>
          <w:i/>
          <w:lang w:val="fr-FR"/>
        </w:rPr>
        <w:t xml:space="preserve"> </w:t>
      </w:r>
      <w:r w:rsidRPr="00880DE8">
        <w:rPr>
          <w:lang w:val="fr-FR"/>
        </w:rPr>
        <w:t>lire le tableau comme suit</w:t>
      </w:r>
      <w:r w:rsidR="00355EE0">
        <w:rPr>
          <w:lang w:val="fr-FR"/>
        </w:rPr>
        <w:t> </w:t>
      </w:r>
      <w:r w:rsidRPr="00880DE8">
        <w:rPr>
          <w:lang w:val="fr-FR"/>
        </w:rPr>
        <w:t>:</w:t>
      </w:r>
    </w:p>
    <w:p w:rsidR="008F3781" w:rsidRPr="00880DE8" w:rsidRDefault="00355EE0" w:rsidP="00344E5D">
      <w:pPr>
        <w:pStyle w:val="SingleTxtG"/>
        <w:ind w:left="2268" w:hanging="1134"/>
      </w:pPr>
      <w:r>
        <w: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
        <w:gridCol w:w="6292"/>
      </w:tblGrid>
      <w:tr w:rsidR="008F3781" w:rsidRPr="00355EE0" w:rsidTr="004E3E38">
        <w:trPr>
          <w:tblHeader/>
        </w:trPr>
        <w:tc>
          <w:tcPr>
            <w:tcW w:w="996" w:type="dxa"/>
            <w:tcBorders>
              <w:top w:val="single" w:sz="4" w:space="0" w:color="auto"/>
              <w:bottom w:val="single" w:sz="12" w:space="0" w:color="auto"/>
            </w:tcBorders>
            <w:shd w:val="clear" w:color="auto" w:fill="auto"/>
            <w:vAlign w:val="bottom"/>
          </w:tcPr>
          <w:p w:rsidR="008F3781" w:rsidRPr="00355EE0" w:rsidRDefault="008F3781" w:rsidP="00355EE0">
            <w:pPr>
              <w:suppressAutoHyphens w:val="0"/>
              <w:spacing w:before="80" w:after="80" w:line="200" w:lineRule="exact"/>
              <w:rPr>
                <w:i/>
                <w:sz w:val="16"/>
                <w:lang w:val="en-US"/>
              </w:rPr>
            </w:pPr>
          </w:p>
        </w:tc>
        <w:tc>
          <w:tcPr>
            <w:tcW w:w="5811" w:type="dxa"/>
            <w:tcBorders>
              <w:top w:val="single" w:sz="4" w:space="0" w:color="auto"/>
              <w:bottom w:val="single" w:sz="12" w:space="0" w:color="auto"/>
            </w:tcBorders>
            <w:shd w:val="clear" w:color="auto" w:fill="auto"/>
            <w:vAlign w:val="bottom"/>
          </w:tcPr>
          <w:p w:rsidR="008F3781" w:rsidRPr="00355EE0" w:rsidRDefault="008F3781" w:rsidP="00355EE0">
            <w:pPr>
              <w:suppressAutoHyphens w:val="0"/>
              <w:spacing w:before="80" w:after="80" w:line="200" w:lineRule="exact"/>
              <w:jc w:val="center"/>
              <w:rPr>
                <w:i/>
                <w:sz w:val="16"/>
                <w:lang w:val="fr-FR"/>
              </w:rPr>
            </w:pPr>
            <w:r w:rsidRPr="00355EE0">
              <w:rPr>
                <w:i/>
                <w:sz w:val="16"/>
                <w:lang w:val="fr-FR"/>
              </w:rPr>
              <w:t>Hauteurs minimales des inscriptions (mm)</w:t>
            </w:r>
          </w:p>
        </w:tc>
      </w:tr>
      <w:tr w:rsidR="008F3781" w:rsidRPr="00355EE0" w:rsidTr="004E3E38">
        <w:tc>
          <w:tcPr>
            <w:tcW w:w="996" w:type="dxa"/>
            <w:tcBorders>
              <w:top w:val="single" w:sz="12" w:space="0" w:color="auto"/>
            </w:tcBorders>
            <w:shd w:val="clear" w:color="auto" w:fill="auto"/>
          </w:tcPr>
          <w:p w:rsidR="008F3781" w:rsidRPr="00355EE0" w:rsidRDefault="008F3781" w:rsidP="00355EE0">
            <w:pPr>
              <w:suppressAutoHyphens w:val="0"/>
              <w:spacing w:before="40" w:after="40" w:line="220" w:lineRule="exact"/>
              <w:jc w:val="center"/>
              <w:rPr>
                <w:sz w:val="18"/>
                <w:lang w:val="en-US"/>
              </w:rPr>
            </w:pPr>
            <w:r w:rsidRPr="00355EE0">
              <w:rPr>
                <w:sz w:val="18"/>
                <w:lang w:val="en-US"/>
              </w:rPr>
              <w:t>b</w:t>
            </w:r>
          </w:p>
        </w:tc>
        <w:tc>
          <w:tcPr>
            <w:tcW w:w="5811" w:type="dxa"/>
            <w:tcBorders>
              <w:top w:val="single" w:sz="12" w:space="0" w:color="auto"/>
            </w:tcBorders>
            <w:shd w:val="clear" w:color="auto" w:fill="auto"/>
            <w:vAlign w:val="bottom"/>
          </w:tcPr>
          <w:p w:rsidR="008F3781" w:rsidRPr="00355EE0" w:rsidRDefault="008F3781" w:rsidP="00355EE0">
            <w:pPr>
              <w:suppressAutoHyphens w:val="0"/>
              <w:spacing w:before="40" w:after="40" w:line="220" w:lineRule="exact"/>
              <w:jc w:val="center"/>
              <w:rPr>
                <w:sz w:val="18"/>
                <w:lang w:val="en-US"/>
              </w:rPr>
            </w:pPr>
            <w:r w:rsidRPr="00355EE0">
              <w:rPr>
                <w:sz w:val="18"/>
                <w:lang w:val="en-US"/>
              </w:rPr>
              <w:t>6</w:t>
            </w:r>
          </w:p>
        </w:tc>
      </w:tr>
      <w:tr w:rsidR="008F3781" w:rsidRPr="00355EE0" w:rsidTr="004E3E38">
        <w:tc>
          <w:tcPr>
            <w:tcW w:w="996" w:type="dxa"/>
            <w:shd w:val="clear" w:color="auto" w:fill="auto"/>
          </w:tcPr>
          <w:p w:rsidR="008F3781" w:rsidRPr="00355EE0" w:rsidRDefault="008F3781" w:rsidP="00355EE0">
            <w:pPr>
              <w:suppressAutoHyphens w:val="0"/>
              <w:spacing w:before="40" w:after="40" w:line="220" w:lineRule="exact"/>
              <w:jc w:val="center"/>
              <w:rPr>
                <w:sz w:val="18"/>
                <w:lang w:val="en-US"/>
              </w:rPr>
            </w:pPr>
            <w:r w:rsidRPr="00355EE0">
              <w:rPr>
                <w:sz w:val="18"/>
                <w:lang w:val="en-US"/>
              </w:rPr>
              <w:t>c</w:t>
            </w:r>
          </w:p>
        </w:tc>
        <w:tc>
          <w:tcPr>
            <w:tcW w:w="5811" w:type="dxa"/>
            <w:shd w:val="clear" w:color="auto" w:fill="auto"/>
            <w:vAlign w:val="bottom"/>
          </w:tcPr>
          <w:p w:rsidR="008F3781" w:rsidRPr="00355EE0" w:rsidRDefault="008F3781" w:rsidP="00355EE0">
            <w:pPr>
              <w:suppressAutoHyphens w:val="0"/>
              <w:spacing w:before="40" w:after="40" w:line="220" w:lineRule="exact"/>
              <w:jc w:val="center"/>
              <w:rPr>
                <w:sz w:val="18"/>
                <w:lang w:val="en-US"/>
              </w:rPr>
            </w:pPr>
            <w:r w:rsidRPr="00355EE0">
              <w:rPr>
                <w:sz w:val="18"/>
                <w:lang w:val="en-US"/>
              </w:rPr>
              <w:t>4</w:t>
            </w:r>
          </w:p>
        </w:tc>
      </w:tr>
      <w:tr w:rsidR="008F3781" w:rsidRPr="00355EE0" w:rsidTr="004E3E38">
        <w:tc>
          <w:tcPr>
            <w:tcW w:w="996" w:type="dxa"/>
            <w:shd w:val="clear" w:color="auto" w:fill="auto"/>
          </w:tcPr>
          <w:p w:rsidR="008F3781" w:rsidRPr="00355EE0" w:rsidRDefault="008F3781" w:rsidP="00355EE0">
            <w:pPr>
              <w:suppressAutoHyphens w:val="0"/>
              <w:spacing w:before="40" w:after="40" w:line="220" w:lineRule="exact"/>
              <w:jc w:val="center"/>
              <w:rPr>
                <w:sz w:val="18"/>
                <w:lang w:val="en-US"/>
              </w:rPr>
            </w:pPr>
            <w:r w:rsidRPr="00355EE0">
              <w:rPr>
                <w:sz w:val="18"/>
                <w:lang w:val="en-US"/>
              </w:rPr>
              <w:t>d</w:t>
            </w:r>
          </w:p>
        </w:tc>
        <w:tc>
          <w:tcPr>
            <w:tcW w:w="5811" w:type="dxa"/>
            <w:shd w:val="clear" w:color="auto" w:fill="auto"/>
            <w:vAlign w:val="bottom"/>
          </w:tcPr>
          <w:p w:rsidR="008F3781" w:rsidRPr="00355EE0" w:rsidRDefault="008F3781" w:rsidP="00355EE0">
            <w:pPr>
              <w:suppressAutoHyphens w:val="0"/>
              <w:spacing w:before="40" w:after="40" w:line="220" w:lineRule="exact"/>
              <w:jc w:val="center"/>
              <w:rPr>
                <w:sz w:val="18"/>
                <w:lang w:val="en-US"/>
              </w:rPr>
            </w:pPr>
            <w:r w:rsidRPr="00355EE0">
              <w:rPr>
                <w:sz w:val="18"/>
                <w:lang w:val="en-US"/>
              </w:rPr>
              <w:t>6</w:t>
            </w:r>
          </w:p>
        </w:tc>
      </w:tr>
    </w:tbl>
    <w:p w:rsidR="008F3781" w:rsidRPr="00880DE8" w:rsidRDefault="00355EE0" w:rsidP="00344E5D">
      <w:pPr>
        <w:pStyle w:val="SingleTxtG"/>
        <w:jc w:val="right"/>
      </w:pPr>
      <w:r>
        <w:t> »</w:t>
      </w:r>
      <w:r w:rsidR="008F3781" w:rsidRPr="00880DE8">
        <w:t>.</w:t>
      </w:r>
    </w:p>
    <w:p w:rsidR="008F3781" w:rsidRPr="00880DE8" w:rsidRDefault="00344E5D" w:rsidP="00344E5D">
      <w:pPr>
        <w:pStyle w:val="SingleTxtG"/>
        <w:rPr>
          <w:i/>
          <w:lang w:val="en-US"/>
        </w:rPr>
      </w:pPr>
      <w:r>
        <w:rPr>
          <w:i/>
          <w:lang w:val="en-US"/>
        </w:rPr>
        <w:t>Annexe 7,</w:t>
      </w:r>
    </w:p>
    <w:p w:rsidR="008F3781" w:rsidRPr="00880DE8" w:rsidRDefault="008F3781" w:rsidP="00344E5D">
      <w:pPr>
        <w:pStyle w:val="SingleTxtG"/>
        <w:spacing w:line="220" w:lineRule="atLeast"/>
        <w:rPr>
          <w:lang w:val="en-US"/>
        </w:rPr>
      </w:pPr>
      <w:r w:rsidRPr="00880DE8">
        <w:rPr>
          <w:i/>
          <w:lang w:val="en-US"/>
        </w:rPr>
        <w:t>Paragraphe 2.1,</w:t>
      </w:r>
      <w:r w:rsidRPr="00880DE8">
        <w:rPr>
          <w:lang w:val="en-US"/>
        </w:rPr>
        <w:t xml:space="preserve"> lire</w:t>
      </w:r>
      <w:r w:rsidR="00355EE0">
        <w:rPr>
          <w:lang w:val="fr-FR"/>
        </w:rPr>
        <w:t> </w:t>
      </w:r>
      <w:r w:rsidRPr="00880DE8">
        <w:rPr>
          <w:lang w:val="en-US"/>
        </w:rPr>
        <w:t>:</w:t>
      </w:r>
    </w:p>
    <w:p w:rsidR="008F3781" w:rsidRPr="00880DE8" w:rsidRDefault="00355EE0" w:rsidP="008F3781">
      <w:pPr>
        <w:pStyle w:val="SingleTxtG"/>
        <w:ind w:left="2268" w:hanging="1134"/>
        <w:rPr>
          <w:lang w:val="fr-FR"/>
        </w:rPr>
      </w:pPr>
      <w:r>
        <w:rPr>
          <w:lang w:val="fr-FR"/>
        </w:rPr>
        <w:t>« </w:t>
      </w:r>
      <w:r w:rsidR="008F3781" w:rsidRPr="00880DE8">
        <w:rPr>
          <w:lang w:val="fr-FR"/>
        </w:rPr>
        <w:t>2.1</w:t>
      </w:r>
      <w:r w:rsidR="008F3781" w:rsidRPr="00880DE8">
        <w:rPr>
          <w:lang w:val="fr-FR"/>
        </w:rPr>
        <w:tab/>
      </w:r>
      <w:r w:rsidR="008F3781" w:rsidRPr="00880DE8">
        <w:rPr>
          <w:lang w:val="fr-FR"/>
        </w:rPr>
        <w:tab/>
        <w:t>Monter l</w:t>
      </w:r>
      <w:r w:rsidR="00880DE8" w:rsidRPr="00880DE8">
        <w:rPr>
          <w:lang w:val="fr-FR"/>
        </w:rPr>
        <w:t>’</w:t>
      </w:r>
      <w:r w:rsidR="008F3781" w:rsidRPr="00880DE8">
        <w:rPr>
          <w:lang w:val="fr-FR"/>
        </w:rPr>
        <w:t>ensemble pneumatique et roue sur l</w:t>
      </w:r>
      <w:r w:rsidR="00880DE8" w:rsidRPr="00880DE8">
        <w:rPr>
          <w:lang w:val="fr-FR"/>
        </w:rPr>
        <w:t>’</w:t>
      </w:r>
      <w:r w:rsidR="008F3781" w:rsidRPr="00880DE8">
        <w:rPr>
          <w:lang w:val="fr-FR"/>
        </w:rPr>
        <w:t>axe d</w:t>
      </w:r>
      <w:r w:rsidR="00880DE8" w:rsidRPr="00880DE8">
        <w:rPr>
          <w:lang w:val="fr-FR"/>
        </w:rPr>
        <w:t>’</w:t>
      </w:r>
      <w:r w:rsidR="008F3781" w:rsidRPr="00880DE8">
        <w:rPr>
          <w:lang w:val="fr-FR"/>
        </w:rPr>
        <w:t>essai et l</w:t>
      </w:r>
      <w:r w:rsidR="00880DE8" w:rsidRPr="00880DE8">
        <w:rPr>
          <w:lang w:val="fr-FR"/>
        </w:rPr>
        <w:t>’</w:t>
      </w:r>
      <w:r w:rsidR="008F3781" w:rsidRPr="00880DE8">
        <w:rPr>
          <w:lang w:val="fr-FR"/>
        </w:rPr>
        <w:t>appliquer sur la face extérieure d</w:t>
      </w:r>
      <w:r w:rsidR="00880DE8" w:rsidRPr="00880DE8">
        <w:rPr>
          <w:lang w:val="fr-FR"/>
        </w:rPr>
        <w:t>’</w:t>
      </w:r>
      <w:r w:rsidR="008F3781" w:rsidRPr="00880DE8">
        <w:rPr>
          <w:lang w:val="fr-FR"/>
        </w:rPr>
        <w:t>un tambour d</w:t>
      </w:r>
      <w:r w:rsidR="00880DE8" w:rsidRPr="00880DE8">
        <w:rPr>
          <w:lang w:val="fr-FR"/>
        </w:rPr>
        <w:t>’</w:t>
      </w:r>
      <w:r w:rsidR="008F3781" w:rsidRPr="00880DE8">
        <w:rPr>
          <w:lang w:val="fr-FR"/>
        </w:rPr>
        <w:t>essai moteur lisse de 1,70</w:t>
      </w:r>
      <w:r>
        <w:rPr>
          <w:lang w:val="fr-FR"/>
        </w:rPr>
        <w:t> </w:t>
      </w:r>
      <w:r w:rsidR="008F3781" w:rsidRPr="00880DE8">
        <w:rPr>
          <w:lang w:val="fr-FR"/>
        </w:rPr>
        <w:t>m ± 1</w:t>
      </w:r>
      <w:r>
        <w:rPr>
          <w:lang w:val="fr-FR"/>
        </w:rPr>
        <w:t> </w:t>
      </w:r>
      <w:r w:rsidR="008F3781" w:rsidRPr="00880DE8">
        <w:rPr>
          <w:lang w:val="fr-FR"/>
        </w:rPr>
        <w:t>% de diamètre ayant une surface au moins aussi large que la bande de roulement du pneumatique.</w:t>
      </w:r>
      <w:r>
        <w:rPr>
          <w:lang w:val="fr-FR"/>
        </w:rPr>
        <w:t> »</w:t>
      </w:r>
      <w:r w:rsidR="008F3781" w:rsidRPr="00880DE8">
        <w:rPr>
          <w:lang w:val="fr-FR"/>
        </w:rPr>
        <w:t>.</w:t>
      </w:r>
    </w:p>
    <w:p w:rsidR="008F3781" w:rsidRPr="00880DE8" w:rsidRDefault="008F3781" w:rsidP="00344E5D">
      <w:pPr>
        <w:pStyle w:val="SingleTxtG"/>
        <w:rPr>
          <w:lang w:val="fr-FR"/>
        </w:rPr>
      </w:pPr>
      <w:r w:rsidRPr="00880DE8">
        <w:rPr>
          <w:i/>
          <w:lang w:val="fr-FR"/>
        </w:rPr>
        <w:t>Paragraphe 2.2</w:t>
      </w:r>
      <w:r w:rsidRPr="00355EE0">
        <w:rPr>
          <w:lang w:val="fr-FR"/>
        </w:rPr>
        <w:t>,</w:t>
      </w:r>
      <w:r w:rsidR="00355EE0" w:rsidRPr="00355EE0">
        <w:rPr>
          <w:lang w:val="fr-FR"/>
        </w:rPr>
        <w:t xml:space="preserve"> </w:t>
      </w:r>
      <w:r w:rsidRPr="00880DE8">
        <w:rPr>
          <w:lang w:val="fr-FR"/>
        </w:rPr>
        <w:t>lire</w:t>
      </w:r>
      <w:r w:rsidR="00355EE0">
        <w:rPr>
          <w:lang w:val="fr-FR"/>
        </w:rPr>
        <w:t> </w:t>
      </w:r>
      <w:r w:rsidRPr="00880DE8">
        <w:rPr>
          <w:lang w:val="fr-FR"/>
        </w:rPr>
        <w:t>:</w:t>
      </w:r>
    </w:p>
    <w:p w:rsidR="008F3781" w:rsidRPr="00880DE8" w:rsidRDefault="00355EE0" w:rsidP="008F3781">
      <w:pPr>
        <w:pStyle w:val="SingleTxtG"/>
        <w:ind w:left="2268" w:hanging="1134"/>
        <w:rPr>
          <w:lang w:val="fr-FR"/>
        </w:rPr>
      </w:pPr>
      <w:r>
        <w:rPr>
          <w:lang w:val="fr-FR"/>
        </w:rPr>
        <w:t>« 2.2</w:t>
      </w:r>
      <w:r w:rsidR="008F3781" w:rsidRPr="00880DE8">
        <w:rPr>
          <w:lang w:val="fr-FR"/>
        </w:rPr>
        <w:tab/>
        <w:t>Appliquer sur l</w:t>
      </w:r>
      <w:r w:rsidR="00880DE8" w:rsidRPr="00880DE8">
        <w:rPr>
          <w:lang w:val="fr-FR"/>
        </w:rPr>
        <w:t>’</w:t>
      </w:r>
      <w:r w:rsidR="008F3781" w:rsidRPr="00880DE8">
        <w:rPr>
          <w:lang w:val="fr-FR"/>
        </w:rPr>
        <w:t>axe d</w:t>
      </w:r>
      <w:r w:rsidR="00880DE8" w:rsidRPr="00880DE8">
        <w:rPr>
          <w:lang w:val="fr-FR"/>
        </w:rPr>
        <w:t>’</w:t>
      </w:r>
      <w:r w:rsidR="008F3781" w:rsidRPr="00880DE8">
        <w:rPr>
          <w:lang w:val="fr-FR"/>
        </w:rPr>
        <w:t>essai une série de charges d</w:t>
      </w:r>
      <w:r w:rsidR="00880DE8" w:rsidRPr="00880DE8">
        <w:rPr>
          <w:lang w:val="fr-FR"/>
        </w:rPr>
        <w:t>’</w:t>
      </w:r>
      <w:r w:rsidR="008F3781" w:rsidRPr="00880DE8">
        <w:rPr>
          <w:lang w:val="fr-FR"/>
        </w:rPr>
        <w:t>essai égales à un pourcentage de la charge indiquée à l</w:t>
      </w:r>
      <w:r w:rsidR="00880DE8" w:rsidRPr="00880DE8">
        <w:rPr>
          <w:lang w:val="fr-FR"/>
        </w:rPr>
        <w:t>’</w:t>
      </w:r>
      <w:r w:rsidR="008F3781" w:rsidRPr="00880DE8">
        <w:rPr>
          <w:lang w:val="fr-FR"/>
        </w:rPr>
        <w:t>annexe</w:t>
      </w:r>
      <w:r>
        <w:rPr>
          <w:lang w:val="fr-FR"/>
        </w:rPr>
        <w:t> </w:t>
      </w:r>
      <w:r w:rsidR="008F3781" w:rsidRPr="00880DE8">
        <w:rPr>
          <w:lang w:val="fr-FR"/>
        </w:rPr>
        <w:t>4 du présent Règlement, correspondant à l</w:t>
      </w:r>
      <w:r w:rsidR="00880DE8" w:rsidRPr="00880DE8">
        <w:rPr>
          <w:lang w:val="fr-FR"/>
        </w:rPr>
        <w:t>’</w:t>
      </w:r>
      <w:r w:rsidR="008F3781" w:rsidRPr="00880DE8">
        <w:rPr>
          <w:lang w:val="fr-FR"/>
        </w:rPr>
        <w:t>indice de charge indiqué sur le pneumatique et conformément au programme d</w:t>
      </w:r>
      <w:r w:rsidR="00880DE8" w:rsidRPr="00880DE8">
        <w:rPr>
          <w:lang w:val="fr-FR"/>
        </w:rPr>
        <w:t>’</w:t>
      </w:r>
      <w:r w:rsidR="008F3781" w:rsidRPr="00880DE8">
        <w:rPr>
          <w:lang w:val="fr-FR"/>
        </w:rPr>
        <w:t>essai ci</w:t>
      </w:r>
      <w:r>
        <w:rPr>
          <w:lang w:val="fr-FR"/>
        </w:rPr>
        <w:t>-</w:t>
      </w:r>
      <w:r w:rsidR="008F3781" w:rsidRPr="00880DE8">
        <w:rPr>
          <w:lang w:val="fr-FR"/>
        </w:rPr>
        <w:t>après. Lorsque le pneumatique comporte des indices de charge pour utilisation en montage simple et en montage jumelé, c</w:t>
      </w:r>
      <w:r w:rsidR="00880DE8" w:rsidRPr="00880DE8">
        <w:rPr>
          <w:lang w:val="fr-FR"/>
        </w:rPr>
        <w:t>’</w:t>
      </w:r>
      <w:r w:rsidR="008F3781" w:rsidRPr="00880DE8">
        <w:rPr>
          <w:lang w:val="fr-FR"/>
        </w:rPr>
        <w:t>est la charge de référence pour utilisation en montage simple qui doit être choisie comme base pour les charges d</w:t>
      </w:r>
      <w:r w:rsidR="00880DE8" w:rsidRPr="00880DE8">
        <w:rPr>
          <w:lang w:val="fr-FR"/>
        </w:rPr>
        <w:t>’</w:t>
      </w:r>
      <w:r w:rsidR="008F3781" w:rsidRPr="00880DE8">
        <w:rPr>
          <w:lang w:val="fr-FR"/>
        </w:rPr>
        <w:t>essai.</w:t>
      </w:r>
      <w:r>
        <w:rPr>
          <w:lang w:val="fr-FR"/>
        </w:rPr>
        <w:t> »</w:t>
      </w:r>
      <w:r w:rsidR="008F3781" w:rsidRPr="00880DE8">
        <w:rPr>
          <w:lang w:val="fr-FR"/>
        </w:rPr>
        <w:t>.</w:t>
      </w:r>
    </w:p>
    <w:p w:rsidR="008F3781" w:rsidRPr="00355EE0" w:rsidRDefault="008F3781" w:rsidP="00344E5D">
      <w:pPr>
        <w:pStyle w:val="SingleTxtG"/>
        <w:keepNext/>
        <w:keepLines/>
        <w:rPr>
          <w:lang w:val="fr-FR"/>
        </w:rPr>
      </w:pPr>
      <w:r w:rsidRPr="00355EE0">
        <w:rPr>
          <w:i/>
          <w:lang w:val="fr-FR"/>
        </w:rPr>
        <w:lastRenderedPageBreak/>
        <w:t>Paragraphe 2.2.1</w:t>
      </w:r>
      <w:r w:rsidRPr="00355EE0">
        <w:rPr>
          <w:lang w:val="fr-FR"/>
        </w:rPr>
        <w:t>, lire</w:t>
      </w:r>
      <w:r w:rsidR="00355EE0" w:rsidRPr="00355EE0">
        <w:rPr>
          <w:lang w:val="fr-FR"/>
        </w:rPr>
        <w:t> </w:t>
      </w:r>
      <w:r w:rsidRPr="00355EE0">
        <w:rPr>
          <w:lang w:val="fr-FR"/>
        </w:rPr>
        <w:t>:</w:t>
      </w:r>
    </w:p>
    <w:p w:rsidR="008F3781" w:rsidRPr="00355EE0" w:rsidRDefault="00355EE0" w:rsidP="008F3781">
      <w:pPr>
        <w:pStyle w:val="SingleTxtG"/>
        <w:ind w:left="2268" w:hanging="1134"/>
        <w:rPr>
          <w:lang w:val="fr-FR"/>
        </w:rPr>
      </w:pPr>
      <w:r>
        <w:rPr>
          <w:lang w:val="fr-FR"/>
        </w:rPr>
        <w:t>« </w:t>
      </w:r>
      <w:r w:rsidR="008F3781" w:rsidRPr="00355EE0">
        <w:rPr>
          <w:lang w:val="fr-FR"/>
        </w:rPr>
        <w:t>2.2.1</w:t>
      </w:r>
      <w:r w:rsidR="008F3781" w:rsidRPr="00355EE0">
        <w:rPr>
          <w:lang w:val="fr-FR"/>
        </w:rPr>
        <w:tab/>
        <w:t>Dans le cas des pneumatiques c</w:t>
      </w:r>
      <w:r>
        <w:rPr>
          <w:lang w:val="fr-FR"/>
        </w:rPr>
        <w:t>onçus pour rouler à plus de 150 </w:t>
      </w:r>
      <w:r w:rsidR="008F3781" w:rsidRPr="00355EE0">
        <w:rPr>
          <w:lang w:val="fr-FR"/>
        </w:rPr>
        <w:t>km/h (code de vitesse égal ou supérieur à “Q”, plus “H”), la procédure d</w:t>
      </w:r>
      <w:r w:rsidR="00880DE8" w:rsidRPr="00355EE0">
        <w:rPr>
          <w:lang w:val="fr-FR"/>
        </w:rPr>
        <w:t>’</w:t>
      </w:r>
      <w:r w:rsidR="008F3781" w:rsidRPr="00355EE0">
        <w:rPr>
          <w:lang w:val="fr-FR"/>
        </w:rPr>
        <w:t>essai est celle qui est définie au paragraphe 3 de la présente annexe.</w:t>
      </w:r>
      <w:r>
        <w:rPr>
          <w:lang w:val="fr-FR"/>
        </w:rPr>
        <w:t> »</w:t>
      </w:r>
      <w:r w:rsidR="008F3781" w:rsidRPr="00355EE0">
        <w:rPr>
          <w:lang w:val="fr-FR"/>
        </w:rPr>
        <w:t>.</w:t>
      </w:r>
    </w:p>
    <w:p w:rsidR="008F3781" w:rsidRPr="00355EE0" w:rsidRDefault="008F3781" w:rsidP="00880DE8">
      <w:pPr>
        <w:pStyle w:val="SingleTxtG"/>
        <w:rPr>
          <w:lang w:val="fr-FR"/>
        </w:rPr>
      </w:pPr>
      <w:r w:rsidRPr="00355EE0">
        <w:rPr>
          <w:i/>
          <w:lang w:val="fr-FR"/>
        </w:rPr>
        <w:t>Paragraphe 3</w:t>
      </w:r>
      <w:r w:rsidRPr="00355EE0">
        <w:rPr>
          <w:lang w:val="fr-FR"/>
        </w:rPr>
        <w:t>, lire</w:t>
      </w:r>
      <w:r w:rsidR="00355EE0">
        <w:rPr>
          <w:lang w:val="fr-FR"/>
        </w:rPr>
        <w:t> </w:t>
      </w:r>
      <w:r w:rsidRPr="00355EE0">
        <w:rPr>
          <w:lang w:val="fr-FR"/>
        </w:rPr>
        <w:t>:</w:t>
      </w:r>
    </w:p>
    <w:p w:rsidR="008F3781" w:rsidRPr="001B7D24" w:rsidRDefault="00355EE0" w:rsidP="008F3781">
      <w:pPr>
        <w:pStyle w:val="SingleTxtG"/>
        <w:ind w:left="2268" w:hanging="1134"/>
        <w:rPr>
          <w:spacing w:val="-3"/>
          <w:lang w:val="fr-FR"/>
        </w:rPr>
      </w:pPr>
      <w:r w:rsidRPr="001B7D24">
        <w:rPr>
          <w:spacing w:val="-2"/>
          <w:lang w:val="fr-FR"/>
        </w:rPr>
        <w:t>« </w:t>
      </w:r>
      <w:r w:rsidR="008F3781" w:rsidRPr="001B7D24">
        <w:rPr>
          <w:spacing w:val="-2"/>
          <w:lang w:val="fr-FR"/>
        </w:rPr>
        <w:t>3.</w:t>
      </w:r>
      <w:r w:rsidR="008F3781" w:rsidRPr="001B7D24">
        <w:rPr>
          <w:spacing w:val="-2"/>
          <w:lang w:val="fr-FR"/>
        </w:rPr>
        <w:tab/>
        <w:t>Le programme de l</w:t>
      </w:r>
      <w:r w:rsidR="00880DE8" w:rsidRPr="001B7D24">
        <w:rPr>
          <w:spacing w:val="-2"/>
          <w:lang w:val="fr-FR"/>
        </w:rPr>
        <w:t>’</w:t>
      </w:r>
      <w:r w:rsidR="008F3781" w:rsidRPr="001B7D24">
        <w:rPr>
          <w:spacing w:val="-2"/>
          <w:lang w:val="fr-FR"/>
        </w:rPr>
        <w:t>essai charge/vitesse pour les pneumatiques c</w:t>
      </w:r>
      <w:r w:rsidRPr="001B7D24">
        <w:rPr>
          <w:spacing w:val="-2"/>
          <w:lang w:val="fr-FR"/>
        </w:rPr>
        <w:t>onçus pour</w:t>
      </w:r>
      <w:r w:rsidRPr="001B7D24">
        <w:rPr>
          <w:spacing w:val="-3"/>
          <w:lang w:val="fr-FR"/>
        </w:rPr>
        <w:t xml:space="preserve"> rouler à plus de 150 </w:t>
      </w:r>
      <w:r w:rsidR="008F3781" w:rsidRPr="001B7D24">
        <w:rPr>
          <w:spacing w:val="-3"/>
          <w:lang w:val="fr-FR"/>
        </w:rPr>
        <w:t xml:space="preserve">km/h (code de vitesse égal ou supérieur à </w:t>
      </w:r>
      <w:r w:rsidRPr="001B7D24">
        <w:rPr>
          <w:spacing w:val="-3"/>
          <w:lang w:val="fr-FR"/>
        </w:rPr>
        <w:t>“</w:t>
      </w:r>
      <w:r w:rsidR="008F3781" w:rsidRPr="001B7D24">
        <w:rPr>
          <w:spacing w:val="-3"/>
          <w:lang w:val="fr-FR"/>
        </w:rPr>
        <w:t>Q</w:t>
      </w:r>
      <w:r w:rsidRPr="001B7D24">
        <w:rPr>
          <w:spacing w:val="-3"/>
          <w:lang w:val="fr-FR"/>
        </w:rPr>
        <w:t>”</w:t>
      </w:r>
      <w:r w:rsidR="008F3781" w:rsidRPr="001B7D24">
        <w:rPr>
          <w:spacing w:val="-3"/>
          <w:lang w:val="fr-FR"/>
        </w:rPr>
        <w:t xml:space="preserve">, plus </w:t>
      </w:r>
      <w:r w:rsidRPr="001B7D24">
        <w:rPr>
          <w:spacing w:val="-3"/>
          <w:lang w:val="fr-FR"/>
        </w:rPr>
        <w:t>“</w:t>
      </w:r>
      <w:r w:rsidR="008F3781" w:rsidRPr="001B7D24">
        <w:rPr>
          <w:spacing w:val="-3"/>
          <w:lang w:val="fr-FR"/>
        </w:rPr>
        <w:t>H</w:t>
      </w:r>
      <w:r w:rsidRPr="001B7D24">
        <w:rPr>
          <w:spacing w:val="-3"/>
          <w:lang w:val="fr-FR"/>
        </w:rPr>
        <w:t>”</w:t>
      </w:r>
      <w:r w:rsidR="008F3781" w:rsidRPr="001B7D24">
        <w:rPr>
          <w:spacing w:val="-3"/>
          <w:lang w:val="fr-FR"/>
        </w:rPr>
        <w:t>).</w:t>
      </w:r>
      <w:r w:rsidRPr="001B7D24">
        <w:rPr>
          <w:spacing w:val="-3"/>
          <w:lang w:val="fr-FR"/>
        </w:rPr>
        <w:t> »</w:t>
      </w:r>
      <w:r w:rsidR="008F3781" w:rsidRPr="001B7D24">
        <w:rPr>
          <w:spacing w:val="-3"/>
          <w:lang w:val="fr-FR"/>
        </w:rPr>
        <w:t>.</w:t>
      </w:r>
    </w:p>
    <w:p w:rsidR="008F3781" w:rsidRPr="00355EE0" w:rsidRDefault="008F3781" w:rsidP="00880DE8">
      <w:pPr>
        <w:pStyle w:val="SingleTxtG"/>
        <w:rPr>
          <w:lang w:val="fr-FR"/>
        </w:rPr>
      </w:pPr>
      <w:r w:rsidRPr="00355EE0">
        <w:rPr>
          <w:i/>
          <w:lang w:val="fr-FR"/>
        </w:rPr>
        <w:t>Paragraphe 3.1.1</w:t>
      </w:r>
      <w:r w:rsidRPr="00355EE0">
        <w:rPr>
          <w:lang w:val="fr-FR"/>
        </w:rPr>
        <w:t>, lire</w:t>
      </w:r>
      <w:r w:rsidR="00355EE0">
        <w:rPr>
          <w:lang w:val="fr-FR"/>
        </w:rPr>
        <w:t> </w:t>
      </w:r>
      <w:r w:rsidRPr="00355EE0">
        <w:rPr>
          <w:lang w:val="fr-FR"/>
        </w:rPr>
        <w:t>:</w:t>
      </w:r>
    </w:p>
    <w:p w:rsidR="008F3781" w:rsidRPr="00355EE0" w:rsidRDefault="00355EE0" w:rsidP="008F3781">
      <w:pPr>
        <w:pStyle w:val="SingleTxtG"/>
        <w:ind w:left="2268" w:hanging="1134"/>
        <w:rPr>
          <w:lang w:val="fr-FR"/>
        </w:rPr>
      </w:pPr>
      <w:r>
        <w:rPr>
          <w:lang w:val="fr-FR"/>
        </w:rPr>
        <w:t>« 3.1.1</w:t>
      </w:r>
      <w:r w:rsidR="008F3781" w:rsidRPr="00355EE0">
        <w:rPr>
          <w:lang w:val="fr-FR"/>
        </w:rPr>
        <w:tab/>
        <w:t>À tous les pneumatiques dont l</w:t>
      </w:r>
      <w:r w:rsidR="00880DE8" w:rsidRPr="00355EE0">
        <w:rPr>
          <w:lang w:val="fr-FR"/>
        </w:rPr>
        <w:t>’</w:t>
      </w:r>
      <w:r w:rsidR="008F3781" w:rsidRPr="00355EE0">
        <w:rPr>
          <w:lang w:val="fr-FR"/>
        </w:rPr>
        <w:t>indice de charge en montage simple est au maximum de 121</w:t>
      </w:r>
      <w:r>
        <w:rPr>
          <w:lang w:val="fr-FR"/>
        </w:rPr>
        <w:t> </w:t>
      </w:r>
      <w:r w:rsidR="008F3781" w:rsidRPr="00355EE0">
        <w:rPr>
          <w:lang w:val="fr-FR"/>
        </w:rPr>
        <w:t>;</w:t>
      </w:r>
      <w:r>
        <w:rPr>
          <w:lang w:val="fr-FR"/>
        </w:rPr>
        <w:t> » </w:t>
      </w:r>
      <w:r w:rsidR="008F3781" w:rsidRPr="00355EE0">
        <w:rPr>
          <w:lang w:val="fr-FR"/>
        </w:rPr>
        <w:t>;</w:t>
      </w:r>
    </w:p>
    <w:p w:rsidR="008F3781" w:rsidRPr="00355EE0" w:rsidRDefault="008F3781" w:rsidP="00880DE8">
      <w:pPr>
        <w:pStyle w:val="SingleTxtG"/>
        <w:rPr>
          <w:lang w:val="fr-FR"/>
        </w:rPr>
      </w:pPr>
      <w:r w:rsidRPr="00355EE0">
        <w:rPr>
          <w:i/>
          <w:lang w:val="fr-FR"/>
        </w:rPr>
        <w:t>Paragraphe 3.1.2</w:t>
      </w:r>
      <w:r w:rsidR="00355EE0">
        <w:rPr>
          <w:lang w:val="fr-FR"/>
        </w:rPr>
        <w:t>,</w:t>
      </w:r>
      <w:r w:rsidRPr="00355EE0">
        <w:rPr>
          <w:lang w:val="fr-FR"/>
        </w:rPr>
        <w:t xml:space="preserve"> lire</w:t>
      </w:r>
      <w:r w:rsidR="00355EE0">
        <w:rPr>
          <w:lang w:val="fr-FR"/>
        </w:rPr>
        <w:t> </w:t>
      </w:r>
      <w:r w:rsidRPr="00355EE0">
        <w:rPr>
          <w:lang w:val="fr-FR"/>
        </w:rPr>
        <w:t>:</w:t>
      </w:r>
    </w:p>
    <w:p w:rsidR="008F3781" w:rsidRPr="00355EE0" w:rsidRDefault="00355EE0" w:rsidP="008F3781">
      <w:pPr>
        <w:pStyle w:val="SingleTxtG"/>
        <w:ind w:left="2268" w:hanging="1134"/>
        <w:rPr>
          <w:i/>
          <w:lang w:val="fr-FR"/>
        </w:rPr>
      </w:pPr>
      <w:r>
        <w:rPr>
          <w:lang w:val="fr-FR"/>
        </w:rPr>
        <w:t>« </w:t>
      </w:r>
      <w:r w:rsidR="008F3781" w:rsidRPr="00355EE0">
        <w:rPr>
          <w:lang w:val="fr-FR"/>
        </w:rPr>
        <w:t>3.1.2</w:t>
      </w:r>
      <w:r w:rsidR="008F3781" w:rsidRPr="00355EE0">
        <w:rPr>
          <w:lang w:val="fr-FR"/>
        </w:rPr>
        <w:tab/>
        <w:t>Aux pneumatiques dont l</w:t>
      </w:r>
      <w:r w:rsidR="00880DE8" w:rsidRPr="00355EE0">
        <w:rPr>
          <w:lang w:val="fr-FR"/>
        </w:rPr>
        <w:t>’</w:t>
      </w:r>
      <w:r w:rsidR="008F3781" w:rsidRPr="00355EE0">
        <w:rPr>
          <w:lang w:val="fr-FR"/>
        </w:rPr>
        <w:t>indice de charge en montage simple est au minimum de 122 et qui portent la mention supplémentaire “C” ou “LT” visée au paragraphe</w:t>
      </w:r>
      <w:r>
        <w:rPr>
          <w:lang w:val="fr-FR"/>
        </w:rPr>
        <w:t> </w:t>
      </w:r>
      <w:r w:rsidR="008F3781" w:rsidRPr="00355EE0">
        <w:rPr>
          <w:lang w:val="fr-FR"/>
        </w:rPr>
        <w:t>3.2.14 du présent Règlement.</w:t>
      </w:r>
      <w:r>
        <w:rPr>
          <w:lang w:val="fr-FR"/>
        </w:rPr>
        <w:t> »</w:t>
      </w:r>
      <w:r w:rsidR="008F3781" w:rsidRPr="00355EE0">
        <w:rPr>
          <w:lang w:val="fr-FR"/>
        </w:rPr>
        <w:t>.</w:t>
      </w:r>
    </w:p>
    <w:p w:rsidR="008F3781" w:rsidRPr="00355EE0" w:rsidRDefault="008F3781" w:rsidP="00344E5D">
      <w:pPr>
        <w:pStyle w:val="SingleTxtG"/>
        <w:spacing w:after="100" w:line="220" w:lineRule="atLeast"/>
        <w:rPr>
          <w:lang w:val="fr-FR"/>
        </w:rPr>
      </w:pPr>
      <w:r w:rsidRPr="00355EE0">
        <w:rPr>
          <w:i/>
          <w:lang w:val="fr-FR"/>
        </w:rPr>
        <w:t>Annexe 7, appendice 1</w:t>
      </w:r>
      <w:r w:rsidRPr="00355EE0">
        <w:rPr>
          <w:lang w:val="fr-FR"/>
        </w:rPr>
        <w:t>, lire</w:t>
      </w:r>
      <w:r w:rsidR="00355EE0">
        <w:rPr>
          <w:lang w:val="fr-FR"/>
        </w:rPr>
        <w:t> </w:t>
      </w:r>
      <w:r w:rsidRPr="00355EE0">
        <w:rPr>
          <w:lang w:val="fr-FR"/>
        </w:rPr>
        <w:t>:</w:t>
      </w:r>
    </w:p>
    <w:p w:rsidR="008F3781" w:rsidRPr="00355EE0" w:rsidRDefault="00AB7F33" w:rsidP="00344E5D">
      <w:pPr>
        <w:pStyle w:val="HChG"/>
        <w:spacing w:before="340" w:after="220" w:line="280" w:lineRule="exact"/>
        <w:rPr>
          <w:lang w:val="fr-FR"/>
        </w:rPr>
      </w:pPr>
      <w:r>
        <w:rPr>
          <w:lang w:val="fr-FR"/>
        </w:rPr>
        <w:tab/>
      </w:r>
      <w:r>
        <w:rPr>
          <w:lang w:val="fr-FR"/>
        </w:rPr>
        <w:tab/>
      </w:r>
      <w:r w:rsidR="00355EE0" w:rsidRPr="00BF005B">
        <w:rPr>
          <w:b w:val="0"/>
          <w:sz w:val="20"/>
          <w:lang w:val="fr-FR"/>
        </w:rPr>
        <w:t>« </w:t>
      </w:r>
      <w:r w:rsidR="008F3781" w:rsidRPr="00355EE0">
        <w:rPr>
          <w:lang w:val="fr-FR"/>
        </w:rPr>
        <w:t>Programme d</w:t>
      </w:r>
      <w:r w:rsidR="00880DE8" w:rsidRPr="00355EE0">
        <w:rPr>
          <w:lang w:val="fr-FR"/>
        </w:rPr>
        <w:t>’</w:t>
      </w:r>
      <w:r w:rsidR="008F3781" w:rsidRPr="00355EE0">
        <w:rPr>
          <w:lang w:val="fr-FR"/>
        </w:rPr>
        <w:t>essai d</w:t>
      </w:r>
      <w:r w:rsidR="00880DE8" w:rsidRPr="00355EE0">
        <w:rPr>
          <w:lang w:val="fr-FR"/>
        </w:rPr>
        <w:t>’</w:t>
      </w:r>
      <w:r w:rsidR="00355EE0">
        <w:rPr>
          <w:lang w:val="fr-FR"/>
        </w:rPr>
        <w:t>endurance</w:t>
      </w:r>
    </w:p>
    <w:tbl>
      <w:tblPr>
        <w:tblW w:w="9617"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1586"/>
        <w:gridCol w:w="1078"/>
        <w:gridCol w:w="1638"/>
        <w:gridCol w:w="1642"/>
        <w:gridCol w:w="1227"/>
        <w:gridCol w:w="1218"/>
        <w:gridCol w:w="1228"/>
      </w:tblGrid>
      <w:tr w:rsidR="00A662D4" w:rsidRPr="00355EE0" w:rsidTr="00742229">
        <w:trPr>
          <w:tblHeader/>
          <w:jc w:val="center"/>
        </w:trPr>
        <w:tc>
          <w:tcPr>
            <w:tcW w:w="1586" w:type="dxa"/>
            <w:vMerge w:val="restart"/>
            <w:tcBorders>
              <w:bottom w:val="single" w:sz="4" w:space="0" w:color="auto"/>
            </w:tcBorders>
            <w:shd w:val="clear" w:color="auto" w:fill="auto"/>
            <w:vAlign w:val="bottom"/>
          </w:tcPr>
          <w:p w:rsidR="008F3781" w:rsidRPr="00355EE0" w:rsidRDefault="008F3781" w:rsidP="00344E5D">
            <w:pPr>
              <w:suppressAutoHyphens w:val="0"/>
              <w:spacing w:before="80" w:after="80" w:line="200" w:lineRule="exact"/>
              <w:rPr>
                <w:i/>
                <w:sz w:val="16"/>
              </w:rPr>
            </w:pPr>
            <w:r w:rsidRPr="00355EE0">
              <w:rPr>
                <w:i/>
                <w:sz w:val="16"/>
              </w:rPr>
              <w:t>Indice de charge</w:t>
            </w:r>
          </w:p>
        </w:tc>
        <w:tc>
          <w:tcPr>
            <w:tcW w:w="1078" w:type="dxa"/>
            <w:vMerge w:val="restart"/>
            <w:tcBorders>
              <w:bottom w:val="single" w:sz="4" w:space="0" w:color="auto"/>
            </w:tcBorders>
            <w:shd w:val="clear" w:color="auto" w:fill="auto"/>
            <w:vAlign w:val="bottom"/>
          </w:tcPr>
          <w:p w:rsidR="008F3781" w:rsidRPr="00355EE0" w:rsidRDefault="008F3781" w:rsidP="00344E5D">
            <w:pPr>
              <w:suppressAutoHyphens w:val="0"/>
              <w:spacing w:before="80" w:after="80" w:line="200" w:lineRule="exact"/>
              <w:jc w:val="center"/>
              <w:rPr>
                <w:i/>
                <w:sz w:val="16"/>
              </w:rPr>
            </w:pPr>
            <w:r w:rsidRPr="00355EE0">
              <w:rPr>
                <w:i/>
                <w:sz w:val="16"/>
              </w:rPr>
              <w:t>Code de vitesse</w:t>
            </w:r>
          </w:p>
        </w:tc>
        <w:tc>
          <w:tcPr>
            <w:tcW w:w="3280" w:type="dxa"/>
            <w:gridSpan w:val="2"/>
            <w:tcBorders>
              <w:bottom w:val="single" w:sz="4" w:space="0" w:color="auto"/>
            </w:tcBorders>
            <w:shd w:val="clear" w:color="auto" w:fill="auto"/>
            <w:vAlign w:val="bottom"/>
          </w:tcPr>
          <w:p w:rsidR="008F3781" w:rsidRPr="00355EE0" w:rsidRDefault="008F3781" w:rsidP="00344E5D">
            <w:pPr>
              <w:suppressAutoHyphens w:val="0"/>
              <w:spacing w:before="80" w:after="80" w:line="200" w:lineRule="exact"/>
              <w:jc w:val="center"/>
              <w:rPr>
                <w:i/>
                <w:sz w:val="16"/>
                <w:lang w:val="fr-FR"/>
              </w:rPr>
            </w:pPr>
            <w:r w:rsidRPr="00355EE0">
              <w:rPr>
                <w:i/>
                <w:sz w:val="16"/>
                <w:lang w:val="fr-FR"/>
              </w:rPr>
              <w:t>Vitesse du tambour d</w:t>
            </w:r>
            <w:r w:rsidR="00880DE8" w:rsidRPr="00355EE0">
              <w:rPr>
                <w:i/>
                <w:sz w:val="16"/>
                <w:lang w:val="fr-FR"/>
              </w:rPr>
              <w:t>’</w:t>
            </w:r>
            <w:r w:rsidRPr="00355EE0">
              <w:rPr>
                <w:i/>
                <w:sz w:val="16"/>
                <w:lang w:val="fr-FR"/>
              </w:rPr>
              <w:t>essai [km/h</w:t>
            </w:r>
            <w:r w:rsidRPr="00355EE0">
              <w:rPr>
                <w:i/>
                <w:sz w:val="16"/>
                <w:vertAlign w:val="superscript"/>
                <w:lang w:val="fr-FR"/>
              </w:rPr>
              <w:t>-1</w:t>
            </w:r>
            <w:r w:rsidRPr="00355EE0">
              <w:rPr>
                <w:i/>
                <w:sz w:val="16"/>
                <w:lang w:val="fr-FR"/>
              </w:rPr>
              <w:t>]</w:t>
            </w:r>
          </w:p>
        </w:tc>
        <w:tc>
          <w:tcPr>
            <w:tcW w:w="3673" w:type="dxa"/>
            <w:gridSpan w:val="3"/>
            <w:tcBorders>
              <w:bottom w:val="single" w:sz="4" w:space="0" w:color="auto"/>
            </w:tcBorders>
            <w:shd w:val="clear" w:color="auto" w:fill="auto"/>
            <w:vAlign w:val="bottom"/>
          </w:tcPr>
          <w:p w:rsidR="008F3781" w:rsidRPr="00355EE0" w:rsidRDefault="008F3781" w:rsidP="00344E5D">
            <w:pPr>
              <w:suppressAutoHyphens w:val="0"/>
              <w:spacing w:before="80" w:after="80" w:line="200" w:lineRule="exact"/>
              <w:jc w:val="center"/>
              <w:rPr>
                <w:i/>
                <w:sz w:val="16"/>
                <w:lang w:val="fr-FR"/>
              </w:rPr>
            </w:pPr>
            <w:r w:rsidRPr="00355EE0">
              <w:rPr>
                <w:i/>
                <w:sz w:val="16"/>
                <w:lang w:val="fr-FR"/>
              </w:rPr>
              <w:t>Charge appliquée sur la roue en % de la charge correspondant à l</w:t>
            </w:r>
            <w:r w:rsidR="00880DE8" w:rsidRPr="00355EE0">
              <w:rPr>
                <w:i/>
                <w:sz w:val="16"/>
                <w:lang w:val="fr-FR"/>
              </w:rPr>
              <w:t>’</w:t>
            </w:r>
            <w:r w:rsidRPr="00355EE0">
              <w:rPr>
                <w:i/>
                <w:sz w:val="16"/>
                <w:lang w:val="fr-FR"/>
              </w:rPr>
              <w:t>indice de charge</w:t>
            </w:r>
          </w:p>
        </w:tc>
      </w:tr>
      <w:tr w:rsidR="00A662D4" w:rsidRPr="00355EE0" w:rsidTr="00DB1882">
        <w:tblPrEx>
          <w:tblCellMar>
            <w:left w:w="117" w:type="dxa"/>
            <w:right w:w="117" w:type="dxa"/>
          </w:tblCellMar>
        </w:tblPrEx>
        <w:trPr>
          <w:tblHeader/>
          <w:jc w:val="center"/>
        </w:trPr>
        <w:tc>
          <w:tcPr>
            <w:tcW w:w="1586" w:type="dxa"/>
            <w:vMerge/>
            <w:tcBorders>
              <w:bottom w:val="single" w:sz="12" w:space="0" w:color="auto"/>
            </w:tcBorders>
            <w:shd w:val="clear" w:color="auto" w:fill="auto"/>
            <w:vAlign w:val="bottom"/>
          </w:tcPr>
          <w:p w:rsidR="008F3781" w:rsidRPr="00355EE0" w:rsidRDefault="008F3781" w:rsidP="00355EE0">
            <w:pPr>
              <w:suppressAutoHyphens w:val="0"/>
              <w:spacing w:before="40" w:after="40" w:line="220" w:lineRule="exact"/>
              <w:rPr>
                <w:sz w:val="18"/>
                <w:lang w:val="fr-FR"/>
              </w:rPr>
            </w:pPr>
          </w:p>
        </w:tc>
        <w:tc>
          <w:tcPr>
            <w:tcW w:w="1078" w:type="dxa"/>
            <w:vMerge/>
            <w:tcBorders>
              <w:bottom w:val="single" w:sz="12" w:space="0" w:color="auto"/>
            </w:tcBorders>
            <w:shd w:val="clear" w:color="auto" w:fill="auto"/>
            <w:vAlign w:val="bottom"/>
          </w:tcPr>
          <w:p w:rsidR="008F3781" w:rsidRPr="00355EE0" w:rsidRDefault="008F3781" w:rsidP="00A662D4">
            <w:pPr>
              <w:suppressAutoHyphens w:val="0"/>
              <w:spacing w:before="40" w:after="40" w:line="220" w:lineRule="exact"/>
              <w:jc w:val="center"/>
              <w:rPr>
                <w:sz w:val="18"/>
                <w:lang w:val="fr-FR"/>
              </w:rPr>
            </w:pPr>
          </w:p>
        </w:tc>
        <w:tc>
          <w:tcPr>
            <w:tcW w:w="1638" w:type="dxa"/>
            <w:tcBorders>
              <w:bottom w:val="single" w:sz="12" w:space="0" w:color="auto"/>
            </w:tcBorders>
            <w:shd w:val="clear" w:color="auto" w:fill="auto"/>
            <w:vAlign w:val="bottom"/>
          </w:tcPr>
          <w:p w:rsidR="008F3781" w:rsidRPr="00A662D4" w:rsidRDefault="008F3781" w:rsidP="00344E5D">
            <w:pPr>
              <w:suppressAutoHyphens w:val="0"/>
              <w:spacing w:before="80" w:after="80" w:line="200" w:lineRule="exact"/>
              <w:jc w:val="center"/>
              <w:rPr>
                <w:i/>
                <w:sz w:val="16"/>
                <w:lang w:val="fr-FR"/>
              </w:rPr>
            </w:pPr>
            <w:r w:rsidRPr="00A662D4">
              <w:rPr>
                <w:i/>
                <w:sz w:val="16"/>
                <w:lang w:val="fr-FR"/>
              </w:rPr>
              <w:t>Radial</w:t>
            </w:r>
          </w:p>
        </w:tc>
        <w:tc>
          <w:tcPr>
            <w:tcW w:w="1642" w:type="dxa"/>
            <w:tcBorders>
              <w:bottom w:val="single" w:sz="12" w:space="0" w:color="auto"/>
            </w:tcBorders>
            <w:shd w:val="clear" w:color="auto" w:fill="auto"/>
            <w:vAlign w:val="bottom"/>
          </w:tcPr>
          <w:p w:rsidR="008F3781" w:rsidRPr="00A662D4" w:rsidRDefault="008F3781" w:rsidP="00344E5D">
            <w:pPr>
              <w:suppressAutoHyphens w:val="0"/>
              <w:spacing w:before="80" w:after="80" w:line="200" w:lineRule="exact"/>
              <w:jc w:val="center"/>
              <w:rPr>
                <w:i/>
                <w:sz w:val="16"/>
                <w:lang w:val="fr-FR"/>
              </w:rPr>
            </w:pPr>
            <w:r w:rsidRPr="00A662D4">
              <w:rPr>
                <w:i/>
                <w:sz w:val="16"/>
                <w:lang w:val="fr-FR"/>
              </w:rPr>
              <w:t xml:space="preserve">Diagonal et </w:t>
            </w:r>
            <w:r w:rsidR="00A662D4">
              <w:rPr>
                <w:i/>
                <w:sz w:val="16"/>
                <w:lang w:val="fr-FR"/>
              </w:rPr>
              <w:br/>
            </w:r>
            <w:r w:rsidRPr="00A662D4">
              <w:rPr>
                <w:i/>
                <w:sz w:val="16"/>
                <w:lang w:val="fr-FR"/>
              </w:rPr>
              <w:t>ceinturé croisé</w:t>
            </w:r>
          </w:p>
        </w:tc>
        <w:tc>
          <w:tcPr>
            <w:tcW w:w="1227" w:type="dxa"/>
            <w:tcBorders>
              <w:bottom w:val="single" w:sz="12" w:space="0" w:color="auto"/>
            </w:tcBorders>
            <w:shd w:val="clear" w:color="auto" w:fill="auto"/>
            <w:vAlign w:val="bottom"/>
          </w:tcPr>
          <w:p w:rsidR="008F3781" w:rsidRPr="00A662D4" w:rsidRDefault="008F3781" w:rsidP="00344E5D">
            <w:pPr>
              <w:suppressAutoHyphens w:val="0"/>
              <w:spacing w:before="80" w:after="80" w:line="200" w:lineRule="exact"/>
              <w:jc w:val="center"/>
              <w:rPr>
                <w:i/>
                <w:sz w:val="16"/>
                <w:lang w:val="fr-FR"/>
              </w:rPr>
            </w:pPr>
            <w:r w:rsidRPr="00A662D4">
              <w:rPr>
                <w:i/>
                <w:sz w:val="16"/>
                <w:lang w:val="fr-FR"/>
              </w:rPr>
              <w:t>7 h</w:t>
            </w:r>
          </w:p>
        </w:tc>
        <w:tc>
          <w:tcPr>
            <w:tcW w:w="1218" w:type="dxa"/>
            <w:tcBorders>
              <w:bottom w:val="single" w:sz="12" w:space="0" w:color="auto"/>
            </w:tcBorders>
            <w:shd w:val="clear" w:color="auto" w:fill="auto"/>
            <w:vAlign w:val="bottom"/>
          </w:tcPr>
          <w:p w:rsidR="008F3781" w:rsidRPr="00A662D4" w:rsidRDefault="008F3781" w:rsidP="00344E5D">
            <w:pPr>
              <w:suppressAutoHyphens w:val="0"/>
              <w:spacing w:before="80" w:after="80" w:line="200" w:lineRule="exact"/>
              <w:jc w:val="center"/>
              <w:rPr>
                <w:i/>
                <w:sz w:val="16"/>
                <w:lang w:val="fr-FR"/>
              </w:rPr>
            </w:pPr>
            <w:r w:rsidRPr="00A662D4">
              <w:rPr>
                <w:i/>
                <w:sz w:val="16"/>
                <w:lang w:val="fr-FR"/>
              </w:rPr>
              <w:t>16 h</w:t>
            </w:r>
          </w:p>
        </w:tc>
        <w:tc>
          <w:tcPr>
            <w:tcW w:w="1228" w:type="dxa"/>
            <w:tcBorders>
              <w:bottom w:val="single" w:sz="12" w:space="0" w:color="auto"/>
            </w:tcBorders>
            <w:shd w:val="clear" w:color="auto" w:fill="auto"/>
            <w:vAlign w:val="bottom"/>
          </w:tcPr>
          <w:p w:rsidR="008F3781" w:rsidRPr="00A662D4" w:rsidRDefault="008F3781" w:rsidP="00344E5D">
            <w:pPr>
              <w:suppressAutoHyphens w:val="0"/>
              <w:spacing w:before="80" w:after="80" w:line="200" w:lineRule="exact"/>
              <w:jc w:val="center"/>
              <w:rPr>
                <w:i/>
                <w:sz w:val="16"/>
                <w:lang w:val="fr-FR"/>
              </w:rPr>
            </w:pPr>
            <w:r w:rsidRPr="00A662D4">
              <w:rPr>
                <w:i/>
                <w:sz w:val="16"/>
                <w:lang w:val="fr-FR"/>
              </w:rPr>
              <w:t>24 h</w:t>
            </w:r>
          </w:p>
        </w:tc>
      </w:tr>
      <w:tr w:rsidR="00AB7F33" w:rsidRPr="00355EE0" w:rsidTr="00AB7F33">
        <w:tblPrEx>
          <w:tblCellMar>
            <w:left w:w="117" w:type="dxa"/>
            <w:right w:w="117" w:type="dxa"/>
          </w:tblCellMar>
        </w:tblPrEx>
        <w:trPr>
          <w:jc w:val="center"/>
        </w:trPr>
        <w:tc>
          <w:tcPr>
            <w:tcW w:w="1586" w:type="dxa"/>
            <w:tcBorders>
              <w:top w:val="single" w:sz="12" w:space="0" w:color="auto"/>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r w:rsidRPr="00355EE0">
              <w:rPr>
                <w:sz w:val="18"/>
              </w:rPr>
              <w:t>122 et au-dessus</w:t>
            </w:r>
          </w:p>
        </w:tc>
        <w:tc>
          <w:tcPr>
            <w:tcW w:w="1078" w:type="dxa"/>
            <w:tcBorders>
              <w:top w:val="single" w:sz="12"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p>
        </w:tc>
        <w:tc>
          <w:tcPr>
            <w:tcW w:w="1638" w:type="dxa"/>
            <w:tcBorders>
              <w:top w:val="single" w:sz="12"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p>
        </w:tc>
        <w:tc>
          <w:tcPr>
            <w:tcW w:w="1642" w:type="dxa"/>
            <w:tcBorders>
              <w:top w:val="single" w:sz="12"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p>
        </w:tc>
        <w:tc>
          <w:tcPr>
            <w:tcW w:w="1227" w:type="dxa"/>
            <w:vMerge w:val="restart"/>
            <w:tcBorders>
              <w:top w:val="single" w:sz="12" w:space="0" w:color="auto"/>
              <w:left w:val="single" w:sz="4" w:space="0" w:color="auto"/>
              <w:right w:val="single" w:sz="4" w:space="0" w:color="auto"/>
            </w:tcBorders>
            <w:shd w:val="clear" w:color="auto" w:fill="auto"/>
            <w:vAlign w:val="center"/>
          </w:tcPr>
          <w:p w:rsidR="00AB7F33" w:rsidRPr="00355EE0" w:rsidRDefault="00AB7F33" w:rsidP="00344E5D">
            <w:pPr>
              <w:suppressAutoHyphens w:val="0"/>
              <w:spacing w:before="40" w:after="40" w:line="200" w:lineRule="exact"/>
              <w:jc w:val="center"/>
              <w:rPr>
                <w:sz w:val="18"/>
              </w:rPr>
            </w:pPr>
            <w:r w:rsidRPr="00355EE0">
              <w:rPr>
                <w:sz w:val="18"/>
              </w:rPr>
              <w:t>66</w:t>
            </w:r>
            <w:r>
              <w:rPr>
                <w:sz w:val="18"/>
              </w:rPr>
              <w:t> </w:t>
            </w:r>
            <w:r w:rsidRPr="00355EE0">
              <w:rPr>
                <w:sz w:val="18"/>
              </w:rPr>
              <w:t>%</w:t>
            </w:r>
          </w:p>
          <w:p w:rsidR="00AB7F33" w:rsidRPr="00355EE0" w:rsidRDefault="00AB7F33" w:rsidP="00344E5D">
            <w:pPr>
              <w:spacing w:before="40" w:after="40" w:line="200" w:lineRule="exact"/>
              <w:jc w:val="center"/>
              <w:rPr>
                <w:sz w:val="18"/>
              </w:rPr>
            </w:pPr>
          </w:p>
        </w:tc>
        <w:tc>
          <w:tcPr>
            <w:tcW w:w="1218" w:type="dxa"/>
            <w:vMerge w:val="restart"/>
            <w:tcBorders>
              <w:top w:val="single" w:sz="12" w:space="0" w:color="auto"/>
              <w:left w:val="single" w:sz="4" w:space="0" w:color="auto"/>
              <w:right w:val="single" w:sz="4" w:space="0" w:color="auto"/>
            </w:tcBorders>
            <w:shd w:val="clear" w:color="auto" w:fill="auto"/>
            <w:vAlign w:val="center"/>
          </w:tcPr>
          <w:p w:rsidR="00AB7F33" w:rsidRPr="00355EE0" w:rsidRDefault="00AB7F33" w:rsidP="00344E5D">
            <w:pPr>
              <w:suppressAutoHyphens w:val="0"/>
              <w:spacing w:before="40" w:after="40" w:line="200" w:lineRule="exact"/>
              <w:jc w:val="center"/>
              <w:rPr>
                <w:sz w:val="18"/>
              </w:rPr>
            </w:pPr>
            <w:r w:rsidRPr="00355EE0">
              <w:rPr>
                <w:sz w:val="18"/>
              </w:rPr>
              <w:t>84</w:t>
            </w:r>
            <w:r>
              <w:rPr>
                <w:sz w:val="18"/>
              </w:rPr>
              <w:t> </w:t>
            </w:r>
            <w:r w:rsidRPr="00355EE0">
              <w:rPr>
                <w:sz w:val="18"/>
              </w:rPr>
              <w:t>%</w:t>
            </w:r>
          </w:p>
          <w:p w:rsidR="00AB7F33" w:rsidRPr="00355EE0" w:rsidRDefault="00AB7F33" w:rsidP="00344E5D">
            <w:pPr>
              <w:spacing w:before="40" w:after="40" w:line="200" w:lineRule="exact"/>
              <w:jc w:val="center"/>
              <w:rPr>
                <w:sz w:val="18"/>
              </w:rPr>
            </w:pPr>
          </w:p>
        </w:tc>
        <w:tc>
          <w:tcPr>
            <w:tcW w:w="1228" w:type="dxa"/>
            <w:vMerge w:val="restart"/>
            <w:tcBorders>
              <w:top w:val="single" w:sz="12" w:space="0" w:color="auto"/>
              <w:left w:val="single" w:sz="4" w:space="0" w:color="auto"/>
            </w:tcBorders>
            <w:shd w:val="clear" w:color="auto" w:fill="auto"/>
            <w:vAlign w:val="center"/>
          </w:tcPr>
          <w:p w:rsidR="00AB7F33" w:rsidRPr="00355EE0" w:rsidRDefault="00AB7F33" w:rsidP="00344E5D">
            <w:pPr>
              <w:suppressAutoHyphens w:val="0"/>
              <w:spacing w:before="40" w:after="40" w:line="200" w:lineRule="exact"/>
              <w:jc w:val="center"/>
              <w:rPr>
                <w:sz w:val="18"/>
              </w:rPr>
            </w:pPr>
            <w:r>
              <w:rPr>
                <w:sz w:val="18"/>
              </w:rPr>
              <w:t>101 </w:t>
            </w:r>
            <w:r w:rsidRPr="00355EE0">
              <w:rPr>
                <w:sz w:val="18"/>
              </w:rPr>
              <w:t>%</w:t>
            </w:r>
          </w:p>
          <w:p w:rsidR="00AB7F33" w:rsidRPr="00355EE0" w:rsidRDefault="00AB7F33" w:rsidP="00344E5D">
            <w:pPr>
              <w:spacing w:before="40" w:after="40" w:line="20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F</w:t>
            </w:r>
            <w:r>
              <w:rPr>
                <w:sz w:val="18"/>
              </w:rPr>
              <w:t xml:space="preserve"> </w:t>
            </w:r>
            <w:r>
              <w:rPr>
                <w:sz w:val="18"/>
              </w:rPr>
              <w:br/>
            </w:r>
            <w:r w:rsidRPr="00355EE0">
              <w:rPr>
                <w:sz w:val="18"/>
              </w:rPr>
              <w:t>G</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32</w:t>
            </w:r>
            <w:r>
              <w:rPr>
                <w:sz w:val="18"/>
              </w:rPr>
              <w:t xml:space="preserve"> </w:t>
            </w:r>
            <w:r>
              <w:rPr>
                <w:sz w:val="18"/>
              </w:rPr>
              <w:br/>
            </w:r>
            <w:r w:rsidRPr="00355EE0">
              <w:rPr>
                <w:sz w:val="18"/>
              </w:rPr>
              <w:t>40</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32</w:t>
            </w:r>
            <w:r>
              <w:rPr>
                <w:sz w:val="18"/>
              </w:rPr>
              <w:t xml:space="preserve"> </w:t>
            </w:r>
            <w:r>
              <w:rPr>
                <w:sz w:val="18"/>
              </w:rPr>
              <w:br/>
            </w:r>
            <w:r w:rsidRPr="00355EE0">
              <w:rPr>
                <w:sz w:val="18"/>
              </w:rPr>
              <w:t>32</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J</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48</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40</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K</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56</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48</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L</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64</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Pr>
                <w:sz w:val="18"/>
              </w:rPr>
              <w:t>−</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single" w:sz="4" w:space="0" w:color="auto"/>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M</w:t>
            </w:r>
          </w:p>
        </w:tc>
        <w:tc>
          <w:tcPr>
            <w:tcW w:w="1638"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72</w:t>
            </w:r>
          </w:p>
        </w:tc>
        <w:tc>
          <w:tcPr>
            <w:tcW w:w="1642"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Pr>
                <w:sz w:val="18"/>
              </w:rPr>
              <w:t>−</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single" w:sz="4" w:space="0" w:color="auto"/>
              <w:bottom w:val="nil"/>
              <w:right w:val="single" w:sz="4" w:space="0" w:color="auto"/>
            </w:tcBorders>
            <w:shd w:val="clear" w:color="auto" w:fill="auto"/>
          </w:tcPr>
          <w:p w:rsidR="00AB7F33" w:rsidRPr="00A662D4" w:rsidRDefault="00AB7F33" w:rsidP="00344E5D">
            <w:pPr>
              <w:suppressAutoHyphens w:val="0"/>
              <w:spacing w:before="40" w:after="40" w:line="200" w:lineRule="exact"/>
              <w:rPr>
                <w:sz w:val="18"/>
              </w:rPr>
            </w:pPr>
            <w:r w:rsidRPr="00A662D4">
              <w:rPr>
                <w:sz w:val="18"/>
              </w:rPr>
              <w:t>121 et au-dessous</w:t>
            </w:r>
          </w:p>
        </w:tc>
        <w:tc>
          <w:tcPr>
            <w:tcW w:w="1078" w:type="dxa"/>
            <w:tcBorders>
              <w:top w:val="single" w:sz="4"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Pr>
                <w:sz w:val="18"/>
              </w:rPr>
              <w:br/>
            </w:r>
            <w:r w:rsidRPr="00355EE0">
              <w:rPr>
                <w:sz w:val="18"/>
              </w:rPr>
              <w:t>F</w:t>
            </w:r>
          </w:p>
        </w:tc>
        <w:tc>
          <w:tcPr>
            <w:tcW w:w="1638" w:type="dxa"/>
            <w:tcBorders>
              <w:top w:val="single" w:sz="4"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Pr>
                <w:sz w:val="18"/>
              </w:rPr>
              <w:br/>
            </w:r>
            <w:r w:rsidRPr="00355EE0">
              <w:rPr>
                <w:sz w:val="18"/>
              </w:rPr>
              <w:t>32</w:t>
            </w:r>
          </w:p>
        </w:tc>
        <w:tc>
          <w:tcPr>
            <w:tcW w:w="1642" w:type="dxa"/>
            <w:tcBorders>
              <w:top w:val="single" w:sz="4" w:space="0" w:color="auto"/>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Pr>
                <w:sz w:val="18"/>
              </w:rPr>
              <w:br/>
            </w:r>
            <w:r w:rsidRPr="00355EE0">
              <w:rPr>
                <w:sz w:val="18"/>
              </w:rPr>
              <w:t>32</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6C74A0">
            <w:pPr>
              <w:suppressAutoHyphens w:val="0"/>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6C74A0">
            <w:pPr>
              <w:suppressAutoHyphens w:val="0"/>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6C74A0">
            <w:pPr>
              <w:suppressAutoHyphens w:val="0"/>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G</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40</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40</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J</w:t>
            </w:r>
          </w:p>
        </w:tc>
        <w:tc>
          <w:tcPr>
            <w:tcW w:w="1638"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48</w:t>
            </w:r>
          </w:p>
        </w:tc>
        <w:tc>
          <w:tcPr>
            <w:tcW w:w="1642" w:type="dxa"/>
            <w:tcBorders>
              <w:top w:val="nil"/>
              <w:left w:val="single" w:sz="4" w:space="0" w:color="auto"/>
              <w:bottom w:val="nil"/>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48</w:t>
            </w:r>
          </w:p>
        </w:tc>
        <w:tc>
          <w:tcPr>
            <w:tcW w:w="1227" w:type="dxa"/>
            <w:vMerge/>
            <w:tcBorders>
              <w:left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18" w:type="dxa"/>
            <w:vMerge/>
            <w:tcBorders>
              <w:left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28" w:type="dxa"/>
            <w:vMerge/>
            <w:tcBorders>
              <w:lef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r>
      <w:tr w:rsidR="00AB7F33" w:rsidRPr="00355EE0" w:rsidTr="008F5A73">
        <w:tblPrEx>
          <w:tblCellMar>
            <w:left w:w="117" w:type="dxa"/>
            <w:right w:w="117" w:type="dxa"/>
          </w:tblCellMar>
        </w:tblPrEx>
        <w:trPr>
          <w:jc w:val="center"/>
        </w:trPr>
        <w:tc>
          <w:tcPr>
            <w:tcW w:w="1586" w:type="dxa"/>
            <w:tcBorders>
              <w:top w:val="nil"/>
              <w:bottom w:val="nil"/>
              <w:right w:val="single" w:sz="4" w:space="0" w:color="auto"/>
            </w:tcBorders>
            <w:shd w:val="clear" w:color="auto" w:fill="auto"/>
          </w:tcPr>
          <w:p w:rsidR="00AB7F33" w:rsidRPr="00355EE0" w:rsidRDefault="00AB7F33" w:rsidP="00344E5D">
            <w:pPr>
              <w:suppressAutoHyphens w:val="0"/>
              <w:spacing w:before="40" w:after="40" w:line="200" w:lineRule="exact"/>
              <w:rPr>
                <w:sz w:val="18"/>
              </w:rPr>
            </w:pPr>
          </w:p>
        </w:tc>
        <w:tc>
          <w:tcPr>
            <w:tcW w:w="1078"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K</w:t>
            </w:r>
          </w:p>
        </w:tc>
        <w:tc>
          <w:tcPr>
            <w:tcW w:w="1638"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56</w:t>
            </w:r>
          </w:p>
        </w:tc>
        <w:tc>
          <w:tcPr>
            <w:tcW w:w="1642" w:type="dxa"/>
            <w:tcBorders>
              <w:top w:val="nil"/>
              <w:left w:val="single" w:sz="4" w:space="0" w:color="auto"/>
              <w:bottom w:val="single" w:sz="4" w:space="0" w:color="auto"/>
              <w:right w:val="single" w:sz="4" w:space="0" w:color="auto"/>
            </w:tcBorders>
            <w:shd w:val="clear" w:color="auto" w:fill="auto"/>
            <w:vAlign w:val="bottom"/>
          </w:tcPr>
          <w:p w:rsidR="00AB7F33" w:rsidRPr="00355EE0" w:rsidRDefault="00AB7F33" w:rsidP="00344E5D">
            <w:pPr>
              <w:suppressAutoHyphens w:val="0"/>
              <w:spacing w:before="40" w:after="40" w:line="200" w:lineRule="exact"/>
              <w:jc w:val="center"/>
              <w:rPr>
                <w:sz w:val="18"/>
              </w:rPr>
            </w:pPr>
            <w:r w:rsidRPr="00355EE0">
              <w:rPr>
                <w:sz w:val="18"/>
              </w:rPr>
              <w:t>56</w:t>
            </w:r>
          </w:p>
        </w:tc>
        <w:tc>
          <w:tcPr>
            <w:tcW w:w="1227" w:type="dxa"/>
            <w:vMerge/>
            <w:tcBorders>
              <w:left w:val="single" w:sz="4" w:space="0" w:color="auto"/>
              <w:bottom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18" w:type="dxa"/>
            <w:vMerge/>
            <w:tcBorders>
              <w:left w:val="single" w:sz="4" w:space="0" w:color="auto"/>
              <w:bottom w:val="single" w:sz="4" w:space="0" w:color="auto"/>
              <w:right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c>
          <w:tcPr>
            <w:tcW w:w="1228" w:type="dxa"/>
            <w:vMerge/>
            <w:tcBorders>
              <w:left w:val="single" w:sz="4" w:space="0" w:color="auto"/>
              <w:bottom w:val="single" w:sz="4" w:space="0" w:color="auto"/>
            </w:tcBorders>
            <w:shd w:val="clear" w:color="auto" w:fill="auto"/>
            <w:vAlign w:val="bottom"/>
          </w:tcPr>
          <w:p w:rsidR="00AB7F33" w:rsidRPr="00355EE0" w:rsidRDefault="00AB7F33" w:rsidP="00A662D4">
            <w:pPr>
              <w:suppressAutoHyphens w:val="0"/>
              <w:spacing w:before="40" w:after="40" w:line="220" w:lineRule="exact"/>
              <w:jc w:val="center"/>
              <w:rPr>
                <w:sz w:val="18"/>
              </w:rPr>
            </w:pPr>
          </w:p>
        </w:tc>
      </w:tr>
      <w:tr w:rsidR="00A662D4" w:rsidRPr="00355EE0" w:rsidTr="00DB1882">
        <w:tblPrEx>
          <w:tblCellMar>
            <w:left w:w="117" w:type="dxa"/>
            <w:right w:w="117" w:type="dxa"/>
          </w:tblCellMar>
        </w:tblPrEx>
        <w:trPr>
          <w:jc w:val="center"/>
        </w:trPr>
        <w:tc>
          <w:tcPr>
            <w:tcW w:w="1586" w:type="dxa"/>
            <w:tcBorders>
              <w:top w:val="nil"/>
              <w:bottom w:val="nil"/>
            </w:tcBorders>
            <w:shd w:val="clear" w:color="auto" w:fill="auto"/>
          </w:tcPr>
          <w:p w:rsidR="008F3781" w:rsidRPr="00355EE0" w:rsidRDefault="008F3781" w:rsidP="00344E5D">
            <w:pPr>
              <w:suppressAutoHyphens w:val="0"/>
              <w:spacing w:before="40" w:after="40" w:line="200" w:lineRule="exact"/>
              <w:rPr>
                <w:sz w:val="18"/>
              </w:rPr>
            </w:pPr>
          </w:p>
        </w:tc>
        <w:tc>
          <w:tcPr>
            <w:tcW w:w="1078" w:type="dxa"/>
            <w:tcBorders>
              <w:top w:val="single" w:sz="4" w:space="0" w:color="auto"/>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L</w:t>
            </w:r>
          </w:p>
        </w:tc>
        <w:tc>
          <w:tcPr>
            <w:tcW w:w="1638" w:type="dxa"/>
            <w:tcBorders>
              <w:top w:val="single" w:sz="4" w:space="0" w:color="auto"/>
              <w:left w:val="single" w:sz="4" w:space="0" w:color="auto"/>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64</w:t>
            </w:r>
          </w:p>
        </w:tc>
        <w:tc>
          <w:tcPr>
            <w:tcW w:w="1642" w:type="dxa"/>
            <w:tcBorders>
              <w:top w:val="single" w:sz="4" w:space="0" w:color="auto"/>
              <w:left w:val="single" w:sz="4" w:space="0" w:color="auto"/>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56</w:t>
            </w:r>
          </w:p>
        </w:tc>
        <w:tc>
          <w:tcPr>
            <w:tcW w:w="1227" w:type="dxa"/>
            <w:tcBorders>
              <w:top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70</w:t>
            </w:r>
            <w:r w:rsidR="00A662D4">
              <w:rPr>
                <w:sz w:val="18"/>
              </w:rPr>
              <w:t> </w:t>
            </w:r>
            <w:r w:rsidRPr="00355EE0">
              <w:rPr>
                <w:sz w:val="18"/>
              </w:rPr>
              <w:t>%</w:t>
            </w:r>
          </w:p>
        </w:tc>
        <w:tc>
          <w:tcPr>
            <w:tcW w:w="1218" w:type="dxa"/>
            <w:tcBorders>
              <w:top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88</w:t>
            </w:r>
            <w:r w:rsidR="00A662D4">
              <w:rPr>
                <w:sz w:val="18"/>
              </w:rPr>
              <w:t> </w:t>
            </w:r>
            <w:r w:rsidRPr="00355EE0">
              <w:rPr>
                <w:sz w:val="18"/>
              </w:rPr>
              <w:t>%</w:t>
            </w:r>
          </w:p>
        </w:tc>
        <w:tc>
          <w:tcPr>
            <w:tcW w:w="1228" w:type="dxa"/>
            <w:tcBorders>
              <w:top w:val="single" w:sz="4" w:space="0" w:color="auto"/>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106</w:t>
            </w:r>
            <w:r w:rsidR="00A662D4">
              <w:rPr>
                <w:sz w:val="18"/>
              </w:rPr>
              <w:t> </w:t>
            </w:r>
            <w:r w:rsidRPr="00355EE0">
              <w:rPr>
                <w:sz w:val="18"/>
              </w:rPr>
              <w:t>%</w:t>
            </w:r>
          </w:p>
        </w:tc>
      </w:tr>
      <w:tr w:rsidR="00A662D4" w:rsidRPr="00355EE0" w:rsidTr="00DB1882">
        <w:tblPrEx>
          <w:tblCellMar>
            <w:left w:w="117" w:type="dxa"/>
            <w:right w:w="117" w:type="dxa"/>
          </w:tblCellMar>
        </w:tblPrEx>
        <w:trPr>
          <w:jc w:val="center"/>
        </w:trPr>
        <w:tc>
          <w:tcPr>
            <w:tcW w:w="1586" w:type="dxa"/>
            <w:tcBorders>
              <w:top w:val="nil"/>
              <w:bottom w:val="nil"/>
            </w:tcBorders>
            <w:shd w:val="clear" w:color="auto" w:fill="auto"/>
          </w:tcPr>
          <w:p w:rsidR="008F3781" w:rsidRPr="00355EE0" w:rsidRDefault="008F3781" w:rsidP="00344E5D">
            <w:pPr>
              <w:suppressAutoHyphens w:val="0"/>
              <w:spacing w:before="40" w:after="40" w:line="200" w:lineRule="exact"/>
              <w:rPr>
                <w:sz w:val="18"/>
              </w:rPr>
            </w:pPr>
          </w:p>
        </w:tc>
        <w:tc>
          <w:tcPr>
            <w:tcW w:w="1078" w:type="dxa"/>
            <w:tcBorders>
              <w:top w:val="nil"/>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p>
        </w:tc>
        <w:tc>
          <w:tcPr>
            <w:tcW w:w="1638" w:type="dxa"/>
            <w:tcBorders>
              <w:top w:val="nil"/>
              <w:left w:val="single" w:sz="4" w:space="0" w:color="auto"/>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p>
        </w:tc>
        <w:tc>
          <w:tcPr>
            <w:tcW w:w="1642" w:type="dxa"/>
            <w:tcBorders>
              <w:top w:val="nil"/>
              <w:left w:val="single" w:sz="4" w:space="0" w:color="auto"/>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p>
        </w:tc>
        <w:tc>
          <w:tcPr>
            <w:tcW w:w="1227" w:type="dxa"/>
            <w:tcBorders>
              <w:bottom w:val="single" w:sz="4" w:space="0" w:color="auto"/>
            </w:tcBorders>
            <w:shd w:val="clear" w:color="auto" w:fill="auto"/>
            <w:vAlign w:val="bottom"/>
          </w:tcPr>
          <w:p w:rsidR="008F3781" w:rsidRPr="00F051EB" w:rsidRDefault="008F3781" w:rsidP="00344E5D">
            <w:pPr>
              <w:suppressAutoHyphens w:val="0"/>
              <w:spacing w:before="40" w:after="40" w:line="200" w:lineRule="exact"/>
              <w:jc w:val="center"/>
              <w:rPr>
                <w:i/>
                <w:sz w:val="18"/>
              </w:rPr>
            </w:pPr>
            <w:r w:rsidRPr="00F051EB">
              <w:rPr>
                <w:i/>
                <w:sz w:val="18"/>
              </w:rPr>
              <w:t>4 h</w:t>
            </w:r>
          </w:p>
        </w:tc>
        <w:tc>
          <w:tcPr>
            <w:tcW w:w="1218" w:type="dxa"/>
            <w:tcBorders>
              <w:bottom w:val="single" w:sz="4" w:space="0" w:color="auto"/>
            </w:tcBorders>
            <w:shd w:val="clear" w:color="auto" w:fill="auto"/>
            <w:vAlign w:val="bottom"/>
          </w:tcPr>
          <w:p w:rsidR="008F3781" w:rsidRPr="00F051EB" w:rsidRDefault="008F3781" w:rsidP="00344E5D">
            <w:pPr>
              <w:suppressAutoHyphens w:val="0"/>
              <w:spacing w:before="40" w:after="40" w:line="200" w:lineRule="exact"/>
              <w:jc w:val="center"/>
              <w:rPr>
                <w:i/>
                <w:sz w:val="18"/>
              </w:rPr>
            </w:pPr>
            <w:r w:rsidRPr="00F051EB">
              <w:rPr>
                <w:i/>
                <w:sz w:val="18"/>
              </w:rPr>
              <w:t>6 h</w:t>
            </w:r>
          </w:p>
        </w:tc>
        <w:tc>
          <w:tcPr>
            <w:tcW w:w="1228" w:type="dxa"/>
            <w:tcBorders>
              <w:top w:val="nil"/>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p>
        </w:tc>
      </w:tr>
      <w:tr w:rsidR="00A662D4" w:rsidRPr="00355EE0" w:rsidTr="00DB1882">
        <w:tblPrEx>
          <w:tblCellMar>
            <w:left w:w="117" w:type="dxa"/>
            <w:right w:w="117" w:type="dxa"/>
          </w:tblCellMar>
        </w:tblPrEx>
        <w:trPr>
          <w:jc w:val="center"/>
        </w:trPr>
        <w:tc>
          <w:tcPr>
            <w:tcW w:w="1586" w:type="dxa"/>
            <w:tcBorders>
              <w:top w:val="nil"/>
              <w:bottom w:val="nil"/>
            </w:tcBorders>
            <w:shd w:val="clear" w:color="auto" w:fill="auto"/>
          </w:tcPr>
          <w:p w:rsidR="008F3781" w:rsidRPr="00355EE0" w:rsidRDefault="008F3781" w:rsidP="00344E5D">
            <w:pPr>
              <w:suppressAutoHyphens w:val="0"/>
              <w:spacing w:before="40" w:after="40" w:line="200" w:lineRule="exact"/>
              <w:rPr>
                <w:sz w:val="18"/>
              </w:rPr>
            </w:pPr>
          </w:p>
        </w:tc>
        <w:tc>
          <w:tcPr>
            <w:tcW w:w="1078" w:type="dxa"/>
            <w:tcBorders>
              <w:top w:val="nil"/>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M</w:t>
            </w:r>
          </w:p>
        </w:tc>
        <w:tc>
          <w:tcPr>
            <w:tcW w:w="1638" w:type="dxa"/>
            <w:tcBorders>
              <w:top w:val="nil"/>
              <w:left w:val="single" w:sz="4" w:space="0" w:color="auto"/>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80</w:t>
            </w:r>
          </w:p>
        </w:tc>
        <w:tc>
          <w:tcPr>
            <w:tcW w:w="1642" w:type="dxa"/>
            <w:tcBorders>
              <w:top w:val="nil"/>
              <w:left w:val="single" w:sz="4" w:space="0" w:color="auto"/>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64</w:t>
            </w:r>
          </w:p>
        </w:tc>
        <w:tc>
          <w:tcPr>
            <w:tcW w:w="1227" w:type="dxa"/>
            <w:tcBorders>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75</w:t>
            </w:r>
            <w:r w:rsidR="00A662D4">
              <w:rPr>
                <w:sz w:val="18"/>
              </w:rPr>
              <w:t> </w:t>
            </w:r>
            <w:r w:rsidRPr="00355EE0">
              <w:rPr>
                <w:sz w:val="18"/>
              </w:rPr>
              <w:t>%</w:t>
            </w:r>
          </w:p>
        </w:tc>
        <w:tc>
          <w:tcPr>
            <w:tcW w:w="1218" w:type="dxa"/>
            <w:tcBorders>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97</w:t>
            </w:r>
            <w:r w:rsidR="00A662D4">
              <w:rPr>
                <w:sz w:val="18"/>
              </w:rPr>
              <w:t> </w:t>
            </w:r>
            <w:r w:rsidRPr="00355EE0">
              <w:rPr>
                <w:sz w:val="18"/>
              </w:rPr>
              <w:t>%</w:t>
            </w:r>
          </w:p>
        </w:tc>
        <w:tc>
          <w:tcPr>
            <w:tcW w:w="1228" w:type="dxa"/>
            <w:tcBorders>
              <w:top w:val="nil"/>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114</w:t>
            </w:r>
            <w:r w:rsidR="00A662D4">
              <w:rPr>
                <w:sz w:val="18"/>
              </w:rPr>
              <w:t> </w:t>
            </w:r>
            <w:r w:rsidRPr="00355EE0">
              <w:rPr>
                <w:sz w:val="18"/>
              </w:rPr>
              <w:t>%</w:t>
            </w:r>
          </w:p>
        </w:tc>
      </w:tr>
      <w:tr w:rsidR="00A662D4" w:rsidRPr="00355EE0" w:rsidTr="00A20011">
        <w:tblPrEx>
          <w:tblCellMar>
            <w:left w:w="117" w:type="dxa"/>
            <w:right w:w="117" w:type="dxa"/>
          </w:tblCellMar>
        </w:tblPrEx>
        <w:trPr>
          <w:jc w:val="center"/>
        </w:trPr>
        <w:tc>
          <w:tcPr>
            <w:tcW w:w="1586" w:type="dxa"/>
            <w:tcBorders>
              <w:top w:val="nil"/>
              <w:bottom w:val="nil"/>
            </w:tcBorders>
            <w:shd w:val="clear" w:color="auto" w:fill="auto"/>
          </w:tcPr>
          <w:p w:rsidR="008F3781" w:rsidRPr="00355EE0" w:rsidRDefault="008F3781" w:rsidP="00344E5D">
            <w:pPr>
              <w:suppressAutoHyphens w:val="0"/>
              <w:spacing w:before="40" w:after="40" w:line="200" w:lineRule="exact"/>
              <w:rPr>
                <w:sz w:val="18"/>
              </w:rPr>
            </w:pPr>
          </w:p>
        </w:tc>
        <w:tc>
          <w:tcPr>
            <w:tcW w:w="1078" w:type="dxa"/>
            <w:tcBorders>
              <w:top w:val="nil"/>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N</w:t>
            </w:r>
          </w:p>
        </w:tc>
        <w:tc>
          <w:tcPr>
            <w:tcW w:w="1638" w:type="dxa"/>
            <w:tcBorders>
              <w:top w:val="nil"/>
              <w:left w:val="single" w:sz="4" w:space="0" w:color="auto"/>
              <w:bottom w:val="nil"/>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88</w:t>
            </w:r>
          </w:p>
        </w:tc>
        <w:tc>
          <w:tcPr>
            <w:tcW w:w="1642" w:type="dxa"/>
            <w:tcBorders>
              <w:top w:val="nil"/>
              <w:left w:val="single" w:sz="4" w:space="0" w:color="auto"/>
              <w:bottom w:val="nil"/>
            </w:tcBorders>
            <w:shd w:val="clear" w:color="auto" w:fill="auto"/>
            <w:vAlign w:val="bottom"/>
          </w:tcPr>
          <w:p w:rsidR="008F3781" w:rsidRPr="00355EE0" w:rsidRDefault="00F15BB8" w:rsidP="00344E5D">
            <w:pPr>
              <w:suppressAutoHyphens w:val="0"/>
              <w:spacing w:before="40" w:after="40" w:line="200" w:lineRule="exact"/>
              <w:jc w:val="center"/>
              <w:rPr>
                <w:sz w:val="18"/>
              </w:rPr>
            </w:pPr>
            <w:r>
              <w:rPr>
                <w:sz w:val="18"/>
              </w:rPr>
              <w:t>−</w:t>
            </w:r>
          </w:p>
        </w:tc>
        <w:tc>
          <w:tcPr>
            <w:tcW w:w="1227" w:type="dxa"/>
            <w:tcBorders>
              <w:top w:val="nil"/>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75</w:t>
            </w:r>
            <w:r w:rsidR="00A662D4">
              <w:rPr>
                <w:sz w:val="18"/>
              </w:rPr>
              <w:t> </w:t>
            </w:r>
            <w:r w:rsidRPr="00355EE0">
              <w:rPr>
                <w:sz w:val="18"/>
              </w:rPr>
              <w:t>%</w:t>
            </w:r>
          </w:p>
        </w:tc>
        <w:tc>
          <w:tcPr>
            <w:tcW w:w="1218" w:type="dxa"/>
            <w:tcBorders>
              <w:top w:val="nil"/>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97</w:t>
            </w:r>
            <w:r w:rsidR="00A662D4">
              <w:rPr>
                <w:sz w:val="18"/>
              </w:rPr>
              <w:t> </w:t>
            </w:r>
            <w:r w:rsidRPr="00355EE0">
              <w:rPr>
                <w:sz w:val="18"/>
              </w:rPr>
              <w:t>%</w:t>
            </w:r>
          </w:p>
        </w:tc>
        <w:tc>
          <w:tcPr>
            <w:tcW w:w="1228" w:type="dxa"/>
            <w:tcBorders>
              <w:top w:val="nil"/>
              <w:bottom w:val="nil"/>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114</w:t>
            </w:r>
            <w:r w:rsidR="00A662D4">
              <w:rPr>
                <w:sz w:val="18"/>
              </w:rPr>
              <w:t> </w:t>
            </w:r>
            <w:r w:rsidRPr="00355EE0">
              <w:rPr>
                <w:sz w:val="18"/>
              </w:rPr>
              <w:t>%</w:t>
            </w:r>
          </w:p>
        </w:tc>
      </w:tr>
      <w:tr w:rsidR="00A662D4" w:rsidRPr="00355EE0" w:rsidTr="00A20011">
        <w:tblPrEx>
          <w:tblCellMar>
            <w:left w:w="117" w:type="dxa"/>
            <w:right w:w="117" w:type="dxa"/>
          </w:tblCellMar>
        </w:tblPrEx>
        <w:trPr>
          <w:jc w:val="center"/>
        </w:trPr>
        <w:tc>
          <w:tcPr>
            <w:tcW w:w="1586" w:type="dxa"/>
            <w:tcBorders>
              <w:top w:val="nil"/>
              <w:bottom w:val="single" w:sz="12" w:space="0" w:color="auto"/>
            </w:tcBorders>
            <w:shd w:val="clear" w:color="auto" w:fill="auto"/>
          </w:tcPr>
          <w:p w:rsidR="008F3781" w:rsidRPr="00355EE0" w:rsidRDefault="008F3781" w:rsidP="00344E5D">
            <w:pPr>
              <w:suppressAutoHyphens w:val="0"/>
              <w:spacing w:before="40" w:after="40" w:line="200" w:lineRule="exact"/>
              <w:rPr>
                <w:sz w:val="18"/>
              </w:rPr>
            </w:pPr>
          </w:p>
        </w:tc>
        <w:tc>
          <w:tcPr>
            <w:tcW w:w="1078" w:type="dxa"/>
            <w:tcBorders>
              <w:top w:val="nil"/>
              <w:bottom w:val="single" w:sz="12" w:space="0" w:color="auto"/>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P</w:t>
            </w:r>
          </w:p>
        </w:tc>
        <w:tc>
          <w:tcPr>
            <w:tcW w:w="1638" w:type="dxa"/>
            <w:tcBorders>
              <w:top w:val="nil"/>
              <w:left w:val="single" w:sz="4" w:space="0" w:color="auto"/>
              <w:bottom w:val="single" w:sz="12" w:space="0" w:color="auto"/>
              <w:right w:val="single" w:sz="4"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96</w:t>
            </w:r>
          </w:p>
        </w:tc>
        <w:tc>
          <w:tcPr>
            <w:tcW w:w="1642" w:type="dxa"/>
            <w:tcBorders>
              <w:top w:val="nil"/>
              <w:left w:val="single" w:sz="4" w:space="0" w:color="auto"/>
              <w:bottom w:val="single" w:sz="12" w:space="0" w:color="auto"/>
            </w:tcBorders>
            <w:shd w:val="clear" w:color="auto" w:fill="auto"/>
            <w:vAlign w:val="bottom"/>
          </w:tcPr>
          <w:p w:rsidR="008F3781" w:rsidRPr="00355EE0" w:rsidRDefault="00F15BB8" w:rsidP="00344E5D">
            <w:pPr>
              <w:suppressAutoHyphens w:val="0"/>
              <w:spacing w:before="40" w:after="40" w:line="200" w:lineRule="exact"/>
              <w:jc w:val="center"/>
              <w:rPr>
                <w:sz w:val="18"/>
              </w:rPr>
            </w:pPr>
            <w:r>
              <w:rPr>
                <w:sz w:val="18"/>
              </w:rPr>
              <w:t>−</w:t>
            </w:r>
          </w:p>
        </w:tc>
        <w:tc>
          <w:tcPr>
            <w:tcW w:w="1227" w:type="dxa"/>
            <w:tcBorders>
              <w:top w:val="nil"/>
              <w:bottom w:val="single" w:sz="12"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75</w:t>
            </w:r>
            <w:r w:rsidR="00A662D4">
              <w:rPr>
                <w:sz w:val="18"/>
              </w:rPr>
              <w:t> </w:t>
            </w:r>
            <w:r w:rsidRPr="00355EE0">
              <w:rPr>
                <w:sz w:val="18"/>
              </w:rPr>
              <w:t>%</w:t>
            </w:r>
          </w:p>
        </w:tc>
        <w:tc>
          <w:tcPr>
            <w:tcW w:w="1218" w:type="dxa"/>
            <w:tcBorders>
              <w:top w:val="nil"/>
              <w:bottom w:val="single" w:sz="12"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97</w:t>
            </w:r>
            <w:r w:rsidR="00A662D4">
              <w:rPr>
                <w:sz w:val="18"/>
              </w:rPr>
              <w:t> </w:t>
            </w:r>
            <w:r w:rsidRPr="00355EE0">
              <w:rPr>
                <w:sz w:val="18"/>
              </w:rPr>
              <w:t>%</w:t>
            </w:r>
          </w:p>
        </w:tc>
        <w:tc>
          <w:tcPr>
            <w:tcW w:w="1228" w:type="dxa"/>
            <w:tcBorders>
              <w:top w:val="nil"/>
              <w:bottom w:val="single" w:sz="12" w:space="0" w:color="auto"/>
            </w:tcBorders>
            <w:shd w:val="clear" w:color="auto" w:fill="auto"/>
            <w:vAlign w:val="bottom"/>
          </w:tcPr>
          <w:p w:rsidR="008F3781" w:rsidRPr="00355EE0" w:rsidRDefault="008F3781" w:rsidP="00344E5D">
            <w:pPr>
              <w:suppressAutoHyphens w:val="0"/>
              <w:spacing w:before="40" w:after="40" w:line="200" w:lineRule="exact"/>
              <w:jc w:val="center"/>
              <w:rPr>
                <w:sz w:val="18"/>
              </w:rPr>
            </w:pPr>
            <w:r w:rsidRPr="00355EE0">
              <w:rPr>
                <w:sz w:val="18"/>
              </w:rPr>
              <w:t>114</w:t>
            </w:r>
            <w:r w:rsidR="00A662D4">
              <w:rPr>
                <w:sz w:val="18"/>
              </w:rPr>
              <w:t> </w:t>
            </w:r>
            <w:r w:rsidRPr="00355EE0">
              <w:rPr>
                <w:sz w:val="18"/>
              </w:rPr>
              <w:t>%</w:t>
            </w:r>
          </w:p>
        </w:tc>
      </w:tr>
    </w:tbl>
    <w:p w:rsidR="00781885" w:rsidRPr="00781885" w:rsidRDefault="008F3781" w:rsidP="00781885">
      <w:pPr>
        <w:pStyle w:val="SingleTxtG"/>
        <w:spacing w:after="0" w:line="220" w:lineRule="exact"/>
        <w:ind w:left="0" w:right="0" w:firstLine="170"/>
        <w:rPr>
          <w:sz w:val="18"/>
          <w:szCs w:val="18"/>
        </w:rPr>
      </w:pPr>
      <w:r w:rsidRPr="00781885">
        <w:rPr>
          <w:i/>
          <w:sz w:val="18"/>
          <w:szCs w:val="18"/>
        </w:rPr>
        <w:t>Notes</w:t>
      </w:r>
      <w:r w:rsidR="00781885" w:rsidRPr="00781885">
        <w:rPr>
          <w:sz w:val="18"/>
          <w:szCs w:val="18"/>
        </w:rPr>
        <w:t> </w:t>
      </w:r>
      <w:r w:rsidRPr="00781885">
        <w:rPr>
          <w:sz w:val="18"/>
          <w:szCs w:val="18"/>
        </w:rPr>
        <w:t>:</w:t>
      </w:r>
    </w:p>
    <w:p w:rsidR="00781885" w:rsidRPr="00781885" w:rsidRDefault="008F3781" w:rsidP="00781885">
      <w:pPr>
        <w:pStyle w:val="SingleTxtG"/>
        <w:spacing w:after="0" w:line="220" w:lineRule="exact"/>
        <w:ind w:left="0" w:right="0" w:firstLine="170"/>
        <w:rPr>
          <w:sz w:val="18"/>
          <w:szCs w:val="18"/>
        </w:rPr>
      </w:pPr>
      <w:r w:rsidRPr="00781885">
        <w:rPr>
          <w:sz w:val="18"/>
          <w:szCs w:val="18"/>
        </w:rPr>
        <w:t>1)</w:t>
      </w:r>
      <w:r w:rsidRPr="00781885">
        <w:rPr>
          <w:sz w:val="18"/>
          <w:szCs w:val="18"/>
        </w:rPr>
        <w:tab/>
        <w:t>Les “</w:t>
      </w:r>
      <w:r w:rsidRPr="00F051EB">
        <w:rPr>
          <w:i/>
          <w:sz w:val="18"/>
          <w:szCs w:val="18"/>
        </w:rPr>
        <w:t>pneumatiques spéciaux</w:t>
      </w:r>
      <w:r w:rsidRPr="00781885">
        <w:rPr>
          <w:sz w:val="18"/>
          <w:szCs w:val="18"/>
        </w:rPr>
        <w:t>” (voir par.</w:t>
      </w:r>
      <w:r w:rsidR="00781885" w:rsidRPr="00781885">
        <w:rPr>
          <w:sz w:val="18"/>
          <w:szCs w:val="18"/>
        </w:rPr>
        <w:t> </w:t>
      </w:r>
      <w:r w:rsidRPr="00781885">
        <w:rPr>
          <w:sz w:val="18"/>
          <w:szCs w:val="18"/>
        </w:rPr>
        <w:t>2.3.2 du présent Règlement) doivent être essayés à une vitesse égale à 85</w:t>
      </w:r>
      <w:r w:rsidR="00781885" w:rsidRPr="00781885">
        <w:rPr>
          <w:sz w:val="18"/>
          <w:szCs w:val="18"/>
        </w:rPr>
        <w:t> </w:t>
      </w:r>
      <w:r w:rsidRPr="00781885">
        <w:rPr>
          <w:sz w:val="18"/>
          <w:szCs w:val="18"/>
        </w:rPr>
        <w:t>% de la vitesse prescrite pour les pneumatiques normaux équivalents.</w:t>
      </w:r>
    </w:p>
    <w:p w:rsidR="00781885" w:rsidRPr="00781885" w:rsidRDefault="008F3781" w:rsidP="00781885">
      <w:pPr>
        <w:pStyle w:val="SingleTxtG"/>
        <w:spacing w:after="0" w:line="220" w:lineRule="exact"/>
        <w:ind w:left="0" w:right="0" w:firstLine="170"/>
      </w:pPr>
      <w:r w:rsidRPr="00781885">
        <w:rPr>
          <w:sz w:val="18"/>
          <w:szCs w:val="18"/>
        </w:rPr>
        <w:t>2)</w:t>
      </w:r>
      <w:r w:rsidRPr="00781885">
        <w:rPr>
          <w:sz w:val="18"/>
          <w:szCs w:val="18"/>
        </w:rPr>
        <w:tab/>
        <w:t>Les pneumatiques ayant un indice de charge de 122 ou plus et portant le code de vitesse “N” ou “P” et la mention supplémentaire “C” ou “LT” dans la désignation de dimension du pneumatique (visée au paragraphe</w:t>
      </w:r>
      <w:r w:rsidR="00781885" w:rsidRPr="00781885">
        <w:rPr>
          <w:sz w:val="18"/>
          <w:szCs w:val="18"/>
        </w:rPr>
        <w:t> </w:t>
      </w:r>
      <w:r w:rsidRPr="00781885">
        <w:rPr>
          <w:sz w:val="18"/>
          <w:szCs w:val="18"/>
        </w:rPr>
        <w:t>3.2.14 du présent Règlement) doivent être soumis aux essais selon le même programme que celui qui est indiqué dans le tableau ci-dessus pour les pneumatiques ayant un indice de charge de 121 ou moins.</w:t>
      </w:r>
      <w:r w:rsidR="00781885">
        <w:t> ».</w:t>
      </w:r>
    </w:p>
    <w:p w:rsidR="008F3781" w:rsidRPr="00880DE8" w:rsidRDefault="00000D14" w:rsidP="0082534E">
      <w:pPr>
        <w:pStyle w:val="SingleTxtG"/>
        <w:rPr>
          <w:i/>
          <w:lang w:val="en-US"/>
        </w:rPr>
      </w:pPr>
      <w:r>
        <w:rPr>
          <w:i/>
          <w:lang w:val="en-US"/>
        </w:rPr>
        <w:lastRenderedPageBreak/>
        <w:t>Annexe 10</w:t>
      </w:r>
      <w:r w:rsidRPr="00000D14">
        <w:rPr>
          <w:i/>
          <w:lang w:val="en-US"/>
        </w:rPr>
        <w:t>,</w:t>
      </w:r>
    </w:p>
    <w:p w:rsidR="008F3781" w:rsidRPr="00880DE8" w:rsidRDefault="008F3781" w:rsidP="00880DE8">
      <w:pPr>
        <w:pStyle w:val="SingleTxtG"/>
        <w:rPr>
          <w:bCs/>
          <w:lang w:val="fr-FR"/>
        </w:rPr>
      </w:pPr>
      <w:r w:rsidRPr="00880DE8">
        <w:rPr>
          <w:bCs/>
          <w:i/>
          <w:lang w:val="fr-FR"/>
        </w:rPr>
        <w:t>Paragraphe 1.3</w:t>
      </w:r>
      <w:r w:rsidRPr="00880DE8">
        <w:rPr>
          <w:bCs/>
          <w:lang w:val="fr-FR"/>
        </w:rPr>
        <w:t>, modifier comme suit</w:t>
      </w:r>
      <w:r w:rsidR="00000D14">
        <w:rPr>
          <w:bCs/>
          <w:lang w:val="fr-FR"/>
        </w:rPr>
        <w:t> </w:t>
      </w:r>
      <w:r w:rsidRPr="00880DE8">
        <w:rPr>
          <w:bCs/>
          <w:lang w:val="fr-FR"/>
        </w:rPr>
        <w:t>: sans objet en français.</w:t>
      </w:r>
    </w:p>
    <w:p w:rsidR="008F3781" w:rsidRPr="00880DE8" w:rsidRDefault="008F3781" w:rsidP="00880DE8">
      <w:pPr>
        <w:pStyle w:val="SingleTxtG"/>
        <w:rPr>
          <w:bCs/>
          <w:lang w:val="fr-FR"/>
        </w:rPr>
      </w:pPr>
      <w:r w:rsidRPr="00880DE8">
        <w:rPr>
          <w:bCs/>
          <w:i/>
          <w:lang w:val="fr-FR"/>
        </w:rPr>
        <w:t xml:space="preserve">Le paragraphe 3.1.4.2 </w:t>
      </w:r>
      <w:r w:rsidR="00000D14">
        <w:rPr>
          <w:bCs/>
          <w:lang w:val="fr-FR"/>
        </w:rPr>
        <w:t>devient le paragraphe 3.1.5 </w:t>
      </w:r>
      <w:r w:rsidRPr="00880DE8">
        <w:rPr>
          <w:bCs/>
          <w:lang w:val="fr-FR"/>
        </w:rPr>
        <w:t>:</w:t>
      </w:r>
    </w:p>
    <w:p w:rsidR="00000D14" w:rsidRDefault="00000D14" w:rsidP="00000D14">
      <w:pPr>
        <w:pStyle w:val="SingleTxtG"/>
        <w:ind w:left="2268" w:hanging="1134"/>
        <w:rPr>
          <w:bCs/>
          <w:lang w:val="fr-FR"/>
        </w:rPr>
      </w:pPr>
      <w:r>
        <w:rPr>
          <w:bCs/>
          <w:lang w:val="fr-FR"/>
        </w:rPr>
        <w:t>« </w:t>
      </w:r>
      <w:r w:rsidR="008F3781" w:rsidRPr="00880DE8">
        <w:rPr>
          <w:bCs/>
          <w:lang w:val="fr-FR"/>
        </w:rPr>
        <w:t>3.1.5</w:t>
      </w:r>
      <w:r>
        <w:rPr>
          <w:bCs/>
          <w:lang w:val="fr-FR"/>
        </w:rPr>
        <w:tab/>
      </w:r>
      <w:r w:rsidR="008F3781" w:rsidRPr="00880DE8">
        <w:rPr>
          <w:bCs/>
          <w:lang w:val="fr-FR"/>
        </w:rPr>
        <w:tab/>
        <w:t>Instruments de mesure</w:t>
      </w:r>
    </w:p>
    <w:p w:rsidR="00000D14" w:rsidRDefault="00000D14" w:rsidP="00000D14">
      <w:pPr>
        <w:pStyle w:val="SingleTxtG"/>
        <w:ind w:left="2268" w:hanging="1134"/>
        <w:rPr>
          <w:bCs/>
          <w:lang w:val="fr-FR"/>
        </w:rPr>
      </w:pPr>
      <w:r>
        <w:rPr>
          <w:bCs/>
          <w:lang w:val="fr-FR"/>
        </w:rPr>
        <w:tab/>
      </w:r>
      <w:r w:rsidR="008F3781" w:rsidRPr="00880DE8">
        <w:rPr>
          <w:bCs/>
          <w:lang w:val="fr-FR"/>
        </w:rPr>
        <w:t xml:space="preserve">Le </w:t>
      </w:r>
      <w:r w:rsidR="008F3781" w:rsidRPr="00000D14">
        <w:rPr>
          <w:lang w:val="fr-FR"/>
        </w:rPr>
        <w:t>véhicule</w:t>
      </w:r>
      <w:r w:rsidR="008F3781" w:rsidRPr="00880DE8">
        <w:rPr>
          <w:bCs/>
          <w:lang w:val="fr-FR"/>
        </w:rPr>
        <w:t xml:space="preserve"> doit être équipé de capteurs étalonnés, adaptés pour des mesures en conditions hivernales. Un système d</w:t>
      </w:r>
      <w:r w:rsidR="00880DE8" w:rsidRPr="00880DE8">
        <w:rPr>
          <w:bCs/>
          <w:lang w:val="fr-FR"/>
        </w:rPr>
        <w:t>’</w:t>
      </w:r>
      <w:r w:rsidR="008F3781" w:rsidRPr="00880DE8">
        <w:rPr>
          <w:bCs/>
          <w:lang w:val="fr-FR"/>
        </w:rPr>
        <w:t>acquisition de données doit être prévu pour enregistrer les mesures.</w:t>
      </w:r>
    </w:p>
    <w:p w:rsidR="008F3781" w:rsidRPr="00000D14" w:rsidRDefault="00000D14" w:rsidP="00000D14">
      <w:pPr>
        <w:pStyle w:val="SingleTxtG"/>
        <w:ind w:left="2268" w:hanging="1134"/>
        <w:rPr>
          <w:bCs/>
          <w:lang w:val="fr-FR"/>
        </w:rPr>
      </w:pPr>
      <w:r>
        <w:rPr>
          <w:bCs/>
          <w:lang w:val="fr-FR"/>
        </w:rPr>
        <w:tab/>
      </w:r>
      <w:r w:rsidR="008F3781" w:rsidRPr="00880DE8">
        <w:rPr>
          <w:bCs/>
          <w:lang w:val="fr-FR"/>
        </w:rPr>
        <w:t>La justesse des capteurs et systèmes de mesure doit être telle que l</w:t>
      </w:r>
      <w:r w:rsidR="00880DE8" w:rsidRPr="00880DE8">
        <w:rPr>
          <w:bCs/>
          <w:lang w:val="fr-FR"/>
        </w:rPr>
        <w:t>’</w:t>
      </w:r>
      <w:r w:rsidR="008F3781" w:rsidRPr="00880DE8">
        <w:rPr>
          <w:bCs/>
          <w:lang w:val="fr-FR"/>
        </w:rPr>
        <w:t>incertitude relative des valeurs mesurées ou calculées de la décélération moyenne en régime soit inférieure à 1</w:t>
      </w:r>
      <w:r>
        <w:rPr>
          <w:bCs/>
          <w:lang w:val="fr-FR"/>
        </w:rPr>
        <w:t> </w:t>
      </w:r>
      <w:r w:rsidR="008F3781" w:rsidRPr="00880DE8">
        <w:rPr>
          <w:bCs/>
          <w:lang w:val="fr-FR"/>
        </w:rPr>
        <w:t>%.</w:t>
      </w:r>
      <w:r>
        <w:rPr>
          <w:bCs/>
          <w:lang w:val="fr-FR"/>
        </w:rPr>
        <w:t> »</w:t>
      </w:r>
      <w:r w:rsidR="008F3781" w:rsidRPr="00880DE8">
        <w:rPr>
          <w:bCs/>
          <w:i/>
          <w:lang w:val="fr-FR"/>
        </w:rPr>
        <w:t>.</w:t>
      </w:r>
    </w:p>
    <w:p w:rsidR="008F3781" w:rsidRPr="00880DE8" w:rsidRDefault="008F3781" w:rsidP="0082534E">
      <w:pPr>
        <w:pStyle w:val="SingleTxtG"/>
        <w:rPr>
          <w:bCs/>
          <w:lang w:val="fr-FR"/>
        </w:rPr>
      </w:pPr>
      <w:r w:rsidRPr="0082534E">
        <w:rPr>
          <w:i/>
          <w:lang w:val="en-US"/>
        </w:rPr>
        <w:t>Paragraphe</w:t>
      </w:r>
      <w:r w:rsidRPr="00880DE8">
        <w:rPr>
          <w:bCs/>
          <w:i/>
          <w:lang w:val="fr-FR"/>
        </w:rPr>
        <w:t xml:space="preserve"> 3.2.1</w:t>
      </w:r>
      <w:r w:rsidR="00000D14">
        <w:rPr>
          <w:bCs/>
          <w:lang w:val="fr-FR"/>
        </w:rPr>
        <w:t xml:space="preserve">, </w:t>
      </w:r>
      <w:r w:rsidRPr="00880DE8">
        <w:rPr>
          <w:bCs/>
          <w:lang w:val="fr-FR"/>
        </w:rPr>
        <w:t>lire</w:t>
      </w:r>
      <w:r w:rsidR="00000D14">
        <w:rPr>
          <w:bCs/>
          <w:lang w:val="fr-FR"/>
        </w:rPr>
        <w:t> </w:t>
      </w:r>
      <w:r w:rsidRPr="00880DE8">
        <w:rPr>
          <w:bCs/>
          <w:lang w:val="fr-FR"/>
        </w:rPr>
        <w:t>:</w:t>
      </w:r>
    </w:p>
    <w:p w:rsidR="008F3781" w:rsidRPr="00880DE8" w:rsidRDefault="00000D14" w:rsidP="00000D14">
      <w:pPr>
        <w:pStyle w:val="SingleTxtG"/>
        <w:ind w:left="2268" w:hanging="1134"/>
        <w:rPr>
          <w:bCs/>
          <w:lang w:val="fr-FR"/>
        </w:rPr>
      </w:pPr>
      <w:r>
        <w:rPr>
          <w:bCs/>
          <w:lang w:val="fr-FR"/>
        </w:rPr>
        <w:t>« </w:t>
      </w:r>
      <w:r w:rsidR="008F3781" w:rsidRPr="00880DE8">
        <w:rPr>
          <w:bCs/>
          <w:lang w:val="fr-FR"/>
        </w:rPr>
        <w:t>3.2.1</w:t>
      </w:r>
      <w:r>
        <w:rPr>
          <w:bCs/>
          <w:lang w:val="fr-FR"/>
        </w:rPr>
        <w:tab/>
      </w:r>
      <w:r w:rsidR="008F3781" w:rsidRPr="00880DE8">
        <w:rPr>
          <w:bCs/>
          <w:lang w:val="fr-FR"/>
        </w:rPr>
        <w:tab/>
        <w:t>Pour chaque pneumatique à contrôler et pour le pneumatique de référence normalisé, les essais de freinage ABS doiven</w:t>
      </w:r>
      <w:r>
        <w:rPr>
          <w:bCs/>
          <w:lang w:val="fr-FR"/>
        </w:rPr>
        <w:t>t être répétés au moins 6 fois. »</w:t>
      </w:r>
      <w:r w:rsidR="008F3781" w:rsidRPr="00880DE8">
        <w:rPr>
          <w:bCs/>
          <w:lang w:val="fr-FR"/>
        </w:rPr>
        <w:t>.</w:t>
      </w:r>
    </w:p>
    <w:p w:rsidR="008F3781" w:rsidRPr="00880DE8" w:rsidRDefault="008F3781" w:rsidP="0082534E">
      <w:pPr>
        <w:pStyle w:val="SingleTxtG"/>
        <w:rPr>
          <w:bCs/>
          <w:lang w:val="fr-FR"/>
        </w:rPr>
      </w:pPr>
      <w:r w:rsidRPr="00880DE8">
        <w:rPr>
          <w:bCs/>
          <w:i/>
          <w:lang w:val="fr-FR"/>
        </w:rPr>
        <w:t>Paragraphe 3.4.1.2</w:t>
      </w:r>
      <w:r w:rsidR="00000D14">
        <w:rPr>
          <w:bCs/>
          <w:lang w:val="fr-FR"/>
        </w:rPr>
        <w:t>,</w:t>
      </w:r>
      <w:r w:rsidRPr="00880DE8">
        <w:rPr>
          <w:bCs/>
          <w:lang w:val="fr-FR"/>
        </w:rPr>
        <w:t xml:space="preserve"> lire</w:t>
      </w:r>
      <w:r w:rsidR="00000D14">
        <w:rPr>
          <w:bCs/>
          <w:lang w:val="fr-FR"/>
        </w:rPr>
        <w:t> </w:t>
      </w:r>
      <w:r w:rsidRPr="00880DE8">
        <w:rPr>
          <w:bCs/>
          <w:lang w:val="fr-FR"/>
        </w:rPr>
        <w:t>:</w:t>
      </w:r>
    </w:p>
    <w:p w:rsidR="00000D14" w:rsidRDefault="00000D14" w:rsidP="00000D14">
      <w:pPr>
        <w:pStyle w:val="SingleTxtG"/>
        <w:ind w:left="2268" w:hanging="1134"/>
        <w:rPr>
          <w:bCs/>
          <w:lang w:val="fr-FR"/>
        </w:rPr>
      </w:pPr>
      <w:r>
        <w:rPr>
          <w:bCs/>
          <w:lang w:val="fr-FR"/>
        </w:rPr>
        <w:tab/>
      </w:r>
      <w:r w:rsidR="00E2325A">
        <w:rPr>
          <w:bCs/>
          <w:lang w:val="fr-FR"/>
        </w:rPr>
        <w:t>« </w:t>
      </w:r>
      <w:r>
        <w:rPr>
          <w:bCs/>
          <w:lang w:val="fr-FR"/>
        </w:rPr>
        <w:t xml:space="preserve">Les </w:t>
      </w:r>
      <w:r w:rsidR="008F3781" w:rsidRPr="00880DE8">
        <w:rPr>
          <w:bCs/>
          <w:lang w:val="fr-FR"/>
        </w:rPr>
        <w:t>moyennes</w:t>
      </w:r>
      <w:r>
        <w:rPr>
          <w:bCs/>
          <w:lang w:val="fr-FR"/>
        </w:rPr>
        <w:t xml:space="preserve"> pondérées de deux essais</w:t>
      </w:r>
      <w:r w:rsidR="008F3781" w:rsidRPr="00880DE8">
        <w:rPr>
          <w:bCs/>
          <w:lang w:val="fr-FR"/>
        </w:rPr>
        <w:t xml:space="preserve"> </w:t>
      </w:r>
      <w:r>
        <w:rPr>
          <w:bCs/>
          <w:lang w:val="fr-FR"/>
        </w:rPr>
        <w:t>successifs du SRTT doivent être calculées en tenant compte du</w:t>
      </w:r>
      <w:r w:rsidR="008F3781" w:rsidRPr="00880DE8">
        <w:rPr>
          <w:bCs/>
          <w:lang w:val="fr-FR"/>
        </w:rPr>
        <w:t xml:space="preserve"> nombre</w:t>
      </w:r>
      <w:r>
        <w:rPr>
          <w:bCs/>
          <w:lang w:val="fr-FR"/>
        </w:rPr>
        <w:t xml:space="preserve"> de pneumatiques</w:t>
      </w:r>
      <w:r w:rsidR="008F3781" w:rsidRPr="00880DE8">
        <w:rPr>
          <w:bCs/>
          <w:lang w:val="fr-FR"/>
        </w:rPr>
        <w:t xml:space="preserve"> à contrôler intercalés dans la séquence d</w:t>
      </w:r>
      <w:r w:rsidR="00880DE8" w:rsidRPr="00880DE8">
        <w:rPr>
          <w:bCs/>
          <w:lang w:val="fr-FR"/>
        </w:rPr>
        <w:t>’</w:t>
      </w:r>
      <w:r>
        <w:rPr>
          <w:bCs/>
          <w:lang w:val="fr-FR"/>
        </w:rPr>
        <w:t>essais :</w:t>
      </w:r>
    </w:p>
    <w:p w:rsidR="008F3781" w:rsidRPr="00880DE8" w:rsidRDefault="00000D14" w:rsidP="0082534E">
      <w:pPr>
        <w:pStyle w:val="SingleTxtG"/>
        <w:spacing w:line="220" w:lineRule="atLeast"/>
        <w:ind w:left="2268" w:hanging="1134"/>
        <w:rPr>
          <w:bCs/>
          <w:lang w:val="fr-FR"/>
        </w:rPr>
      </w:pPr>
      <w:r>
        <w:rPr>
          <w:bCs/>
          <w:lang w:val="fr-FR"/>
        </w:rPr>
        <w:tab/>
      </w:r>
      <w:r w:rsidR="008F3781" w:rsidRPr="00880DE8">
        <w:rPr>
          <w:bCs/>
          <w:lang w:val="fr-FR"/>
        </w:rPr>
        <w:t>…</w:t>
      </w:r>
      <w:r>
        <w:rPr>
          <w:bCs/>
          <w:lang w:val="fr-FR"/>
        </w:rPr>
        <w:t> »</w:t>
      </w:r>
      <w:r w:rsidR="008F3781" w:rsidRPr="00880DE8">
        <w:rPr>
          <w:bCs/>
          <w:lang w:val="fr-FR"/>
        </w:rPr>
        <w:t>.</w:t>
      </w:r>
    </w:p>
    <w:p w:rsidR="008F3781" w:rsidRPr="00880DE8" w:rsidRDefault="008F3781" w:rsidP="0082534E">
      <w:pPr>
        <w:pStyle w:val="SingleTxtG"/>
        <w:rPr>
          <w:bCs/>
          <w:lang w:val="fr-FR"/>
        </w:rPr>
      </w:pPr>
      <w:r w:rsidRPr="0082534E">
        <w:rPr>
          <w:i/>
          <w:lang w:val="en-US"/>
        </w:rPr>
        <w:t>Paragraphe</w:t>
      </w:r>
      <w:r w:rsidRPr="00880DE8">
        <w:rPr>
          <w:bCs/>
          <w:i/>
          <w:lang w:val="fr-FR"/>
        </w:rPr>
        <w:t xml:space="preserve"> 3.4.2</w:t>
      </w:r>
      <w:r w:rsidR="00000D14">
        <w:rPr>
          <w:bCs/>
          <w:lang w:val="fr-FR"/>
        </w:rPr>
        <w:t xml:space="preserve">, </w:t>
      </w:r>
      <w:r w:rsidRPr="00880DE8">
        <w:rPr>
          <w:bCs/>
          <w:lang w:val="fr-FR"/>
        </w:rPr>
        <w:t>lire</w:t>
      </w:r>
      <w:r w:rsidR="00000D14">
        <w:rPr>
          <w:bCs/>
          <w:lang w:val="fr-FR"/>
        </w:rPr>
        <w:t> </w:t>
      </w:r>
      <w:r w:rsidRPr="00880DE8">
        <w:rPr>
          <w:bCs/>
          <w:lang w:val="fr-FR"/>
        </w:rPr>
        <w:t>:</w:t>
      </w:r>
    </w:p>
    <w:p w:rsidR="008F3781" w:rsidRPr="00880DE8" w:rsidRDefault="00000D14" w:rsidP="00000D14">
      <w:pPr>
        <w:pStyle w:val="SingleTxtG"/>
        <w:ind w:left="2268" w:hanging="1134"/>
        <w:rPr>
          <w:bCs/>
          <w:lang w:val="fr-FR"/>
        </w:rPr>
      </w:pPr>
      <w:r>
        <w:rPr>
          <w:bCs/>
          <w:lang w:val="fr-FR"/>
        </w:rPr>
        <w:t>« </w:t>
      </w:r>
      <w:r w:rsidR="008F3781" w:rsidRPr="00880DE8">
        <w:rPr>
          <w:bCs/>
          <w:lang w:val="fr-FR"/>
        </w:rPr>
        <w:t>3.4.2</w:t>
      </w:r>
      <w:r w:rsidR="008F3781" w:rsidRPr="00880DE8">
        <w:rPr>
          <w:bCs/>
          <w:lang w:val="fr-FR"/>
        </w:rPr>
        <w:tab/>
        <w:t>Validations statistiques</w:t>
      </w:r>
    </w:p>
    <w:p w:rsidR="008F3781" w:rsidRPr="00880DE8" w:rsidRDefault="008F3781" w:rsidP="00000D14">
      <w:pPr>
        <w:pStyle w:val="SingleTxtG"/>
        <w:ind w:left="2268" w:hanging="1134"/>
        <w:rPr>
          <w:bCs/>
          <w:lang w:val="fr-FR"/>
        </w:rPr>
      </w:pPr>
      <w:r w:rsidRPr="00880DE8">
        <w:rPr>
          <w:bCs/>
          <w:lang w:val="fr-FR"/>
        </w:rPr>
        <w:tab/>
        <w:t>Les séries de valeurs mesurées ou calculées de la dmr obtenues lors des essais répétés pour chaque pneumatique devraient être examinées quant à leur normalité et à l</w:t>
      </w:r>
      <w:r w:rsidR="00880DE8" w:rsidRPr="00880DE8">
        <w:rPr>
          <w:bCs/>
          <w:lang w:val="fr-FR"/>
        </w:rPr>
        <w:t>’</w:t>
      </w:r>
      <w:r w:rsidRPr="00880DE8">
        <w:rPr>
          <w:bCs/>
          <w:lang w:val="fr-FR"/>
        </w:rPr>
        <w:t>existence éventuelle d</w:t>
      </w:r>
      <w:r w:rsidR="00880DE8" w:rsidRPr="00880DE8">
        <w:rPr>
          <w:bCs/>
          <w:lang w:val="fr-FR"/>
        </w:rPr>
        <w:t>’</w:t>
      </w:r>
      <w:r w:rsidRPr="00880DE8">
        <w:rPr>
          <w:bCs/>
          <w:lang w:val="fr-FR"/>
        </w:rPr>
        <w:t>une d</w:t>
      </w:r>
      <w:r w:rsidR="00000D14">
        <w:rPr>
          <w:bCs/>
          <w:lang w:val="fr-FR"/>
        </w:rPr>
        <w:t>érive ou de valeurs aberrantes.</w:t>
      </w:r>
    </w:p>
    <w:p w:rsidR="008F3781" w:rsidRPr="00880DE8" w:rsidRDefault="008F3781" w:rsidP="00000D14">
      <w:pPr>
        <w:pStyle w:val="SingleTxtG"/>
        <w:ind w:left="2268" w:hanging="1134"/>
        <w:rPr>
          <w:bCs/>
          <w:lang w:val="fr-FR"/>
        </w:rPr>
      </w:pPr>
      <w:r w:rsidRPr="00880DE8">
        <w:rPr>
          <w:bCs/>
          <w:lang w:val="fr-FR"/>
        </w:rPr>
        <w:tab/>
        <w:t xml:space="preserve">La cohérence des moyennes et des écarts types des essais de freinage successifs du SRTT devrait être examinée. </w:t>
      </w:r>
    </w:p>
    <w:p w:rsidR="008F3781" w:rsidRPr="00880DE8" w:rsidRDefault="008F3781" w:rsidP="00000D14">
      <w:pPr>
        <w:pStyle w:val="SingleTxtG"/>
        <w:ind w:left="2268" w:hanging="1134"/>
        <w:rPr>
          <w:bCs/>
          <w:lang w:val="fr-FR"/>
        </w:rPr>
      </w:pPr>
      <w:r w:rsidRPr="00880DE8">
        <w:rPr>
          <w:bCs/>
          <w:lang w:val="fr-FR"/>
        </w:rPr>
        <w:tab/>
        <w:t>Les moyennes de deux essais de freinage successifs du SRTT ne doivent pas différer de plus de 5</w:t>
      </w:r>
      <w:r w:rsidR="00000D14">
        <w:rPr>
          <w:bCs/>
          <w:lang w:val="fr-FR"/>
        </w:rPr>
        <w:t> </w:t>
      </w:r>
      <w:r w:rsidRPr="00880DE8">
        <w:rPr>
          <w:bCs/>
          <w:lang w:val="fr-FR"/>
        </w:rPr>
        <w:t>%.</w:t>
      </w:r>
    </w:p>
    <w:p w:rsidR="008F3781" w:rsidRPr="00880DE8" w:rsidRDefault="008F3781" w:rsidP="00000D14">
      <w:pPr>
        <w:pStyle w:val="SingleTxtG"/>
        <w:ind w:left="2268" w:hanging="1134"/>
        <w:rPr>
          <w:bCs/>
          <w:lang w:val="fr-FR"/>
        </w:rPr>
      </w:pPr>
      <w:r w:rsidRPr="00880DE8">
        <w:rPr>
          <w:bCs/>
          <w:lang w:val="fr-FR"/>
        </w:rPr>
        <w:tab/>
        <w:t>Le coefficient de variation de chaque essai de freinage doit être inférieur à</w:t>
      </w:r>
      <w:r w:rsidR="00595906">
        <w:rPr>
          <w:bCs/>
          <w:lang w:val="fr-FR"/>
        </w:rPr>
        <w:t> </w:t>
      </w:r>
      <w:r w:rsidRPr="00880DE8">
        <w:rPr>
          <w:bCs/>
          <w:lang w:val="fr-FR"/>
        </w:rPr>
        <w:t>6</w:t>
      </w:r>
      <w:r w:rsidR="00000D14">
        <w:rPr>
          <w:bCs/>
          <w:lang w:val="fr-FR"/>
        </w:rPr>
        <w:t> </w:t>
      </w:r>
      <w:r w:rsidRPr="00880DE8">
        <w:rPr>
          <w:bCs/>
          <w:lang w:val="fr-FR"/>
        </w:rPr>
        <w:t>%.</w:t>
      </w:r>
    </w:p>
    <w:p w:rsidR="008F3781" w:rsidRPr="00880DE8" w:rsidRDefault="008F3781" w:rsidP="00000D14">
      <w:pPr>
        <w:pStyle w:val="SingleTxtG"/>
        <w:ind w:left="2268" w:hanging="1134"/>
        <w:rPr>
          <w:bCs/>
          <w:lang w:val="fr-FR"/>
        </w:rPr>
      </w:pPr>
      <w:r w:rsidRPr="00880DE8">
        <w:rPr>
          <w:bCs/>
          <w:lang w:val="fr-FR"/>
        </w:rPr>
        <w:tab/>
        <w:t>Si ces conditions ne sont pas remplies, les essais doivent être recommencés après remise en état de la piste d</w:t>
      </w:r>
      <w:r w:rsidR="00880DE8" w:rsidRPr="00880DE8">
        <w:rPr>
          <w:bCs/>
          <w:lang w:val="fr-FR"/>
        </w:rPr>
        <w:t>’</w:t>
      </w:r>
      <w:r w:rsidR="00000D14">
        <w:rPr>
          <w:bCs/>
          <w:lang w:val="fr-FR"/>
        </w:rPr>
        <w:t>essai. »</w:t>
      </w:r>
      <w:r w:rsidRPr="00880DE8">
        <w:rPr>
          <w:bCs/>
          <w:lang w:val="fr-FR"/>
        </w:rPr>
        <w:t>.</w:t>
      </w:r>
    </w:p>
    <w:p w:rsidR="008F3781" w:rsidRPr="00880DE8" w:rsidRDefault="008F3781" w:rsidP="0082534E">
      <w:pPr>
        <w:pStyle w:val="SingleTxtG"/>
        <w:rPr>
          <w:bCs/>
          <w:lang w:val="fr-FR"/>
        </w:rPr>
      </w:pPr>
      <w:r w:rsidRPr="0082534E">
        <w:rPr>
          <w:i/>
          <w:lang w:val="en-US"/>
        </w:rPr>
        <w:t>Paragraphe</w:t>
      </w:r>
      <w:r w:rsidRPr="00880DE8">
        <w:rPr>
          <w:bCs/>
          <w:i/>
          <w:lang w:val="fr-FR"/>
        </w:rPr>
        <w:t xml:space="preserve"> 4.2</w:t>
      </w:r>
      <w:r w:rsidRPr="00880DE8">
        <w:rPr>
          <w:bCs/>
          <w:lang w:val="fr-FR"/>
        </w:rPr>
        <w:t>, lire</w:t>
      </w:r>
      <w:r w:rsidR="00000D14">
        <w:rPr>
          <w:bCs/>
          <w:lang w:val="fr-FR"/>
        </w:rPr>
        <w:t> </w:t>
      </w:r>
      <w:r w:rsidRPr="00880DE8">
        <w:rPr>
          <w:bCs/>
          <w:lang w:val="fr-FR"/>
        </w:rPr>
        <w:t>:</w:t>
      </w:r>
    </w:p>
    <w:p w:rsidR="008F3781" w:rsidRPr="00880DE8" w:rsidRDefault="00000D14" w:rsidP="00000D14">
      <w:pPr>
        <w:pStyle w:val="SingleTxtG"/>
        <w:ind w:left="2268" w:hanging="1134"/>
        <w:rPr>
          <w:lang w:val="fr-FR"/>
        </w:rPr>
      </w:pPr>
      <w:r>
        <w:rPr>
          <w:lang w:val="fr-FR"/>
        </w:rPr>
        <w:t>« </w:t>
      </w:r>
      <w:r w:rsidR="008F3781" w:rsidRPr="00880DE8">
        <w:rPr>
          <w:lang w:val="fr-FR"/>
        </w:rPr>
        <w:t>4.2</w:t>
      </w:r>
      <w:r w:rsidR="008F3781" w:rsidRPr="00880DE8">
        <w:rPr>
          <w:lang w:val="fr-FR"/>
        </w:rPr>
        <w:tab/>
        <w:t>Méthodes de détermination de l</w:t>
      </w:r>
      <w:r w:rsidR="00880DE8" w:rsidRPr="00880DE8">
        <w:rPr>
          <w:lang w:val="fr-FR"/>
        </w:rPr>
        <w:t>’</w:t>
      </w:r>
      <w:r w:rsidR="008F3781" w:rsidRPr="00880DE8">
        <w:rPr>
          <w:lang w:val="fr-FR"/>
        </w:rPr>
        <w:t>indice d</w:t>
      </w:r>
      <w:r w:rsidR="00880DE8" w:rsidRPr="00880DE8">
        <w:rPr>
          <w:lang w:val="fr-FR"/>
        </w:rPr>
        <w:t>’</w:t>
      </w:r>
      <w:r>
        <w:rPr>
          <w:lang w:val="fr-FR"/>
        </w:rPr>
        <w:t>adhérence sur neige</w:t>
      </w:r>
    </w:p>
    <w:p w:rsidR="008F3781" w:rsidRPr="00880DE8" w:rsidRDefault="008F3781" w:rsidP="00000D14">
      <w:pPr>
        <w:pStyle w:val="SingleTxtG"/>
        <w:ind w:left="2268" w:hanging="1134"/>
        <w:rPr>
          <w:lang w:val="fr-FR"/>
        </w:rPr>
      </w:pPr>
      <w:r w:rsidRPr="00880DE8">
        <w:rPr>
          <w:lang w:val="fr-FR"/>
        </w:rPr>
        <w:tab/>
        <w:t>On détermine les performances sur la neige en comparant, lors d</w:t>
      </w:r>
      <w:r w:rsidR="00880DE8" w:rsidRPr="00880DE8">
        <w:rPr>
          <w:lang w:val="fr-FR"/>
        </w:rPr>
        <w:t>’</w:t>
      </w:r>
      <w:r w:rsidRPr="00880DE8">
        <w:rPr>
          <w:lang w:val="fr-FR"/>
        </w:rPr>
        <w:t>un essai d</w:t>
      </w:r>
      <w:r w:rsidR="00880DE8" w:rsidRPr="00880DE8">
        <w:rPr>
          <w:lang w:val="fr-FR"/>
        </w:rPr>
        <w:t>’</w:t>
      </w:r>
      <w:r w:rsidRPr="00880DE8">
        <w:rPr>
          <w:lang w:val="fr-FR"/>
        </w:rPr>
        <w:t>accélération, l</w:t>
      </w:r>
      <w:r w:rsidR="00880DE8" w:rsidRPr="00880DE8">
        <w:rPr>
          <w:lang w:val="fr-FR"/>
        </w:rPr>
        <w:t>’</w:t>
      </w:r>
      <w:r w:rsidRPr="00880DE8">
        <w:rPr>
          <w:lang w:val="fr-FR"/>
        </w:rPr>
        <w:t>accélération moyenne d</w:t>
      </w:r>
      <w:r w:rsidR="00880DE8" w:rsidRPr="00880DE8">
        <w:rPr>
          <w:lang w:val="fr-FR"/>
        </w:rPr>
        <w:t>’</w:t>
      </w:r>
      <w:r w:rsidR="0082534E">
        <w:rPr>
          <w:lang w:val="fr-FR"/>
        </w:rPr>
        <w:t xml:space="preserve">un pneumatique à contrôler </w:t>
      </w:r>
      <w:r w:rsidRPr="00880DE8">
        <w:rPr>
          <w:lang w:val="fr-FR"/>
        </w:rPr>
        <w:t>à celle du pneumatique SRTT.</w:t>
      </w:r>
    </w:p>
    <w:p w:rsidR="008F3781" w:rsidRPr="00880DE8" w:rsidRDefault="008F3781" w:rsidP="00000D14">
      <w:pPr>
        <w:pStyle w:val="SingleTxtG"/>
        <w:ind w:left="2268" w:hanging="1134"/>
        <w:rPr>
          <w:lang w:val="fr-FR"/>
        </w:rPr>
      </w:pPr>
      <w:r w:rsidRPr="00880DE8">
        <w:rPr>
          <w:lang w:val="fr-FR"/>
        </w:rPr>
        <w:tab/>
        <w:t>Les performances relatives sont exprimées par un indice d</w:t>
      </w:r>
      <w:r w:rsidR="00880DE8" w:rsidRPr="00880DE8">
        <w:rPr>
          <w:lang w:val="fr-FR"/>
        </w:rPr>
        <w:t>’</w:t>
      </w:r>
      <w:r w:rsidRPr="00880DE8">
        <w:rPr>
          <w:lang w:val="fr-FR"/>
        </w:rPr>
        <w:t>adhérence sur neige (SG).</w:t>
      </w:r>
    </w:p>
    <w:p w:rsidR="008F3781" w:rsidRPr="00DA315A" w:rsidRDefault="008F3781" w:rsidP="00DA315A">
      <w:pPr>
        <w:pStyle w:val="SingleTxtG"/>
        <w:ind w:left="2268" w:hanging="1134"/>
        <w:rPr>
          <w:spacing w:val="-1"/>
          <w:lang w:val="fr-FR"/>
        </w:rPr>
      </w:pPr>
      <w:r w:rsidRPr="00DA315A">
        <w:rPr>
          <w:spacing w:val="-1"/>
          <w:lang w:val="fr-FR"/>
        </w:rPr>
        <w:tab/>
      </w:r>
      <w:r w:rsidRPr="00DA315A">
        <w:rPr>
          <w:lang w:val="fr-FR"/>
        </w:rPr>
        <w:t>Lors d</w:t>
      </w:r>
      <w:r w:rsidR="00880DE8" w:rsidRPr="00DA315A">
        <w:rPr>
          <w:lang w:val="fr-FR"/>
        </w:rPr>
        <w:t>’</w:t>
      </w:r>
      <w:r w:rsidRPr="00DA315A">
        <w:rPr>
          <w:lang w:val="fr-FR"/>
        </w:rPr>
        <w:t>un essai d</w:t>
      </w:r>
      <w:r w:rsidR="00880DE8" w:rsidRPr="00DA315A">
        <w:rPr>
          <w:lang w:val="fr-FR"/>
        </w:rPr>
        <w:t>’</w:t>
      </w:r>
      <w:r w:rsidRPr="00DA315A">
        <w:rPr>
          <w:lang w:val="fr-FR"/>
        </w:rPr>
        <w:t>accélération effe</w:t>
      </w:r>
      <w:r w:rsidR="0082534E" w:rsidRPr="00DA315A">
        <w:rPr>
          <w:lang w:val="fr-FR"/>
        </w:rPr>
        <w:t>ctué conformément au paragraphe </w:t>
      </w:r>
      <w:r w:rsidRPr="00DA315A">
        <w:rPr>
          <w:lang w:val="fr-FR"/>
        </w:rPr>
        <w:t>4.7 ci-après, l</w:t>
      </w:r>
      <w:r w:rsidR="00880DE8" w:rsidRPr="00DA315A">
        <w:rPr>
          <w:lang w:val="fr-FR"/>
        </w:rPr>
        <w:t>’</w:t>
      </w:r>
      <w:r w:rsidRPr="00DA315A">
        <w:rPr>
          <w:lang w:val="fr-FR"/>
        </w:rPr>
        <w:t>accélération moyenne pour le pneumatique neige à contrôler doit être</w:t>
      </w:r>
      <w:r w:rsidRPr="00DA315A">
        <w:rPr>
          <w:spacing w:val="-1"/>
          <w:lang w:val="fr-FR"/>
        </w:rPr>
        <w:t xml:space="preserve"> </w:t>
      </w:r>
      <w:r w:rsidRPr="00DA315A">
        <w:rPr>
          <w:lang w:val="fr-FR"/>
        </w:rPr>
        <w:t>au moins égale à 1,25 par rapport à celle obtenue pour l</w:t>
      </w:r>
      <w:r w:rsidR="00880DE8" w:rsidRPr="00DA315A">
        <w:rPr>
          <w:lang w:val="fr-FR"/>
        </w:rPr>
        <w:t>’</w:t>
      </w:r>
      <w:r w:rsidRPr="00DA315A">
        <w:rPr>
          <w:lang w:val="fr-FR"/>
        </w:rPr>
        <w:t>un des pneumatiques SRTT équivalents, à savoir l</w:t>
      </w:r>
      <w:r w:rsidR="00880DE8" w:rsidRPr="00DA315A">
        <w:rPr>
          <w:lang w:val="fr-FR"/>
        </w:rPr>
        <w:t>’</w:t>
      </w:r>
      <w:r w:rsidRPr="00DA315A">
        <w:rPr>
          <w:lang w:val="fr-FR"/>
        </w:rPr>
        <w:t>ASTM F2870 ou l</w:t>
      </w:r>
      <w:r w:rsidR="00880DE8" w:rsidRPr="00DA315A">
        <w:rPr>
          <w:lang w:val="fr-FR"/>
        </w:rPr>
        <w:t>’</w:t>
      </w:r>
      <w:r w:rsidR="0082534E" w:rsidRPr="00DA315A">
        <w:rPr>
          <w:lang w:val="fr-FR"/>
        </w:rPr>
        <w:t>ASTM F2871. »</w:t>
      </w:r>
      <w:r w:rsidRPr="00DA315A">
        <w:rPr>
          <w:lang w:val="fr-FR"/>
        </w:rPr>
        <w:t>.</w:t>
      </w:r>
    </w:p>
    <w:p w:rsidR="008F3781" w:rsidRPr="00880DE8" w:rsidRDefault="008F3781" w:rsidP="00880DE8">
      <w:pPr>
        <w:pStyle w:val="SingleTxtG"/>
        <w:rPr>
          <w:bCs/>
          <w:lang w:val="fr-FR"/>
        </w:rPr>
      </w:pPr>
      <w:r w:rsidRPr="00880DE8">
        <w:rPr>
          <w:bCs/>
          <w:i/>
          <w:lang w:val="fr-FR"/>
        </w:rPr>
        <w:t>Paragraphe 4.4.1</w:t>
      </w:r>
      <w:r w:rsidRPr="00880DE8">
        <w:rPr>
          <w:bCs/>
          <w:lang w:val="fr-FR"/>
        </w:rPr>
        <w:t>, modifier comme suit</w:t>
      </w:r>
      <w:r w:rsidR="0082534E">
        <w:rPr>
          <w:bCs/>
          <w:lang w:val="fr-FR"/>
        </w:rPr>
        <w:t> </w:t>
      </w:r>
      <w:r w:rsidRPr="00880DE8">
        <w:rPr>
          <w:bCs/>
          <w:lang w:val="fr-FR"/>
        </w:rPr>
        <w:t>: sans objet en français.</w:t>
      </w:r>
    </w:p>
    <w:p w:rsidR="008F3781" w:rsidRPr="00880DE8" w:rsidRDefault="008F3781" w:rsidP="00880DE8">
      <w:pPr>
        <w:pStyle w:val="SingleTxtG"/>
        <w:rPr>
          <w:bCs/>
          <w:lang w:val="fr-FR"/>
        </w:rPr>
      </w:pPr>
      <w:r w:rsidRPr="00880DE8">
        <w:rPr>
          <w:bCs/>
          <w:i/>
          <w:lang w:val="fr-FR"/>
        </w:rPr>
        <w:t xml:space="preserve">Paragraphe </w:t>
      </w:r>
      <w:r w:rsidRPr="00880DE8">
        <w:rPr>
          <w:i/>
          <w:lang w:val="fr-FR"/>
        </w:rPr>
        <w:t>4.7.2.1</w:t>
      </w:r>
      <w:r w:rsidR="0082534E">
        <w:rPr>
          <w:bCs/>
          <w:lang w:val="fr-FR"/>
        </w:rPr>
        <w:t xml:space="preserve">, </w:t>
      </w:r>
      <w:r w:rsidRPr="00880DE8">
        <w:rPr>
          <w:bCs/>
          <w:lang w:val="fr-FR"/>
        </w:rPr>
        <w:t>lire</w:t>
      </w:r>
      <w:r w:rsidR="0082534E">
        <w:rPr>
          <w:bCs/>
          <w:lang w:val="fr-FR"/>
        </w:rPr>
        <w:t> </w:t>
      </w:r>
      <w:r w:rsidRPr="00880DE8">
        <w:rPr>
          <w:bCs/>
          <w:lang w:val="fr-FR"/>
        </w:rPr>
        <w:t>:</w:t>
      </w:r>
    </w:p>
    <w:p w:rsidR="00AF7A49" w:rsidRDefault="0082534E" w:rsidP="005F2B02">
      <w:pPr>
        <w:pStyle w:val="SingleTxtG"/>
        <w:ind w:left="2268" w:hanging="1134"/>
        <w:rPr>
          <w:lang w:val="fr-FR"/>
        </w:rPr>
      </w:pPr>
      <w:r>
        <w:rPr>
          <w:lang w:val="fr-FR"/>
        </w:rPr>
        <w:t>« </w:t>
      </w:r>
      <w:r w:rsidR="008F3781" w:rsidRPr="00880DE8">
        <w:rPr>
          <w:lang w:val="fr-FR"/>
        </w:rPr>
        <w:t>4.7.2.1</w:t>
      </w:r>
      <w:r w:rsidR="008F3781" w:rsidRPr="00880DE8">
        <w:rPr>
          <w:lang w:val="fr-FR"/>
        </w:rPr>
        <w:tab/>
        <w:t>L</w:t>
      </w:r>
      <w:r w:rsidR="00880DE8" w:rsidRPr="00880DE8">
        <w:rPr>
          <w:lang w:val="fr-FR"/>
        </w:rPr>
        <w:t>’</w:t>
      </w:r>
      <w:r w:rsidR="008F3781" w:rsidRPr="00880DE8">
        <w:rPr>
          <w:lang w:val="fr-FR"/>
        </w:rPr>
        <w:t>essai doit être réalisé en utilisant un véhicule utilitaire de série à deux essieux et en bon état de marche et en respectant les conditions suivantes</w:t>
      </w:r>
      <w:r w:rsidR="00267B83">
        <w:rPr>
          <w:lang w:val="fr-FR"/>
        </w:rPr>
        <w:t> </w:t>
      </w:r>
      <w:r w:rsidR="008F3781" w:rsidRPr="00880DE8">
        <w:rPr>
          <w:lang w:val="fr-FR"/>
        </w:rPr>
        <w:t>:</w:t>
      </w:r>
    </w:p>
    <w:p w:rsidR="008F3781" w:rsidRPr="00880DE8" w:rsidRDefault="008F3781" w:rsidP="00AF7A49">
      <w:pPr>
        <w:pStyle w:val="SingleTxtG"/>
        <w:ind w:left="2835" w:hanging="567"/>
        <w:rPr>
          <w:lang w:val="fr-FR"/>
        </w:rPr>
      </w:pPr>
      <w:r w:rsidRPr="00880DE8">
        <w:rPr>
          <w:lang w:val="fr-FR"/>
        </w:rPr>
        <w:t>a)</w:t>
      </w:r>
      <w:r w:rsidRPr="00880DE8">
        <w:rPr>
          <w:lang w:val="fr-FR"/>
        </w:rPr>
        <w:tab/>
        <w:t>Un faible poids sur l</w:t>
      </w:r>
      <w:r w:rsidR="00880DE8" w:rsidRPr="00880DE8">
        <w:rPr>
          <w:lang w:val="fr-FR"/>
        </w:rPr>
        <w:t>’</w:t>
      </w:r>
      <w:r w:rsidRPr="00880DE8">
        <w:rPr>
          <w:lang w:val="fr-FR"/>
        </w:rPr>
        <w:t xml:space="preserve">essieu arrière et une puissance suffisante pour maintenir le </w:t>
      </w:r>
      <w:r w:rsidRPr="00000D14">
        <w:rPr>
          <w:bCs/>
          <w:lang w:val="fr-FR"/>
        </w:rPr>
        <w:t>taux</w:t>
      </w:r>
      <w:r w:rsidRPr="00880DE8">
        <w:rPr>
          <w:lang w:val="fr-FR"/>
        </w:rPr>
        <w:t xml:space="preserve"> de glissement moyen durant l</w:t>
      </w:r>
      <w:r w:rsidR="00880DE8" w:rsidRPr="00880DE8">
        <w:rPr>
          <w:lang w:val="fr-FR"/>
        </w:rPr>
        <w:t>’</w:t>
      </w:r>
      <w:r w:rsidRPr="00880DE8">
        <w:rPr>
          <w:lang w:val="fr-FR"/>
        </w:rPr>
        <w:t>essai prescrit aux paragraphe</w:t>
      </w:r>
      <w:r w:rsidR="00AF7A49">
        <w:rPr>
          <w:lang w:val="fr-FR"/>
        </w:rPr>
        <w:t>s 4.7.5.1 et 4.7.5.2.1 ci-après </w:t>
      </w:r>
      <w:r w:rsidRPr="00880DE8">
        <w:rPr>
          <w:lang w:val="fr-FR"/>
        </w:rPr>
        <w:t>;</w:t>
      </w:r>
    </w:p>
    <w:p w:rsidR="008F3781" w:rsidRPr="00880DE8" w:rsidRDefault="008F3781" w:rsidP="00AF7A49">
      <w:pPr>
        <w:pStyle w:val="SingleTxtG"/>
        <w:ind w:left="2835" w:hanging="567"/>
        <w:rPr>
          <w:lang w:val="fr-FR"/>
        </w:rPr>
      </w:pPr>
      <w:r w:rsidRPr="00880DE8">
        <w:rPr>
          <w:lang w:val="fr-FR"/>
        </w:rPr>
        <w:t>b)</w:t>
      </w:r>
      <w:r w:rsidRPr="00880DE8">
        <w:rPr>
          <w:lang w:val="fr-FR"/>
        </w:rPr>
        <w:tab/>
        <w:t>Une boîte de vitesses manuelle (ou une boîte automatique pouvant être utilisée en mode manuel) comportant un rapport permettant de couvrir un intervalle de vitesses d</w:t>
      </w:r>
      <w:r w:rsidR="00880DE8" w:rsidRPr="00880DE8">
        <w:rPr>
          <w:lang w:val="fr-FR"/>
        </w:rPr>
        <w:t>’</w:t>
      </w:r>
      <w:r w:rsidRPr="00880DE8">
        <w:rPr>
          <w:lang w:val="fr-FR"/>
        </w:rPr>
        <w:t>au moins 19</w:t>
      </w:r>
      <w:r w:rsidR="00AF7A49">
        <w:rPr>
          <w:lang w:val="fr-FR"/>
        </w:rPr>
        <w:t> </w:t>
      </w:r>
      <w:r w:rsidRPr="00880DE8">
        <w:rPr>
          <w:lang w:val="fr-FR"/>
        </w:rPr>
        <w:t>km/h entre 4</w:t>
      </w:r>
      <w:r w:rsidR="00AF7A49">
        <w:rPr>
          <w:lang w:val="fr-FR"/>
        </w:rPr>
        <w:t> </w:t>
      </w:r>
      <w:r w:rsidRPr="00880DE8">
        <w:rPr>
          <w:lang w:val="fr-FR"/>
        </w:rPr>
        <w:t>km/h et 30</w:t>
      </w:r>
      <w:r w:rsidR="00AF7A49">
        <w:rPr>
          <w:lang w:val="fr-FR"/>
        </w:rPr>
        <w:t> </w:t>
      </w:r>
      <w:r w:rsidRPr="00880DE8">
        <w:rPr>
          <w:lang w:val="fr-FR"/>
        </w:rPr>
        <w:t>km/h</w:t>
      </w:r>
      <w:r w:rsidR="00AF7A49">
        <w:rPr>
          <w:lang w:val="fr-FR"/>
        </w:rPr>
        <w:t> </w:t>
      </w:r>
      <w:r w:rsidRPr="00880DE8">
        <w:rPr>
          <w:lang w:val="fr-FR"/>
        </w:rPr>
        <w:t>;</w:t>
      </w:r>
    </w:p>
    <w:p w:rsidR="008F3781" w:rsidRPr="00880DE8" w:rsidRDefault="008F3781" w:rsidP="00AF7A49">
      <w:pPr>
        <w:pStyle w:val="SingleTxtG"/>
        <w:ind w:left="2835" w:hanging="567"/>
        <w:rPr>
          <w:lang w:val="fr-FR"/>
        </w:rPr>
      </w:pPr>
      <w:r w:rsidRPr="00880DE8">
        <w:rPr>
          <w:lang w:val="fr-FR"/>
        </w:rPr>
        <w:t>c)</w:t>
      </w:r>
      <w:r w:rsidRPr="00880DE8">
        <w:rPr>
          <w:lang w:val="fr-FR"/>
        </w:rPr>
        <w:tab/>
        <w:t>Le blocage du différentiel sur l</w:t>
      </w:r>
      <w:r w:rsidR="00880DE8" w:rsidRPr="00880DE8">
        <w:rPr>
          <w:lang w:val="fr-FR"/>
        </w:rPr>
        <w:t>’</w:t>
      </w:r>
      <w:r w:rsidRPr="00880DE8">
        <w:rPr>
          <w:lang w:val="fr-FR"/>
        </w:rPr>
        <w:t>essieu moteur, recommandé pour accroître la répétabilité</w:t>
      </w:r>
      <w:r w:rsidR="00AF7A49">
        <w:rPr>
          <w:lang w:val="fr-FR"/>
        </w:rPr>
        <w:t> </w:t>
      </w:r>
      <w:r w:rsidRPr="00880DE8">
        <w:rPr>
          <w:lang w:val="fr-FR"/>
        </w:rPr>
        <w:t>;</w:t>
      </w:r>
    </w:p>
    <w:p w:rsidR="008F3781" w:rsidRPr="00880DE8" w:rsidRDefault="008F3781" w:rsidP="00AF7A49">
      <w:pPr>
        <w:pStyle w:val="SingleTxtG"/>
        <w:ind w:left="2835" w:hanging="567"/>
        <w:rPr>
          <w:lang w:val="fr-FR"/>
        </w:rPr>
      </w:pPr>
      <w:r w:rsidRPr="00880DE8">
        <w:rPr>
          <w:lang w:val="fr-FR"/>
        </w:rPr>
        <w:t>d)</w:t>
      </w:r>
      <w:r w:rsidRPr="00880DE8">
        <w:rPr>
          <w:lang w:val="fr-FR"/>
        </w:rPr>
        <w:tab/>
        <w:t>Un dispositif standard commercialisé permettant de contrôler/limiter le patinage de l</w:t>
      </w:r>
      <w:r w:rsidR="00880DE8" w:rsidRPr="00880DE8">
        <w:rPr>
          <w:lang w:val="fr-FR"/>
        </w:rPr>
        <w:t>’</w:t>
      </w:r>
      <w:r w:rsidRPr="00880DE8">
        <w:rPr>
          <w:lang w:val="fr-FR"/>
        </w:rPr>
        <w:t>essieu moteur durant l</w:t>
      </w:r>
      <w:r w:rsidR="00880DE8" w:rsidRPr="00880DE8">
        <w:rPr>
          <w:lang w:val="fr-FR"/>
        </w:rPr>
        <w:t>’</w:t>
      </w:r>
      <w:r w:rsidRPr="00880DE8">
        <w:rPr>
          <w:lang w:val="fr-FR"/>
        </w:rPr>
        <w:t>accélération (Traction Control, ASR, TCS, etc.).</w:t>
      </w:r>
      <w:r w:rsidR="00AF7A49">
        <w:rPr>
          <w:lang w:val="fr-FR"/>
        </w:rPr>
        <w:t> »</w:t>
      </w:r>
      <w:r w:rsidRPr="00880DE8">
        <w:rPr>
          <w:lang w:val="fr-FR"/>
        </w:rPr>
        <w:t>.</w:t>
      </w:r>
    </w:p>
    <w:p w:rsidR="008F3781" w:rsidRPr="00880DE8" w:rsidRDefault="008F3781" w:rsidP="00880DE8">
      <w:pPr>
        <w:pStyle w:val="SingleTxtG"/>
        <w:rPr>
          <w:bCs/>
          <w:lang w:val="en-US"/>
        </w:rPr>
      </w:pPr>
      <w:r w:rsidRPr="00880DE8">
        <w:rPr>
          <w:bCs/>
          <w:i/>
          <w:lang w:val="en-US"/>
        </w:rPr>
        <w:t xml:space="preserve">Paragraphe </w:t>
      </w:r>
      <w:r w:rsidRPr="00880DE8">
        <w:rPr>
          <w:i/>
          <w:lang w:val="en-US"/>
        </w:rPr>
        <w:t>4.7.2.1.1</w:t>
      </w:r>
      <w:r w:rsidRPr="00AF7A49">
        <w:rPr>
          <w:bCs/>
          <w:lang w:val="en-US"/>
        </w:rPr>
        <w:t>,</w:t>
      </w:r>
      <w:r w:rsidRPr="00880DE8">
        <w:rPr>
          <w:bCs/>
          <w:lang w:val="en-US"/>
        </w:rPr>
        <w:t xml:space="preserve"> lire</w:t>
      </w:r>
      <w:r w:rsidR="00AF7A49">
        <w:rPr>
          <w:bCs/>
          <w:lang w:val="en-US"/>
        </w:rPr>
        <w:t> </w:t>
      </w:r>
      <w:r w:rsidRPr="00880DE8">
        <w:rPr>
          <w:bCs/>
          <w:lang w:val="en-US"/>
        </w:rPr>
        <w:t>:</w:t>
      </w:r>
    </w:p>
    <w:p w:rsidR="008F3781" w:rsidRPr="00880DE8" w:rsidRDefault="00AF7A49" w:rsidP="00000D14">
      <w:pPr>
        <w:pStyle w:val="SingleTxtG"/>
        <w:ind w:left="2268" w:hanging="1134"/>
        <w:rPr>
          <w:lang w:val="fr-FR"/>
        </w:rPr>
      </w:pPr>
      <w:r>
        <w:rPr>
          <w:lang w:val="fr-FR"/>
        </w:rPr>
        <w:t>« </w:t>
      </w:r>
      <w:r w:rsidR="008F3781" w:rsidRPr="00880DE8">
        <w:rPr>
          <w:lang w:val="fr-FR"/>
        </w:rPr>
        <w:t>4.7.2.1.1</w:t>
      </w:r>
      <w:r w:rsidR="008F3781" w:rsidRPr="00880DE8">
        <w:rPr>
          <w:lang w:val="fr-FR"/>
        </w:rPr>
        <w:tab/>
        <w:t>Dans le cas particulier où aucun véhicule de série équipé d</w:t>
      </w:r>
      <w:r w:rsidR="00880DE8" w:rsidRPr="00880DE8">
        <w:rPr>
          <w:lang w:val="fr-FR"/>
        </w:rPr>
        <w:t>’</w:t>
      </w:r>
      <w:r w:rsidR="008F3781" w:rsidRPr="00880DE8">
        <w:rPr>
          <w:lang w:val="fr-FR"/>
        </w:rPr>
        <w:t>un système antipatinage n</w:t>
      </w:r>
      <w:r w:rsidR="00880DE8" w:rsidRPr="00880DE8">
        <w:rPr>
          <w:lang w:val="fr-FR"/>
        </w:rPr>
        <w:t>’</w:t>
      </w:r>
      <w:r w:rsidR="008F3781" w:rsidRPr="00880DE8">
        <w:rPr>
          <w:lang w:val="fr-FR"/>
        </w:rPr>
        <w:t>est disponible, il est permis d</w:t>
      </w:r>
      <w:r w:rsidR="00880DE8" w:rsidRPr="00880DE8">
        <w:rPr>
          <w:lang w:val="fr-FR"/>
        </w:rPr>
        <w:t>’</w:t>
      </w:r>
      <w:r w:rsidR="008F3781" w:rsidRPr="00880DE8">
        <w:rPr>
          <w:lang w:val="fr-FR"/>
        </w:rPr>
        <w:t>utiliser un véhicule dépourvu d</w:t>
      </w:r>
      <w:r w:rsidR="00880DE8" w:rsidRPr="00880DE8">
        <w:rPr>
          <w:lang w:val="fr-FR"/>
        </w:rPr>
        <w:t>’</w:t>
      </w:r>
      <w:r w:rsidR="008F3781" w:rsidRPr="00880DE8">
        <w:rPr>
          <w:lang w:val="fr-FR"/>
        </w:rPr>
        <w:t>un tel système, mais seulement s</w:t>
      </w:r>
      <w:r w:rsidR="00880DE8" w:rsidRPr="00880DE8">
        <w:rPr>
          <w:lang w:val="fr-FR"/>
        </w:rPr>
        <w:t>’</w:t>
      </w:r>
      <w:r w:rsidR="008F3781" w:rsidRPr="00880DE8">
        <w:rPr>
          <w:lang w:val="fr-FR"/>
        </w:rPr>
        <w:t>il est équipé d</w:t>
      </w:r>
      <w:r w:rsidR="00880DE8" w:rsidRPr="00880DE8">
        <w:rPr>
          <w:lang w:val="fr-FR"/>
        </w:rPr>
        <w:t>’</w:t>
      </w:r>
      <w:r w:rsidR="008F3781" w:rsidRPr="00880DE8">
        <w:rPr>
          <w:lang w:val="fr-FR"/>
        </w:rPr>
        <w:t>un système d</w:t>
      </w:r>
      <w:r w:rsidR="00880DE8" w:rsidRPr="00880DE8">
        <w:rPr>
          <w:lang w:val="fr-FR"/>
        </w:rPr>
        <w:t>’</w:t>
      </w:r>
      <w:r w:rsidR="008F3781" w:rsidRPr="00880DE8">
        <w:rPr>
          <w:lang w:val="fr-FR"/>
        </w:rPr>
        <w:t>affichage du taux de glissement (voir le paragraphe</w:t>
      </w:r>
      <w:r w:rsidR="005F2B02">
        <w:rPr>
          <w:lang w:val="fr-FR"/>
        </w:rPr>
        <w:t> </w:t>
      </w:r>
      <w:r w:rsidR="008F3781" w:rsidRPr="00880DE8">
        <w:rPr>
          <w:lang w:val="fr-FR"/>
        </w:rPr>
        <w:t>4.3.4) et d</w:t>
      </w:r>
      <w:r w:rsidR="00880DE8" w:rsidRPr="00880DE8">
        <w:rPr>
          <w:lang w:val="fr-FR"/>
        </w:rPr>
        <w:t>’</w:t>
      </w:r>
      <w:r w:rsidR="008F3781" w:rsidRPr="00880DE8">
        <w:rPr>
          <w:lang w:val="fr-FR"/>
        </w:rPr>
        <w:t>un différentiel pouvant être bloqué sur l</w:t>
      </w:r>
      <w:r w:rsidR="00880DE8" w:rsidRPr="00880DE8">
        <w:rPr>
          <w:lang w:val="fr-FR"/>
        </w:rPr>
        <w:t>’</w:t>
      </w:r>
      <w:r w:rsidR="008F3781" w:rsidRPr="00880DE8">
        <w:rPr>
          <w:lang w:val="fr-FR"/>
        </w:rPr>
        <w:t>essieu moteur de façon que la procédure décrite au paragraphe</w:t>
      </w:r>
      <w:r w:rsidR="005F2B02">
        <w:rPr>
          <w:lang w:val="fr-FR"/>
        </w:rPr>
        <w:t> </w:t>
      </w:r>
      <w:r w:rsidR="008F3781" w:rsidRPr="00880DE8">
        <w:rPr>
          <w:lang w:val="fr-FR"/>
        </w:rPr>
        <w:t>4.7.5.2.1 puisse être appliquée. S</w:t>
      </w:r>
      <w:r w:rsidR="00880DE8" w:rsidRPr="00880DE8">
        <w:rPr>
          <w:lang w:val="fr-FR"/>
        </w:rPr>
        <w:t>’</w:t>
      </w:r>
      <w:r w:rsidR="008F3781" w:rsidRPr="00880DE8">
        <w:rPr>
          <w:lang w:val="fr-FR"/>
        </w:rPr>
        <w:t>il existe un différentiel de ce type, il doit être utilisé. Dans le cas contraire, le taux de glissement moyen doit être mesuré sur les roues motrices gauche et droite.</w:t>
      </w:r>
      <w:r w:rsidR="005F2B02">
        <w:rPr>
          <w:lang w:val="fr-FR"/>
        </w:rPr>
        <w:t> »</w:t>
      </w:r>
      <w:r w:rsidR="008F3781" w:rsidRPr="00880DE8">
        <w:rPr>
          <w:lang w:val="fr-FR"/>
        </w:rPr>
        <w:t>.</w:t>
      </w:r>
    </w:p>
    <w:p w:rsidR="008F3781" w:rsidRPr="00880DE8" w:rsidRDefault="008F3781" w:rsidP="00880DE8">
      <w:pPr>
        <w:pStyle w:val="SingleTxtG"/>
        <w:rPr>
          <w:bCs/>
          <w:lang w:val="fr-FR"/>
        </w:rPr>
      </w:pPr>
      <w:r w:rsidRPr="00880DE8">
        <w:rPr>
          <w:bCs/>
          <w:i/>
          <w:lang w:val="fr-FR"/>
        </w:rPr>
        <w:t>Paragraphe 4.7.4.2</w:t>
      </w:r>
      <w:r w:rsidR="005F2B02">
        <w:rPr>
          <w:bCs/>
          <w:lang w:val="fr-FR"/>
        </w:rPr>
        <w:t xml:space="preserve">, </w:t>
      </w:r>
      <w:r w:rsidRPr="00880DE8">
        <w:rPr>
          <w:bCs/>
          <w:lang w:val="fr-FR"/>
        </w:rPr>
        <w:t>lire</w:t>
      </w:r>
      <w:r w:rsidR="005F2B02">
        <w:rPr>
          <w:bCs/>
          <w:lang w:val="fr-FR"/>
        </w:rPr>
        <w:t> </w:t>
      </w:r>
      <w:r w:rsidRPr="00880DE8">
        <w:rPr>
          <w:bCs/>
          <w:lang w:val="fr-FR"/>
        </w:rPr>
        <w:t>:</w:t>
      </w:r>
    </w:p>
    <w:p w:rsidR="008F3781" w:rsidRPr="00880DE8" w:rsidRDefault="005F2B02" w:rsidP="00000D14">
      <w:pPr>
        <w:pStyle w:val="SingleTxtG"/>
        <w:ind w:left="2268" w:hanging="1134"/>
        <w:rPr>
          <w:lang w:val="fr-FR"/>
        </w:rPr>
      </w:pPr>
      <w:r>
        <w:rPr>
          <w:lang w:val="fr-FR"/>
        </w:rPr>
        <w:t>« </w:t>
      </w:r>
      <w:r w:rsidR="008F3781" w:rsidRPr="00880DE8">
        <w:rPr>
          <w:lang w:val="fr-FR"/>
        </w:rPr>
        <w:t>4.7.4.2</w:t>
      </w:r>
      <w:r w:rsidR="008F3781" w:rsidRPr="00880DE8">
        <w:rPr>
          <w:lang w:val="fr-FR"/>
        </w:rPr>
        <w:tab/>
        <w:t>La pression de gonflage des pneumatiques montés sur les roues motrices doit être égale à 70</w:t>
      </w:r>
      <w:r>
        <w:rPr>
          <w:lang w:val="fr-FR"/>
        </w:rPr>
        <w:t> </w:t>
      </w:r>
      <w:r w:rsidR="008F3781" w:rsidRPr="00880DE8">
        <w:rPr>
          <w:lang w:val="fr-FR"/>
        </w:rPr>
        <w:t>% de la pression indiquée sur leur flanc. Les</w:t>
      </w:r>
      <w:r>
        <w:rPr>
          <w:lang w:val="fr-FR"/>
        </w:rPr>
        <w:t> </w:t>
      </w:r>
      <w:r w:rsidR="008F3781" w:rsidRPr="00880DE8">
        <w:rPr>
          <w:lang w:val="fr-FR"/>
        </w:rPr>
        <w:t>pneumatiques des roues directrices doivent être gonflés à la pression nominale indiquée sur leur flanc.</w:t>
      </w:r>
    </w:p>
    <w:p w:rsidR="008F3781" w:rsidRPr="00880DE8" w:rsidRDefault="008F3781" w:rsidP="00000D14">
      <w:pPr>
        <w:pStyle w:val="SingleTxtG"/>
        <w:ind w:left="2268" w:hanging="1134"/>
        <w:rPr>
          <w:lang w:val="fr-FR"/>
        </w:rPr>
      </w:pPr>
      <w:r w:rsidRPr="00880DE8">
        <w:rPr>
          <w:lang w:val="fr-FR"/>
        </w:rPr>
        <w:tab/>
        <w:t>Si la pression n</w:t>
      </w:r>
      <w:r w:rsidR="00880DE8" w:rsidRPr="00880DE8">
        <w:rPr>
          <w:lang w:val="fr-FR"/>
        </w:rPr>
        <w:t>’</w:t>
      </w:r>
      <w:r w:rsidRPr="00880DE8">
        <w:rPr>
          <w:lang w:val="fr-FR"/>
        </w:rPr>
        <w:t>est pas indiquée sur le flanc, il convient de se reporter, dans les manuels pertinents, à la pression correspondant à la capacité de charge maximale.</w:t>
      </w:r>
      <w:r w:rsidR="005F2B02">
        <w:rPr>
          <w:lang w:val="fr-FR"/>
        </w:rPr>
        <w:t> »</w:t>
      </w:r>
      <w:r w:rsidRPr="00880DE8">
        <w:rPr>
          <w:lang w:val="fr-FR"/>
        </w:rPr>
        <w:t>.</w:t>
      </w:r>
    </w:p>
    <w:p w:rsidR="008F3781" w:rsidRPr="00880DE8" w:rsidRDefault="008F3781" w:rsidP="00880DE8">
      <w:pPr>
        <w:pStyle w:val="SingleTxtG"/>
        <w:rPr>
          <w:bCs/>
          <w:lang w:val="fr-FR"/>
        </w:rPr>
      </w:pPr>
      <w:r w:rsidRPr="00880DE8">
        <w:rPr>
          <w:bCs/>
          <w:i/>
          <w:lang w:val="fr-FR"/>
        </w:rPr>
        <w:t>Paragraphe 4.7.5.1</w:t>
      </w:r>
      <w:r w:rsidR="005F2B02">
        <w:rPr>
          <w:bCs/>
          <w:lang w:val="fr-FR"/>
        </w:rPr>
        <w:t>,</w:t>
      </w:r>
      <w:r w:rsidRPr="00880DE8">
        <w:rPr>
          <w:bCs/>
          <w:lang w:val="fr-FR"/>
        </w:rPr>
        <w:t xml:space="preserve"> lire</w:t>
      </w:r>
      <w:r w:rsidR="005F2B02">
        <w:rPr>
          <w:bCs/>
          <w:lang w:val="fr-FR"/>
        </w:rPr>
        <w:t> </w:t>
      </w:r>
      <w:r w:rsidRPr="00880DE8">
        <w:rPr>
          <w:bCs/>
          <w:lang w:val="fr-FR"/>
        </w:rPr>
        <w:t>:</w:t>
      </w:r>
    </w:p>
    <w:p w:rsidR="008F3781" w:rsidRPr="00880DE8" w:rsidRDefault="005F2B02" w:rsidP="00000D14">
      <w:pPr>
        <w:pStyle w:val="SingleTxtG"/>
        <w:ind w:left="2268" w:hanging="1134"/>
        <w:rPr>
          <w:lang w:val="fr-FR"/>
        </w:rPr>
      </w:pPr>
      <w:r>
        <w:rPr>
          <w:lang w:val="fr-FR"/>
        </w:rPr>
        <w:t>« 4.7.5.1</w:t>
      </w:r>
      <w:r>
        <w:rPr>
          <w:lang w:val="fr-FR"/>
        </w:rPr>
        <w:tab/>
        <w:t>Monter</w:t>
      </w:r>
      <w:r w:rsidR="008F3781" w:rsidRPr="00880DE8">
        <w:rPr>
          <w:lang w:val="fr-FR"/>
        </w:rPr>
        <w:t xml:space="preserve"> en premier sur le véhicule le jeu de pneumatiques de référence. Le</w:t>
      </w:r>
      <w:r>
        <w:rPr>
          <w:lang w:val="fr-FR"/>
        </w:rPr>
        <w:t> </w:t>
      </w:r>
      <w:r w:rsidR="008F3781" w:rsidRPr="00880DE8">
        <w:rPr>
          <w:lang w:val="fr-FR"/>
        </w:rPr>
        <w:t>montage doit s</w:t>
      </w:r>
      <w:r w:rsidR="00880DE8" w:rsidRPr="00880DE8">
        <w:rPr>
          <w:lang w:val="fr-FR"/>
        </w:rPr>
        <w:t>’</w:t>
      </w:r>
      <w:r w:rsidR="008F3781" w:rsidRPr="00880DE8">
        <w:rPr>
          <w:lang w:val="fr-FR"/>
        </w:rPr>
        <w:t>effectuer dans la zone des essais.</w:t>
      </w:r>
    </w:p>
    <w:p w:rsidR="008F3781" w:rsidRPr="00595906" w:rsidRDefault="008F3781" w:rsidP="00000D14">
      <w:pPr>
        <w:pStyle w:val="SingleTxtG"/>
        <w:ind w:left="2268" w:hanging="1134"/>
        <w:rPr>
          <w:spacing w:val="2"/>
          <w:lang w:val="fr-FR"/>
        </w:rPr>
      </w:pPr>
      <w:r w:rsidRPr="00880DE8">
        <w:rPr>
          <w:lang w:val="fr-FR"/>
        </w:rPr>
        <w:tab/>
        <w:t>Conduire le véhicule à une vitesse constante comprise entre 4</w:t>
      </w:r>
      <w:r w:rsidR="005F2B02">
        <w:rPr>
          <w:lang w:val="fr-FR"/>
        </w:rPr>
        <w:t> </w:t>
      </w:r>
      <w:r w:rsidRPr="00880DE8">
        <w:rPr>
          <w:lang w:val="fr-FR"/>
        </w:rPr>
        <w:t>km/h et</w:t>
      </w:r>
      <w:r w:rsidR="00595906">
        <w:rPr>
          <w:lang w:val="fr-FR"/>
        </w:rPr>
        <w:t> </w:t>
      </w:r>
      <w:r w:rsidRPr="00880DE8">
        <w:rPr>
          <w:lang w:val="fr-FR"/>
        </w:rPr>
        <w:t>11</w:t>
      </w:r>
      <w:r w:rsidR="005F2B02">
        <w:rPr>
          <w:lang w:val="fr-FR"/>
        </w:rPr>
        <w:t> </w:t>
      </w:r>
      <w:r w:rsidRPr="00880DE8">
        <w:rPr>
          <w:lang w:val="fr-FR"/>
        </w:rPr>
        <w:t xml:space="preserve">km/h et sur un rapport permettant de couvrir un intervalle de vitesses </w:t>
      </w:r>
      <w:r w:rsidRPr="00595906">
        <w:rPr>
          <w:spacing w:val="2"/>
          <w:lang w:val="fr-FR"/>
        </w:rPr>
        <w:t>d</w:t>
      </w:r>
      <w:r w:rsidR="00880DE8" w:rsidRPr="00595906">
        <w:rPr>
          <w:spacing w:val="2"/>
          <w:lang w:val="fr-FR"/>
        </w:rPr>
        <w:t>’</w:t>
      </w:r>
      <w:r w:rsidRPr="00595906">
        <w:rPr>
          <w:spacing w:val="2"/>
          <w:lang w:val="fr-FR"/>
        </w:rPr>
        <w:t>au moins 19</w:t>
      </w:r>
      <w:r w:rsidR="005F2B02" w:rsidRPr="00595906">
        <w:rPr>
          <w:spacing w:val="2"/>
          <w:lang w:val="fr-FR"/>
        </w:rPr>
        <w:t> </w:t>
      </w:r>
      <w:r w:rsidRPr="00595906">
        <w:rPr>
          <w:spacing w:val="2"/>
          <w:lang w:val="fr-FR"/>
        </w:rPr>
        <w:t>km/h du début à la fin du programme d</w:t>
      </w:r>
      <w:r w:rsidR="00880DE8" w:rsidRPr="00595906">
        <w:rPr>
          <w:spacing w:val="2"/>
          <w:lang w:val="fr-FR"/>
        </w:rPr>
        <w:t>’</w:t>
      </w:r>
      <w:r w:rsidRPr="00595906">
        <w:rPr>
          <w:spacing w:val="2"/>
          <w:lang w:val="fr-FR"/>
        </w:rPr>
        <w:t>essai (par exemple, R-T1-T2-T3-R).</w:t>
      </w:r>
    </w:p>
    <w:p w:rsidR="008F3781" w:rsidRPr="00880DE8" w:rsidRDefault="008F3781" w:rsidP="00000D14">
      <w:pPr>
        <w:pStyle w:val="SingleTxtG"/>
        <w:ind w:left="2268" w:hanging="1134"/>
        <w:rPr>
          <w:lang w:val="fr-FR"/>
        </w:rPr>
      </w:pPr>
      <w:r w:rsidRPr="00880DE8">
        <w:rPr>
          <w:lang w:val="fr-FR"/>
        </w:rPr>
        <w:tab/>
        <w:t>Le rapport recommandé est</w:t>
      </w:r>
      <w:r w:rsidR="005F2B02">
        <w:rPr>
          <w:lang w:val="fr-FR"/>
        </w:rPr>
        <w:t xml:space="preserve"> la troisième ou la quatrième ; </w:t>
      </w:r>
      <w:r w:rsidRPr="00880DE8">
        <w:rPr>
          <w:lang w:val="fr-FR"/>
        </w:rPr>
        <w:t>il doit permettre d</w:t>
      </w:r>
      <w:r w:rsidR="00880DE8" w:rsidRPr="00880DE8">
        <w:rPr>
          <w:lang w:val="fr-FR"/>
        </w:rPr>
        <w:t>’</w:t>
      </w:r>
      <w:r w:rsidRPr="00880DE8">
        <w:rPr>
          <w:lang w:val="fr-FR"/>
        </w:rPr>
        <w:t>obtenir</w:t>
      </w:r>
      <w:r w:rsidR="00E2325A">
        <w:rPr>
          <w:lang w:val="fr-FR"/>
        </w:rPr>
        <w:t xml:space="preserve"> </w:t>
      </w:r>
      <w:r w:rsidRPr="00880DE8">
        <w:rPr>
          <w:lang w:val="fr-FR"/>
        </w:rPr>
        <w:t>le taux de glissement moyen minimal de 10</w:t>
      </w:r>
      <w:r w:rsidR="005F2B02">
        <w:rPr>
          <w:lang w:val="fr-FR"/>
        </w:rPr>
        <w:t> </w:t>
      </w:r>
      <w:r w:rsidRPr="00880DE8">
        <w:rPr>
          <w:lang w:val="fr-FR"/>
        </w:rPr>
        <w:t>% dans l</w:t>
      </w:r>
      <w:r w:rsidR="00880DE8" w:rsidRPr="00880DE8">
        <w:rPr>
          <w:lang w:val="fr-FR"/>
        </w:rPr>
        <w:t>’</w:t>
      </w:r>
      <w:r w:rsidRPr="00880DE8">
        <w:rPr>
          <w:lang w:val="fr-FR"/>
        </w:rPr>
        <w:t>intervalle de vitesses considéré.</w:t>
      </w:r>
      <w:r w:rsidR="005F2B02">
        <w:rPr>
          <w:lang w:val="fr-FR"/>
        </w:rPr>
        <w:t> »</w:t>
      </w:r>
      <w:r w:rsidRPr="00880DE8">
        <w:rPr>
          <w:lang w:val="fr-FR"/>
        </w:rPr>
        <w:t>.</w:t>
      </w:r>
    </w:p>
    <w:p w:rsidR="008F3781" w:rsidRPr="00880DE8" w:rsidRDefault="008F3781" w:rsidP="00DA315A">
      <w:pPr>
        <w:pStyle w:val="SingleTxtG"/>
        <w:keepNext/>
        <w:keepLines/>
        <w:rPr>
          <w:bCs/>
          <w:lang w:val="fr-FR"/>
        </w:rPr>
      </w:pPr>
      <w:r w:rsidRPr="00880DE8">
        <w:rPr>
          <w:bCs/>
          <w:i/>
          <w:lang w:val="fr-FR"/>
        </w:rPr>
        <w:t>Paragraphe 4.7.5.2.1</w:t>
      </w:r>
      <w:r w:rsidR="005F2B02">
        <w:rPr>
          <w:bCs/>
          <w:lang w:val="fr-FR"/>
        </w:rPr>
        <w:t xml:space="preserve">, </w:t>
      </w:r>
      <w:r w:rsidRPr="00880DE8">
        <w:rPr>
          <w:bCs/>
          <w:lang w:val="fr-FR"/>
        </w:rPr>
        <w:t>lire</w:t>
      </w:r>
      <w:r w:rsidR="005F2B02">
        <w:rPr>
          <w:bCs/>
          <w:lang w:val="fr-FR"/>
        </w:rPr>
        <w:t> </w:t>
      </w:r>
      <w:r w:rsidRPr="00880DE8">
        <w:rPr>
          <w:bCs/>
          <w:lang w:val="fr-FR"/>
        </w:rPr>
        <w:t>:</w:t>
      </w:r>
    </w:p>
    <w:p w:rsidR="008F3781" w:rsidRPr="00D90CF4" w:rsidRDefault="005F2B02" w:rsidP="00DA315A">
      <w:pPr>
        <w:pStyle w:val="SingleTxtG"/>
        <w:keepNext/>
        <w:keepLines/>
        <w:ind w:left="2268" w:hanging="1134"/>
        <w:rPr>
          <w:bCs/>
          <w:spacing w:val="1"/>
          <w:lang w:val="fr-FR"/>
        </w:rPr>
      </w:pPr>
      <w:r w:rsidRPr="00D90CF4">
        <w:rPr>
          <w:spacing w:val="1"/>
          <w:lang w:val="fr-FR"/>
        </w:rPr>
        <w:t>« </w:t>
      </w:r>
      <w:r w:rsidR="008F3781" w:rsidRPr="00D90CF4">
        <w:rPr>
          <w:spacing w:val="1"/>
          <w:lang w:val="fr-FR"/>
        </w:rPr>
        <w:t>4.7.5.2.1</w:t>
      </w:r>
      <w:r w:rsidR="008F3781" w:rsidRPr="00D90CF4">
        <w:rPr>
          <w:spacing w:val="1"/>
          <w:lang w:val="fr-FR"/>
        </w:rPr>
        <w:tab/>
      </w:r>
      <w:r w:rsidR="008F3781" w:rsidRPr="00D90CF4">
        <w:rPr>
          <w:bCs/>
          <w:spacing w:val="1"/>
          <w:lang w:val="fr-FR"/>
        </w:rPr>
        <w:t>Dans le cas particulier où aucun véhicule de série équipé d</w:t>
      </w:r>
      <w:r w:rsidR="00880DE8" w:rsidRPr="00D90CF4">
        <w:rPr>
          <w:bCs/>
          <w:spacing w:val="1"/>
          <w:lang w:val="fr-FR"/>
        </w:rPr>
        <w:t>’</w:t>
      </w:r>
      <w:r w:rsidR="008F3781" w:rsidRPr="00D90CF4">
        <w:rPr>
          <w:bCs/>
          <w:spacing w:val="1"/>
          <w:lang w:val="fr-FR"/>
        </w:rPr>
        <w:t>un système antipatinage n</w:t>
      </w:r>
      <w:r w:rsidR="00880DE8" w:rsidRPr="00D90CF4">
        <w:rPr>
          <w:bCs/>
          <w:spacing w:val="1"/>
          <w:lang w:val="fr-FR"/>
        </w:rPr>
        <w:t>’</w:t>
      </w:r>
      <w:r w:rsidR="008F3781" w:rsidRPr="00D90CF4">
        <w:rPr>
          <w:bCs/>
          <w:spacing w:val="1"/>
          <w:lang w:val="fr-FR"/>
        </w:rPr>
        <w:t>est disponible (voir le paragraphe 4.7.2.1.1 de la présente annexe), le conducteur doit maintenir lui-même manuellement le taux de glissement moyen entre 10 et 40</w:t>
      </w:r>
      <w:r w:rsidRPr="00D90CF4">
        <w:rPr>
          <w:bCs/>
          <w:spacing w:val="1"/>
          <w:lang w:val="fr-FR"/>
        </w:rPr>
        <w:t> </w:t>
      </w:r>
      <w:r w:rsidR="008F3781" w:rsidRPr="00D90CF4">
        <w:rPr>
          <w:bCs/>
          <w:spacing w:val="1"/>
          <w:lang w:val="fr-FR"/>
        </w:rPr>
        <w:t>% (procédure du glissement contrôlé, remplaçant celle du glissement non contrôlé) dans l</w:t>
      </w:r>
      <w:r w:rsidR="00880DE8" w:rsidRPr="00D90CF4">
        <w:rPr>
          <w:bCs/>
          <w:spacing w:val="1"/>
          <w:lang w:val="fr-FR"/>
        </w:rPr>
        <w:t>’</w:t>
      </w:r>
      <w:r w:rsidR="008F3781" w:rsidRPr="00D90CF4">
        <w:rPr>
          <w:bCs/>
          <w:spacing w:val="1"/>
          <w:lang w:val="fr-FR"/>
        </w:rPr>
        <w:t>intervalle de vitesses prescrit. Si l</w:t>
      </w:r>
      <w:r w:rsidR="00880DE8" w:rsidRPr="00D90CF4">
        <w:rPr>
          <w:bCs/>
          <w:spacing w:val="1"/>
          <w:lang w:val="fr-FR"/>
        </w:rPr>
        <w:t>’</w:t>
      </w:r>
      <w:r w:rsidR="008F3781" w:rsidRPr="00D90CF4">
        <w:rPr>
          <w:bCs/>
          <w:spacing w:val="1"/>
          <w:lang w:val="fr-FR"/>
        </w:rPr>
        <w:t>on n</w:t>
      </w:r>
      <w:r w:rsidR="00880DE8" w:rsidRPr="00D90CF4">
        <w:rPr>
          <w:bCs/>
          <w:spacing w:val="1"/>
          <w:lang w:val="fr-FR"/>
        </w:rPr>
        <w:t>’</w:t>
      </w:r>
      <w:r w:rsidR="008F3781" w:rsidRPr="00D90CF4">
        <w:rPr>
          <w:bCs/>
          <w:spacing w:val="1"/>
          <w:lang w:val="fr-FR"/>
        </w:rPr>
        <w:t>utilise pas de différentiel pouvant être bloqué, la différence de taux de glissement moyen entre les roues motrices gauche et droite ne doit pas dépasser 8</w:t>
      </w:r>
      <w:r w:rsidRPr="00D90CF4">
        <w:rPr>
          <w:bCs/>
          <w:spacing w:val="1"/>
          <w:lang w:val="fr-FR"/>
        </w:rPr>
        <w:t> </w:t>
      </w:r>
      <w:r w:rsidR="008F3781" w:rsidRPr="00D90CF4">
        <w:rPr>
          <w:bCs/>
          <w:spacing w:val="1"/>
          <w:lang w:val="fr-FR"/>
        </w:rPr>
        <w:t>% pour chaque essai. La procédure du glissement contrôlé s</w:t>
      </w:r>
      <w:r w:rsidR="00880DE8" w:rsidRPr="00D90CF4">
        <w:rPr>
          <w:bCs/>
          <w:spacing w:val="1"/>
          <w:lang w:val="fr-FR"/>
        </w:rPr>
        <w:t>’</w:t>
      </w:r>
      <w:r w:rsidR="008F3781" w:rsidRPr="00D90CF4">
        <w:rPr>
          <w:bCs/>
          <w:spacing w:val="1"/>
          <w:lang w:val="fr-FR"/>
        </w:rPr>
        <w:t>applique à l</w:t>
      </w:r>
      <w:r w:rsidR="00880DE8" w:rsidRPr="00D90CF4">
        <w:rPr>
          <w:bCs/>
          <w:spacing w:val="1"/>
          <w:lang w:val="fr-FR"/>
        </w:rPr>
        <w:t>’</w:t>
      </w:r>
      <w:r w:rsidR="008F3781" w:rsidRPr="00D90CF4">
        <w:rPr>
          <w:bCs/>
          <w:spacing w:val="1"/>
          <w:lang w:val="fr-FR"/>
        </w:rPr>
        <w:t>ensemble des pneumatiques et des essais de la séance d</w:t>
      </w:r>
      <w:r w:rsidR="00880DE8" w:rsidRPr="00D90CF4">
        <w:rPr>
          <w:bCs/>
          <w:spacing w:val="1"/>
          <w:lang w:val="fr-FR"/>
        </w:rPr>
        <w:t>’</w:t>
      </w:r>
      <w:r w:rsidR="008F3781" w:rsidRPr="00D90CF4">
        <w:rPr>
          <w:bCs/>
          <w:spacing w:val="1"/>
          <w:lang w:val="fr-FR"/>
        </w:rPr>
        <w:t>essais.</w:t>
      </w:r>
      <w:r w:rsidRPr="00D90CF4">
        <w:rPr>
          <w:bCs/>
          <w:spacing w:val="1"/>
          <w:lang w:val="fr-FR"/>
        </w:rPr>
        <w:t> »</w:t>
      </w:r>
      <w:r w:rsidR="008F3781" w:rsidRPr="00D90CF4">
        <w:rPr>
          <w:bCs/>
          <w:spacing w:val="1"/>
          <w:lang w:val="fr-FR"/>
        </w:rPr>
        <w:t>.</w:t>
      </w:r>
    </w:p>
    <w:p w:rsidR="008F3781" w:rsidRPr="00880DE8" w:rsidRDefault="008F3781" w:rsidP="00880DE8">
      <w:pPr>
        <w:pStyle w:val="SingleTxtG"/>
        <w:rPr>
          <w:lang w:val="fr-FR"/>
        </w:rPr>
      </w:pPr>
      <w:r w:rsidRPr="00880DE8">
        <w:rPr>
          <w:bCs/>
          <w:i/>
          <w:lang w:val="fr-FR"/>
        </w:rPr>
        <w:t>Paragraphe 4.7.5.3</w:t>
      </w:r>
      <w:r w:rsidR="005F2B02">
        <w:rPr>
          <w:bCs/>
          <w:lang w:val="fr-FR"/>
        </w:rPr>
        <w:t xml:space="preserve">, </w:t>
      </w:r>
      <w:r w:rsidRPr="00880DE8">
        <w:rPr>
          <w:bCs/>
          <w:lang w:val="fr-FR"/>
        </w:rPr>
        <w:t>lire</w:t>
      </w:r>
      <w:r w:rsidR="005F2B02">
        <w:rPr>
          <w:bCs/>
          <w:lang w:val="fr-FR"/>
        </w:rPr>
        <w:t> </w:t>
      </w:r>
      <w:r w:rsidRPr="00880DE8">
        <w:rPr>
          <w:bCs/>
          <w:lang w:val="fr-FR"/>
        </w:rPr>
        <w:t>:</w:t>
      </w:r>
    </w:p>
    <w:p w:rsidR="008F3781" w:rsidRPr="005F2B02" w:rsidRDefault="005F2B02" w:rsidP="00000D14">
      <w:pPr>
        <w:pStyle w:val="SingleTxtG"/>
        <w:ind w:left="2268" w:hanging="1134"/>
        <w:rPr>
          <w:bCs/>
        </w:rPr>
      </w:pPr>
      <w:r w:rsidRPr="005F2B02">
        <w:t>« </w:t>
      </w:r>
      <w:r w:rsidR="008F3781" w:rsidRPr="005F2B02">
        <w:t>4.7.5.3</w:t>
      </w:r>
      <w:r w:rsidR="008F3781" w:rsidRPr="005F2B02">
        <w:tab/>
      </w:r>
      <w:r w:rsidR="008F3781" w:rsidRPr="005F2B02">
        <w:rPr>
          <w:bCs/>
        </w:rPr>
        <w:t>Mesurer la distance parcourue entre la vitesse initiale et la vitesse finale.</w:t>
      </w:r>
      <w:r w:rsidRPr="005F2B02">
        <w:rPr>
          <w:bCs/>
        </w:rPr>
        <w:t> »</w:t>
      </w:r>
      <w:r w:rsidR="008F3781" w:rsidRPr="005F2B02">
        <w:rPr>
          <w:bCs/>
        </w:rPr>
        <w:t>.</w:t>
      </w:r>
    </w:p>
    <w:p w:rsidR="008F3781" w:rsidRPr="005F2B02" w:rsidRDefault="008F3781" w:rsidP="00880DE8">
      <w:pPr>
        <w:pStyle w:val="SingleTxtG"/>
        <w:rPr>
          <w:bCs/>
        </w:rPr>
      </w:pPr>
      <w:r w:rsidRPr="005F2B02">
        <w:rPr>
          <w:bCs/>
          <w:i/>
        </w:rPr>
        <w:t>Paragraphe 4.7.5.4</w:t>
      </w:r>
      <w:r w:rsidRPr="005F2B02">
        <w:rPr>
          <w:bCs/>
        </w:rPr>
        <w:t>, lire</w:t>
      </w:r>
      <w:r w:rsidR="005F2B02" w:rsidRPr="005F2B02">
        <w:rPr>
          <w:bCs/>
        </w:rPr>
        <w:t> </w:t>
      </w:r>
      <w:r w:rsidRPr="005F2B02">
        <w:rPr>
          <w:bCs/>
        </w:rPr>
        <w:t>:</w:t>
      </w:r>
    </w:p>
    <w:p w:rsidR="008F3781" w:rsidRPr="005F2B02" w:rsidRDefault="005F2B02" w:rsidP="00000D14">
      <w:pPr>
        <w:pStyle w:val="SingleTxtG"/>
        <w:ind w:left="2268" w:hanging="1134"/>
        <w:rPr>
          <w:bCs/>
        </w:rPr>
      </w:pPr>
      <w:r>
        <w:t>« </w:t>
      </w:r>
      <w:r w:rsidR="008F3781" w:rsidRPr="005F2B02">
        <w:t>4.7.5.4</w:t>
      </w:r>
      <w:r w:rsidR="008F3781" w:rsidRPr="005F2B02">
        <w:tab/>
      </w:r>
      <w:r w:rsidR="008F3781" w:rsidRPr="005F2B02">
        <w:rPr>
          <w:bCs/>
        </w:rPr>
        <w:t>Pour chaque pneumatique à contrôler et pour le pneumatique SRTT, il convient de répéter l</w:t>
      </w:r>
      <w:r w:rsidR="00880DE8" w:rsidRPr="005F2B02">
        <w:rPr>
          <w:bCs/>
        </w:rPr>
        <w:t>’</w:t>
      </w:r>
      <w:r w:rsidR="008F3781" w:rsidRPr="005F2B02">
        <w:rPr>
          <w:bCs/>
        </w:rPr>
        <w:t>essai d</w:t>
      </w:r>
      <w:r w:rsidR="00880DE8" w:rsidRPr="005F2B02">
        <w:rPr>
          <w:bCs/>
        </w:rPr>
        <w:t>’</w:t>
      </w:r>
      <w:r w:rsidR="008F3781" w:rsidRPr="005F2B02">
        <w:rPr>
          <w:bCs/>
        </w:rPr>
        <w:t>accélération au moins 6 fois. Le coefficient de variation (écart type/moyenne × 100) calculé pour un minimum de</w:t>
      </w:r>
      <w:r w:rsidR="00E2325A">
        <w:rPr>
          <w:bCs/>
        </w:rPr>
        <w:t xml:space="preserve"> </w:t>
      </w:r>
      <w:r w:rsidR="008F3781" w:rsidRPr="005F2B02">
        <w:rPr>
          <w:bCs/>
        </w:rPr>
        <w:t>6 essais valables réalisés de la sorte doit être inférieur ou égal à 6</w:t>
      </w:r>
      <w:r>
        <w:rPr>
          <w:bCs/>
        </w:rPr>
        <w:t> %. »</w:t>
      </w:r>
      <w:r w:rsidR="008F3781" w:rsidRPr="005F2B02">
        <w:rPr>
          <w:bCs/>
        </w:rPr>
        <w:t>.</w:t>
      </w:r>
    </w:p>
    <w:p w:rsidR="008F3781" w:rsidRPr="005F2B02" w:rsidRDefault="008F3781" w:rsidP="00880DE8">
      <w:pPr>
        <w:pStyle w:val="SingleTxtG"/>
        <w:rPr>
          <w:bCs/>
        </w:rPr>
      </w:pPr>
      <w:r w:rsidRPr="005F2B02">
        <w:rPr>
          <w:bCs/>
          <w:i/>
        </w:rPr>
        <w:t>Paragraphe 4.7.5.5</w:t>
      </w:r>
      <w:r w:rsidR="005F2B02">
        <w:rPr>
          <w:bCs/>
        </w:rPr>
        <w:t>,</w:t>
      </w:r>
      <w:r w:rsidRPr="005F2B02">
        <w:rPr>
          <w:bCs/>
        </w:rPr>
        <w:t xml:space="preserve"> lire</w:t>
      </w:r>
      <w:r w:rsidR="005F2B02">
        <w:rPr>
          <w:bCs/>
        </w:rPr>
        <w:t> </w:t>
      </w:r>
      <w:r w:rsidRPr="005F2B02">
        <w:rPr>
          <w:bCs/>
        </w:rPr>
        <w:t>:</w:t>
      </w:r>
    </w:p>
    <w:p w:rsidR="008F3781" w:rsidRPr="005F2B02" w:rsidRDefault="005F2B02" w:rsidP="00000D14">
      <w:pPr>
        <w:pStyle w:val="SingleTxtG"/>
        <w:ind w:left="2268" w:hanging="1134"/>
        <w:rPr>
          <w:bCs/>
        </w:rPr>
      </w:pPr>
      <w:r>
        <w:t>« </w:t>
      </w:r>
      <w:r w:rsidR="008F3781" w:rsidRPr="005F2B02">
        <w:t>4.7.5.5</w:t>
      </w:r>
      <w:r w:rsidR="008F3781" w:rsidRPr="005F2B02">
        <w:tab/>
      </w:r>
      <w:r w:rsidR="008F3781" w:rsidRPr="005F2B02">
        <w:rPr>
          <w:bCs/>
        </w:rPr>
        <w:t>Dans le cas d</w:t>
      </w:r>
      <w:r w:rsidR="00880DE8" w:rsidRPr="005F2B02">
        <w:rPr>
          <w:bCs/>
        </w:rPr>
        <w:t>’</w:t>
      </w:r>
      <w:r w:rsidR="008F3781" w:rsidRPr="005F2B02">
        <w:rPr>
          <w:bCs/>
        </w:rPr>
        <w:t>un véhicule équipé d</w:t>
      </w:r>
      <w:r w:rsidR="00880DE8" w:rsidRPr="005F2B02">
        <w:rPr>
          <w:bCs/>
        </w:rPr>
        <w:t>’</w:t>
      </w:r>
      <w:r w:rsidR="008F3781" w:rsidRPr="005F2B02">
        <w:rPr>
          <w:bCs/>
        </w:rPr>
        <w:t>un système antipatinage, le taux de glissement moyen doit être compris entre 10</w:t>
      </w:r>
      <w:r>
        <w:rPr>
          <w:bCs/>
        </w:rPr>
        <w:t> </w:t>
      </w:r>
      <w:r w:rsidR="008F3781" w:rsidRPr="005F2B02">
        <w:rPr>
          <w:bCs/>
        </w:rPr>
        <w:t>% et 40</w:t>
      </w:r>
      <w:r>
        <w:rPr>
          <w:bCs/>
        </w:rPr>
        <w:t> </w:t>
      </w:r>
      <w:r w:rsidR="008F3781" w:rsidRPr="005F2B02">
        <w:rPr>
          <w:bCs/>
        </w:rPr>
        <w:t>% (pour le calcul du taux, voir le paragraphe</w:t>
      </w:r>
      <w:r>
        <w:rPr>
          <w:bCs/>
        </w:rPr>
        <w:t> </w:t>
      </w:r>
      <w:r w:rsidR="008F3781" w:rsidRPr="005F2B02">
        <w:rPr>
          <w:bCs/>
        </w:rPr>
        <w:t>4.3.4 de la présente annexe).</w:t>
      </w:r>
      <w:r>
        <w:rPr>
          <w:bCs/>
        </w:rPr>
        <w:t> ».</w:t>
      </w:r>
    </w:p>
    <w:p w:rsidR="008F3781" w:rsidRPr="005F2B02" w:rsidRDefault="008F3781" w:rsidP="00880DE8">
      <w:pPr>
        <w:pStyle w:val="SingleTxtG"/>
        <w:rPr>
          <w:bCs/>
        </w:rPr>
      </w:pPr>
      <w:r w:rsidRPr="005F2B02">
        <w:rPr>
          <w:bCs/>
          <w:i/>
        </w:rPr>
        <w:t>Paragraphe 4.8.2</w:t>
      </w:r>
      <w:r w:rsidR="00E2325A">
        <w:rPr>
          <w:bCs/>
        </w:rPr>
        <w:t>, modifier comme suit </w:t>
      </w:r>
      <w:r w:rsidRPr="005F2B02">
        <w:rPr>
          <w:bCs/>
        </w:rPr>
        <w:t>: sans objet en français.</w:t>
      </w:r>
    </w:p>
    <w:p w:rsidR="008F3781" w:rsidRPr="005F2B02" w:rsidRDefault="008F3781" w:rsidP="00880DE8">
      <w:pPr>
        <w:pStyle w:val="SingleTxtG"/>
        <w:rPr>
          <w:bCs/>
        </w:rPr>
      </w:pPr>
      <w:r w:rsidRPr="005F2B02">
        <w:rPr>
          <w:bCs/>
          <w:i/>
        </w:rPr>
        <w:t>Paragraphe 4.8.3</w:t>
      </w:r>
      <w:r w:rsidRPr="005F2B02">
        <w:rPr>
          <w:bCs/>
        </w:rPr>
        <w:t>, modifier comme suit</w:t>
      </w:r>
      <w:r w:rsidR="00E2325A">
        <w:rPr>
          <w:bCs/>
        </w:rPr>
        <w:t> </w:t>
      </w:r>
      <w:r w:rsidRPr="005F2B02">
        <w:rPr>
          <w:bCs/>
        </w:rPr>
        <w:t>: sans objet en français.</w:t>
      </w:r>
    </w:p>
    <w:p w:rsidR="008F3781" w:rsidRPr="005F2B02" w:rsidRDefault="008F3781" w:rsidP="00880DE8">
      <w:pPr>
        <w:pStyle w:val="SingleTxtG"/>
        <w:rPr>
          <w:bCs/>
        </w:rPr>
      </w:pPr>
      <w:r w:rsidRPr="005F2B02">
        <w:rPr>
          <w:bCs/>
          <w:i/>
        </w:rPr>
        <w:t>Paragraphe 4.8.6</w:t>
      </w:r>
      <w:r w:rsidR="005F2B02">
        <w:rPr>
          <w:bCs/>
        </w:rPr>
        <w:t xml:space="preserve">, </w:t>
      </w:r>
      <w:r w:rsidRPr="005F2B02">
        <w:rPr>
          <w:bCs/>
        </w:rPr>
        <w:t>lire</w:t>
      </w:r>
      <w:r w:rsidR="005F2B02">
        <w:rPr>
          <w:bCs/>
        </w:rPr>
        <w:t> </w:t>
      </w:r>
      <w:r w:rsidRPr="005F2B02">
        <w:rPr>
          <w:bCs/>
        </w:rPr>
        <w:t>:</w:t>
      </w:r>
    </w:p>
    <w:p w:rsidR="008F3781" w:rsidRPr="005F2B02" w:rsidRDefault="005F2B02" w:rsidP="00000D14">
      <w:pPr>
        <w:pStyle w:val="SingleTxtG"/>
        <w:ind w:left="2268" w:hanging="1134"/>
        <w:rPr>
          <w:bCs/>
        </w:rPr>
      </w:pPr>
      <w:r>
        <w:t>« </w:t>
      </w:r>
      <w:r w:rsidR="008F3781" w:rsidRPr="005F2B02">
        <w:t>4.8.6</w:t>
      </w:r>
      <w:r w:rsidR="008F3781" w:rsidRPr="005F2B02">
        <w:tab/>
      </w:r>
      <w:r w:rsidR="008F3781" w:rsidRPr="005F2B02">
        <w:rPr>
          <w:bCs/>
        </w:rPr>
        <w:t xml:space="preserve">Calcul du taux de </w:t>
      </w:r>
      <w:r>
        <w:rPr>
          <w:bCs/>
        </w:rPr>
        <w:t>glissement</w:t>
      </w:r>
    </w:p>
    <w:p w:rsidR="008F3781" w:rsidRDefault="008F3781" w:rsidP="00000D14">
      <w:pPr>
        <w:pStyle w:val="SingleTxtG"/>
        <w:ind w:left="2268" w:hanging="1134"/>
      </w:pPr>
      <w:r w:rsidRPr="005F2B02">
        <w:tab/>
        <w:t>Le taux de glissement peut être calculé comme il est indiqué au paragraphe</w:t>
      </w:r>
      <w:r w:rsidR="005F2B02">
        <w:t> </w:t>
      </w:r>
      <w:r w:rsidRPr="005F2B02">
        <w:t>4.3.4 de la présente annexe ou en comparant la distance moyenne parcourue (voir le paragraphe</w:t>
      </w:r>
      <w:r w:rsidR="005F2B02">
        <w:t> </w:t>
      </w:r>
      <w:r w:rsidRPr="005F2B02">
        <w:t>4.7.5.3 de la présente annexe) lors des six essais au minimum à la distance parcourue lors d</w:t>
      </w:r>
      <w:r w:rsidR="00880DE8" w:rsidRPr="005F2B02">
        <w:t>’</w:t>
      </w:r>
      <w:r w:rsidRPr="005F2B02">
        <w:t>un essai réalisé sans glissement (avec</w:t>
      </w:r>
      <w:r w:rsidR="005F2B02">
        <w:t xml:space="preserve"> une accélération très faible).</w:t>
      </w:r>
    </w:p>
    <w:p w:rsidR="00595906" w:rsidRPr="00595906" w:rsidRDefault="00DA315A" w:rsidP="00DA315A">
      <w:pPr>
        <w:pStyle w:val="SingleTxtG"/>
        <w:spacing w:before="120"/>
        <w:ind w:left="2268" w:right="0"/>
      </w:pPr>
      <w:r w:rsidRPr="00595906">
        <w:rPr>
          <w:position w:val="-30"/>
          <w:sz w:val="16"/>
          <w:szCs w:val="16"/>
        </w:rPr>
        <w:object w:dxaOrig="7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0pt" o:ole="">
            <v:imagedata r:id="rId8" o:title=""/>
          </v:shape>
          <o:OLEObject Type="Embed" ProgID="Equation.3" ShapeID="_x0000_i1025" DrawAspect="Content" ObjectID="_1546440005" r:id="rId9"/>
        </w:object>
      </w:r>
    </w:p>
    <w:p w:rsidR="008F3781" w:rsidRPr="00880DE8" w:rsidRDefault="0000430E" w:rsidP="00595906">
      <w:pPr>
        <w:pStyle w:val="SingleTxtG"/>
        <w:ind w:left="2268" w:hanging="1134"/>
        <w:rPr>
          <w:lang w:val="fr-FR"/>
        </w:rPr>
      </w:pPr>
      <w:r>
        <w:rPr>
          <w:lang w:val="fr-FR"/>
        </w:rPr>
        <w:tab/>
      </w:r>
      <w:r w:rsidR="008F3781" w:rsidRPr="00880DE8">
        <w:rPr>
          <w:lang w:val="fr-FR"/>
        </w:rPr>
        <w:t>On entend par “distance à glissement nul” la distance calculée lors d</w:t>
      </w:r>
      <w:r w:rsidR="00880DE8" w:rsidRPr="00880DE8">
        <w:rPr>
          <w:lang w:val="fr-FR"/>
        </w:rPr>
        <w:t>’</w:t>
      </w:r>
      <w:r w:rsidR="008F3781" w:rsidRPr="00880DE8">
        <w:rPr>
          <w:lang w:val="fr-FR"/>
        </w:rPr>
        <w:t>un essai réalisé à une vitesse constante ou avec une accélération faible continue.</w:t>
      </w:r>
      <w:r w:rsidR="00E2325A">
        <w:rPr>
          <w:lang w:val="fr-FR"/>
        </w:rPr>
        <w:t> »</w:t>
      </w:r>
      <w:r w:rsidR="008F3781" w:rsidRPr="00880DE8">
        <w:rPr>
          <w:lang w:val="fr-FR"/>
        </w:rPr>
        <w:t>.</w:t>
      </w:r>
    </w:p>
    <w:p w:rsidR="008F3781" w:rsidRPr="00880DE8" w:rsidRDefault="008F3781" w:rsidP="0000430E">
      <w:pPr>
        <w:pStyle w:val="SingleTxtG"/>
        <w:keepNext/>
        <w:keepLines/>
        <w:rPr>
          <w:bCs/>
          <w:lang w:val="fr-FR"/>
        </w:rPr>
      </w:pPr>
      <w:r w:rsidRPr="00880DE8">
        <w:rPr>
          <w:bCs/>
          <w:i/>
          <w:lang w:val="fr-FR"/>
        </w:rPr>
        <w:t>Paragraphe 4.9.2</w:t>
      </w:r>
      <w:r w:rsidRPr="00880DE8">
        <w:rPr>
          <w:bCs/>
          <w:lang w:val="fr-FR"/>
        </w:rPr>
        <w:t>, lire</w:t>
      </w:r>
      <w:r w:rsidR="0000430E">
        <w:rPr>
          <w:bCs/>
          <w:lang w:val="fr-FR"/>
        </w:rPr>
        <w:t> </w:t>
      </w:r>
      <w:r w:rsidRPr="00880DE8">
        <w:rPr>
          <w:bCs/>
          <w:lang w:val="fr-FR"/>
        </w:rPr>
        <w:t>:</w:t>
      </w:r>
    </w:p>
    <w:p w:rsidR="008F3781" w:rsidRPr="00880DE8" w:rsidRDefault="0000430E" w:rsidP="0000430E">
      <w:pPr>
        <w:pStyle w:val="SingleTxtG"/>
        <w:keepNext/>
        <w:keepLines/>
        <w:ind w:left="2268" w:hanging="1134"/>
        <w:rPr>
          <w:lang w:val="fr-FR"/>
        </w:rPr>
      </w:pPr>
      <w:r>
        <w:rPr>
          <w:lang w:val="fr-FR"/>
        </w:rPr>
        <w:t>« </w:t>
      </w:r>
      <w:r w:rsidR="008F3781" w:rsidRPr="00880DE8">
        <w:rPr>
          <w:lang w:val="fr-FR"/>
        </w:rPr>
        <w:t>4.9.2</w:t>
      </w:r>
      <w:r w:rsidR="008F3781" w:rsidRPr="00880DE8">
        <w:rPr>
          <w:lang w:val="fr-FR"/>
        </w:rPr>
        <w:tab/>
      </w:r>
      <w:r w:rsidR="008F3781" w:rsidRPr="00000D14">
        <w:rPr>
          <w:bCs/>
          <w:lang w:val="fr-FR"/>
        </w:rPr>
        <w:t>Principe</w:t>
      </w:r>
    </w:p>
    <w:p w:rsidR="008F3781" w:rsidRPr="00880DE8" w:rsidRDefault="008F3781" w:rsidP="0000430E">
      <w:pPr>
        <w:pStyle w:val="SingleTxtG"/>
        <w:keepNext/>
        <w:keepLines/>
        <w:ind w:left="2268" w:hanging="1134"/>
        <w:rPr>
          <w:lang w:val="fr-FR"/>
        </w:rPr>
      </w:pPr>
      <w:r w:rsidRPr="00880DE8">
        <w:rPr>
          <w:lang w:val="fr-FR"/>
        </w:rPr>
        <w:tab/>
        <w:t>Le principe consiste à utiliser un pneumatique témoin et deux véhicules distincts pour évaluer un pneumatique à contrôler en le comparant à un pneumatique de référence.</w:t>
      </w:r>
    </w:p>
    <w:p w:rsidR="008F3781" w:rsidRPr="00880DE8" w:rsidRDefault="008F3781" w:rsidP="00000D14">
      <w:pPr>
        <w:pStyle w:val="SingleTxtG"/>
        <w:ind w:left="2268" w:hanging="1134"/>
        <w:rPr>
          <w:lang w:val="fr-FR"/>
        </w:rPr>
      </w:pPr>
      <w:r w:rsidRPr="00880DE8">
        <w:rPr>
          <w:lang w:val="fr-FR"/>
        </w:rPr>
        <w:tab/>
        <w:t>Sur l</w:t>
      </w:r>
      <w:r w:rsidR="00880DE8" w:rsidRPr="00880DE8">
        <w:rPr>
          <w:lang w:val="fr-FR"/>
        </w:rPr>
        <w:t>’</w:t>
      </w:r>
      <w:r w:rsidRPr="00880DE8">
        <w:rPr>
          <w:lang w:val="fr-FR"/>
        </w:rPr>
        <w:t>un des véhicules, on peut monter le pneumatique de réf</w:t>
      </w:r>
      <w:r w:rsidR="00E2325A">
        <w:rPr>
          <w:lang w:val="fr-FR"/>
        </w:rPr>
        <w:t>érence et le pneumatique témoin </w:t>
      </w:r>
      <w:r w:rsidRPr="00880DE8">
        <w:rPr>
          <w:lang w:val="fr-FR"/>
        </w:rPr>
        <w:t>; sur l</w:t>
      </w:r>
      <w:r w:rsidR="00880DE8" w:rsidRPr="00880DE8">
        <w:rPr>
          <w:lang w:val="fr-FR"/>
        </w:rPr>
        <w:t>’</w:t>
      </w:r>
      <w:r w:rsidRPr="00880DE8">
        <w:rPr>
          <w:lang w:val="fr-FR"/>
        </w:rPr>
        <w:t>autre, on peut monter le pneumatique témoin et le pneumatique à contrôler. Toutes les conditions doivent être conformes à celles décrites au paragraphe</w:t>
      </w:r>
      <w:r w:rsidR="0000430E">
        <w:rPr>
          <w:lang w:val="fr-FR"/>
        </w:rPr>
        <w:t> 4.7 ci-dessus.</w:t>
      </w:r>
    </w:p>
    <w:p w:rsidR="008F3781" w:rsidRPr="00880DE8" w:rsidRDefault="008F3781" w:rsidP="00000D14">
      <w:pPr>
        <w:pStyle w:val="SingleTxtG"/>
        <w:ind w:left="2268" w:hanging="1134"/>
        <w:rPr>
          <w:lang w:val="fr-FR"/>
        </w:rPr>
      </w:pPr>
      <w:r w:rsidRPr="00880DE8">
        <w:rPr>
          <w:lang w:val="fr-FR"/>
        </w:rPr>
        <w:tab/>
      </w:r>
      <w:r w:rsidRPr="00880DE8">
        <w:rPr>
          <w:lang w:val="fr-FR"/>
        </w:rPr>
        <w:tab/>
        <w:t>La première évaluation est une comparaison entre le pneumatique témoin et le pneumatique de référence. Le résultat (indice d</w:t>
      </w:r>
      <w:r w:rsidR="00880DE8" w:rsidRPr="00880DE8">
        <w:rPr>
          <w:lang w:val="fr-FR"/>
        </w:rPr>
        <w:t>’</w:t>
      </w:r>
      <w:r w:rsidRPr="00880DE8">
        <w:rPr>
          <w:lang w:val="fr-FR"/>
        </w:rPr>
        <w:t>adhérence sur neige</w:t>
      </w:r>
      <w:r w:rsidR="0000430E">
        <w:rPr>
          <w:lang w:val="fr-FR"/>
        </w:rPr>
        <w:t> </w:t>
      </w:r>
      <w:r w:rsidRPr="00880DE8">
        <w:rPr>
          <w:lang w:val="fr-FR"/>
        </w:rPr>
        <w:t>1) indique l</w:t>
      </w:r>
      <w:r w:rsidR="00880DE8" w:rsidRPr="00880DE8">
        <w:rPr>
          <w:lang w:val="fr-FR"/>
        </w:rPr>
        <w:t>’</w:t>
      </w:r>
      <w:r w:rsidRPr="00880DE8">
        <w:rPr>
          <w:lang w:val="fr-FR"/>
        </w:rPr>
        <w:t>efficacité relative du pneumatique témoin par rapport au pneumatique de référence.</w:t>
      </w:r>
    </w:p>
    <w:p w:rsidR="00A736CF" w:rsidRDefault="008F3781" w:rsidP="00000D14">
      <w:pPr>
        <w:pStyle w:val="SingleTxtG"/>
        <w:ind w:left="2268" w:hanging="1134"/>
        <w:rPr>
          <w:lang w:val="fr-FR"/>
        </w:rPr>
      </w:pPr>
      <w:r w:rsidRPr="00880DE8">
        <w:rPr>
          <w:lang w:val="fr-FR"/>
        </w:rPr>
        <w:tab/>
        <w:t>La seconde évaluation est une comparaison entre le pneumatique à contrôler et le pneumatique témoin. Le résultat (indice d</w:t>
      </w:r>
      <w:r w:rsidR="00880DE8" w:rsidRPr="00880DE8">
        <w:rPr>
          <w:lang w:val="fr-FR"/>
        </w:rPr>
        <w:t>’</w:t>
      </w:r>
      <w:r w:rsidRPr="00880DE8">
        <w:rPr>
          <w:lang w:val="fr-FR"/>
        </w:rPr>
        <w:t>adhérence sur neige</w:t>
      </w:r>
      <w:r w:rsidR="0000430E">
        <w:rPr>
          <w:lang w:val="fr-FR"/>
        </w:rPr>
        <w:t> </w:t>
      </w:r>
      <w:r w:rsidRPr="00880DE8">
        <w:rPr>
          <w:lang w:val="fr-FR"/>
        </w:rPr>
        <w:t>2) indique l</w:t>
      </w:r>
      <w:r w:rsidR="00880DE8" w:rsidRPr="00880DE8">
        <w:rPr>
          <w:lang w:val="fr-FR"/>
        </w:rPr>
        <w:t>’</w:t>
      </w:r>
      <w:r w:rsidRPr="00880DE8">
        <w:rPr>
          <w:lang w:val="fr-FR"/>
        </w:rPr>
        <w:t>efficacité relative du pneumatique à contrôler par rapport au pneumatique témoin.</w:t>
      </w:r>
      <w:r w:rsidR="0000430E">
        <w:rPr>
          <w:lang w:val="fr-FR"/>
        </w:rPr>
        <w:t> »</w:t>
      </w:r>
      <w:r w:rsidRPr="00880DE8">
        <w:rPr>
          <w:lang w:val="fr-FR"/>
        </w:rPr>
        <w:t>.</w:t>
      </w:r>
    </w:p>
    <w:p w:rsidR="00880DE8" w:rsidRPr="00880DE8" w:rsidRDefault="00880DE8" w:rsidP="00880DE8">
      <w:pPr>
        <w:pStyle w:val="SingleTxtG"/>
        <w:spacing w:before="240" w:after="0"/>
        <w:jc w:val="center"/>
        <w:rPr>
          <w:u w:val="single"/>
        </w:rPr>
      </w:pPr>
      <w:r>
        <w:rPr>
          <w:u w:val="single"/>
        </w:rPr>
        <w:tab/>
      </w:r>
      <w:r>
        <w:rPr>
          <w:u w:val="single"/>
        </w:rPr>
        <w:tab/>
      </w:r>
      <w:r>
        <w:rPr>
          <w:u w:val="single"/>
        </w:rPr>
        <w:tab/>
      </w:r>
    </w:p>
    <w:sectPr w:rsidR="00880DE8" w:rsidRPr="00880DE8" w:rsidSect="00A9638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81" w:rsidRDefault="008F3781" w:rsidP="00F95C08">
      <w:pPr>
        <w:spacing w:line="240" w:lineRule="auto"/>
      </w:pPr>
    </w:p>
  </w:endnote>
  <w:endnote w:type="continuationSeparator" w:id="0">
    <w:p w:rsidR="008F3781" w:rsidRPr="00AC3823" w:rsidRDefault="008F3781" w:rsidP="00AC3823">
      <w:pPr>
        <w:pStyle w:val="Footer"/>
      </w:pPr>
    </w:p>
  </w:endnote>
  <w:endnote w:type="continuationNotice" w:id="1">
    <w:p w:rsidR="008F3781" w:rsidRDefault="008F3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1" w:rsidRPr="00A96382" w:rsidRDefault="008F3781" w:rsidP="00A96382">
    <w:pPr>
      <w:pStyle w:val="Footer"/>
      <w:tabs>
        <w:tab w:val="right" w:pos="9638"/>
      </w:tabs>
    </w:pPr>
    <w:r w:rsidRPr="00A96382">
      <w:rPr>
        <w:b/>
        <w:sz w:val="18"/>
      </w:rPr>
      <w:fldChar w:fldCharType="begin"/>
    </w:r>
    <w:r w:rsidRPr="00A96382">
      <w:rPr>
        <w:b/>
        <w:sz w:val="18"/>
      </w:rPr>
      <w:instrText xml:space="preserve"> PAGE  \* MERGEFORMAT </w:instrText>
    </w:r>
    <w:r w:rsidRPr="00A96382">
      <w:rPr>
        <w:b/>
        <w:sz w:val="18"/>
      </w:rPr>
      <w:fldChar w:fldCharType="separate"/>
    </w:r>
    <w:r w:rsidR="001271C0">
      <w:rPr>
        <w:b/>
        <w:noProof/>
        <w:sz w:val="18"/>
      </w:rPr>
      <w:t>2</w:t>
    </w:r>
    <w:r w:rsidRPr="00A96382">
      <w:rPr>
        <w:b/>
        <w:sz w:val="18"/>
      </w:rPr>
      <w:fldChar w:fldCharType="end"/>
    </w:r>
    <w:r>
      <w:rPr>
        <w:b/>
        <w:sz w:val="18"/>
      </w:rPr>
      <w:tab/>
    </w:r>
    <w:r>
      <w:t>GE.16-22735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1" w:rsidRPr="00A96382" w:rsidRDefault="008F3781" w:rsidP="00A96382">
    <w:pPr>
      <w:pStyle w:val="Footer"/>
      <w:tabs>
        <w:tab w:val="right" w:pos="9638"/>
      </w:tabs>
      <w:rPr>
        <w:b/>
        <w:sz w:val="18"/>
      </w:rPr>
    </w:pPr>
    <w:r>
      <w:t>GE.16-22735</w:t>
    </w:r>
    <w:r>
      <w:tab/>
    </w:r>
    <w:r w:rsidRPr="00A96382">
      <w:rPr>
        <w:b/>
        <w:sz w:val="18"/>
      </w:rPr>
      <w:fldChar w:fldCharType="begin"/>
    </w:r>
    <w:r w:rsidRPr="00A96382">
      <w:rPr>
        <w:b/>
        <w:sz w:val="18"/>
      </w:rPr>
      <w:instrText xml:space="preserve"> PAGE  \* MERGEFORMAT </w:instrText>
    </w:r>
    <w:r w:rsidRPr="00A96382">
      <w:rPr>
        <w:b/>
        <w:sz w:val="18"/>
      </w:rPr>
      <w:fldChar w:fldCharType="separate"/>
    </w:r>
    <w:r w:rsidR="001271C0">
      <w:rPr>
        <w:b/>
        <w:noProof/>
        <w:sz w:val="18"/>
      </w:rPr>
      <w:t>7</w:t>
    </w:r>
    <w:r w:rsidRPr="00A963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1" w:rsidRPr="00A96382" w:rsidRDefault="008F3781" w:rsidP="00A9638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1CFEAAA" wp14:editId="106A3E9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16-22735  (F)    200117    200117</w:t>
    </w:r>
    <w:r>
      <w:rPr>
        <w:sz w:val="20"/>
      </w:rPr>
      <w:br/>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sidRPr="00A9638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81" w:rsidRPr="00AC3823" w:rsidRDefault="008F3781" w:rsidP="00AC3823">
      <w:pPr>
        <w:pStyle w:val="Footer"/>
        <w:tabs>
          <w:tab w:val="right" w:pos="2155"/>
        </w:tabs>
        <w:spacing w:after="80" w:line="240" w:lineRule="atLeast"/>
        <w:ind w:left="680"/>
        <w:rPr>
          <w:u w:val="single"/>
        </w:rPr>
      </w:pPr>
      <w:r>
        <w:rPr>
          <w:u w:val="single"/>
        </w:rPr>
        <w:tab/>
      </w:r>
    </w:p>
  </w:footnote>
  <w:footnote w:type="continuationSeparator" w:id="0">
    <w:p w:rsidR="008F3781" w:rsidRPr="00AC3823" w:rsidRDefault="008F3781" w:rsidP="00AC3823">
      <w:pPr>
        <w:pStyle w:val="Footer"/>
        <w:tabs>
          <w:tab w:val="right" w:pos="2155"/>
        </w:tabs>
        <w:spacing w:after="80" w:line="240" w:lineRule="atLeast"/>
        <w:ind w:left="680"/>
        <w:rPr>
          <w:u w:val="single"/>
        </w:rPr>
      </w:pPr>
      <w:r>
        <w:rPr>
          <w:u w:val="single"/>
        </w:rPr>
        <w:tab/>
      </w:r>
    </w:p>
  </w:footnote>
  <w:footnote w:type="continuationNotice" w:id="1">
    <w:p w:rsidR="008F3781" w:rsidRPr="00AC3823" w:rsidRDefault="008F3781">
      <w:pPr>
        <w:spacing w:line="240" w:lineRule="auto"/>
        <w:rPr>
          <w:sz w:val="2"/>
          <w:szCs w:val="2"/>
        </w:rPr>
      </w:pPr>
    </w:p>
  </w:footnote>
  <w:footnote w:id="2">
    <w:p w:rsidR="008F3781" w:rsidRPr="00A96382" w:rsidRDefault="008F3781">
      <w:pPr>
        <w:pStyle w:val="FootnoteText"/>
      </w:pPr>
      <w:r w:rsidRPr="00A96382">
        <w:rPr>
          <w:rStyle w:val="FootnoteReference"/>
          <w:spacing w:val="-2"/>
        </w:rPr>
        <w:tab/>
      </w:r>
      <w:r w:rsidRPr="00A96382">
        <w:rPr>
          <w:rStyle w:val="FootnoteReference"/>
          <w:spacing w:val="-2"/>
          <w:sz w:val="20"/>
          <w:vertAlign w:val="baseline"/>
        </w:rPr>
        <w:t>*</w:t>
      </w:r>
      <w:r w:rsidRPr="00A96382">
        <w:rPr>
          <w:rStyle w:val="FootnoteReference"/>
          <w:spacing w:val="-2"/>
          <w:sz w:val="20"/>
          <w:vertAlign w:val="baseline"/>
        </w:rPr>
        <w:tab/>
      </w:r>
      <w:r w:rsidRPr="00A96382">
        <w:rPr>
          <w:spacing w:val="-2"/>
          <w:lang w:val="fr-FR"/>
        </w:rPr>
        <w:t>Conformément au programme de travail du Comité des transports intérieurs pour la période 2016-2017</w:t>
      </w:r>
      <w:r>
        <w:rPr>
          <w:lang w:val="fr-FR"/>
        </w:rPr>
        <w:t xml:space="preserve"> (ECE/TRANS/254, par. 159</w:t>
      </w:r>
      <w:r w:rsidRPr="0056423C">
        <w:rPr>
          <w:lang w:val="fr-FR"/>
        </w:rPr>
        <w:t xml:space="preserve"> et ECE/TRANS/2016/28/Add.1, </w:t>
      </w:r>
      <w:r>
        <w:rPr>
          <w:lang w:val="fr-FR"/>
        </w:rPr>
        <w:t xml:space="preserve">module </w:t>
      </w:r>
      <w:r w:rsidRPr="0056423C">
        <w:rPr>
          <w:lang w:val="fr-FR"/>
        </w:rPr>
        <w:t>3.1), le Forum mondial a pour</w:t>
      </w:r>
      <w:r>
        <w:rPr>
          <w:lang w:val="fr-FR"/>
        </w:rPr>
        <w:t> </w:t>
      </w:r>
      <w:r w:rsidRPr="0056423C">
        <w:rPr>
          <w:lang w:val="fr-FR"/>
        </w:rPr>
        <w:t>mission d</w:t>
      </w:r>
      <w:r>
        <w:rPr>
          <w:lang w:val="fr-FR"/>
        </w:rPr>
        <w:t>’</w:t>
      </w:r>
      <w:r w:rsidRPr="0056423C">
        <w:rPr>
          <w:lang w:val="fr-FR"/>
        </w:rPr>
        <w:t>élaborer, d</w:t>
      </w:r>
      <w:r>
        <w:rPr>
          <w:lang w:val="fr-FR"/>
        </w:rPr>
        <w:t>’</w:t>
      </w:r>
      <w:r w:rsidRPr="0056423C">
        <w:rPr>
          <w:lang w:val="fr-FR"/>
        </w:rPr>
        <w:t>harmoniser et de mettre à jour les Règlements en vue d</w:t>
      </w:r>
      <w:r>
        <w:rPr>
          <w:lang w:val="fr-FR"/>
        </w:rPr>
        <w:t>’</w:t>
      </w:r>
      <w:r w:rsidRPr="0056423C">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1" w:rsidRPr="00A96382" w:rsidRDefault="008F3781">
    <w:pPr>
      <w:pStyle w:val="Header"/>
    </w:pPr>
    <w:r>
      <w:t>ECE/TRANS/WP.29/2017/9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81" w:rsidRPr="00A96382" w:rsidRDefault="008F3781" w:rsidP="00A96382">
    <w:pPr>
      <w:pStyle w:val="Header"/>
      <w:jc w:val="right"/>
    </w:pPr>
    <w:r>
      <w:t>ECE/TRANS/WP.29/2017/9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E6"/>
    <w:rsid w:val="00000D14"/>
    <w:rsid w:val="0000430E"/>
    <w:rsid w:val="00017F94"/>
    <w:rsid w:val="00023842"/>
    <w:rsid w:val="000334F9"/>
    <w:rsid w:val="0005367B"/>
    <w:rsid w:val="0007796D"/>
    <w:rsid w:val="000A6684"/>
    <w:rsid w:val="000B7790"/>
    <w:rsid w:val="00111F2F"/>
    <w:rsid w:val="001271C0"/>
    <w:rsid w:val="0014365E"/>
    <w:rsid w:val="00143C66"/>
    <w:rsid w:val="00156546"/>
    <w:rsid w:val="00176178"/>
    <w:rsid w:val="001B7D24"/>
    <w:rsid w:val="001F2470"/>
    <w:rsid w:val="001F525A"/>
    <w:rsid w:val="00223272"/>
    <w:rsid w:val="0024779E"/>
    <w:rsid w:val="00257168"/>
    <w:rsid w:val="00267B83"/>
    <w:rsid w:val="002744B8"/>
    <w:rsid w:val="002832AC"/>
    <w:rsid w:val="002D7C93"/>
    <w:rsid w:val="00305801"/>
    <w:rsid w:val="00344E5D"/>
    <w:rsid w:val="00355EE0"/>
    <w:rsid w:val="003916DE"/>
    <w:rsid w:val="0041366C"/>
    <w:rsid w:val="00441705"/>
    <w:rsid w:val="00441C3B"/>
    <w:rsid w:val="00446FE5"/>
    <w:rsid w:val="00452396"/>
    <w:rsid w:val="004837D8"/>
    <w:rsid w:val="004E3E38"/>
    <w:rsid w:val="004E468C"/>
    <w:rsid w:val="005505B7"/>
    <w:rsid w:val="00562239"/>
    <w:rsid w:val="00573BE5"/>
    <w:rsid w:val="00586ED3"/>
    <w:rsid w:val="00595906"/>
    <w:rsid w:val="00596AA9"/>
    <w:rsid w:val="005F2B02"/>
    <w:rsid w:val="006C74A0"/>
    <w:rsid w:val="0071601D"/>
    <w:rsid w:val="00742229"/>
    <w:rsid w:val="00752D63"/>
    <w:rsid w:val="00781885"/>
    <w:rsid w:val="007A62E6"/>
    <w:rsid w:val="007F20FA"/>
    <w:rsid w:val="0080684C"/>
    <w:rsid w:val="0082534E"/>
    <w:rsid w:val="00871C75"/>
    <w:rsid w:val="008776DC"/>
    <w:rsid w:val="00880DE8"/>
    <w:rsid w:val="008F3781"/>
    <w:rsid w:val="009705C8"/>
    <w:rsid w:val="009C1CF4"/>
    <w:rsid w:val="009F6B74"/>
    <w:rsid w:val="00A20011"/>
    <w:rsid w:val="00A30353"/>
    <w:rsid w:val="00A662D4"/>
    <w:rsid w:val="00A736CF"/>
    <w:rsid w:val="00A96382"/>
    <w:rsid w:val="00AB7F33"/>
    <w:rsid w:val="00AC3823"/>
    <w:rsid w:val="00AE323C"/>
    <w:rsid w:val="00AF0CB5"/>
    <w:rsid w:val="00AF7A49"/>
    <w:rsid w:val="00B00181"/>
    <w:rsid w:val="00B00B0D"/>
    <w:rsid w:val="00B765F7"/>
    <w:rsid w:val="00B91B53"/>
    <w:rsid w:val="00BA0CA9"/>
    <w:rsid w:val="00BF005B"/>
    <w:rsid w:val="00C02897"/>
    <w:rsid w:val="00CC0BC2"/>
    <w:rsid w:val="00CE0B09"/>
    <w:rsid w:val="00D3439C"/>
    <w:rsid w:val="00D90CF4"/>
    <w:rsid w:val="00DA315A"/>
    <w:rsid w:val="00DB1831"/>
    <w:rsid w:val="00DB1882"/>
    <w:rsid w:val="00DC17E9"/>
    <w:rsid w:val="00DD3BFD"/>
    <w:rsid w:val="00DF6678"/>
    <w:rsid w:val="00E2325A"/>
    <w:rsid w:val="00E320E6"/>
    <w:rsid w:val="00E85C74"/>
    <w:rsid w:val="00EA6547"/>
    <w:rsid w:val="00EF2E22"/>
    <w:rsid w:val="00F051EB"/>
    <w:rsid w:val="00F15BB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F707BD-97F5-49BA-840A-5D52E06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vt:lpstr>
      <vt:lpstr>ECE/TRANS/WP.29/2017/9</vt:lpstr>
    </vt:vector>
  </TitlesOfParts>
  <Company>DCM</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dc:title>
  <dc:subject>final</dc:subject>
  <dc:creator>Deschamps</dc:creator>
  <cp:keywords/>
  <dc:description/>
  <cp:lastModifiedBy>Lucille</cp:lastModifiedBy>
  <cp:revision>2</cp:revision>
  <cp:lastPrinted>2014-05-14T10:59:00Z</cp:lastPrinted>
  <dcterms:created xsi:type="dcterms:W3CDTF">2017-01-20T16:54:00Z</dcterms:created>
  <dcterms:modified xsi:type="dcterms:W3CDTF">2017-01-20T16:54:00Z</dcterms:modified>
</cp:coreProperties>
</file>