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686"/>
        <w:gridCol w:w="2409"/>
      </w:tblGrid>
      <w:tr w:rsidR="00B56E9C" w:rsidRPr="008268C5" w:rsidTr="006C62E2">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8268C5" w:rsidRDefault="00CD57D2" w:rsidP="00CC0DFB">
            <w:pPr>
              <w:suppressAutoHyphens w:val="0"/>
              <w:spacing w:after="20"/>
              <w:jc w:val="right"/>
              <w:rPr>
                <w:b/>
                <w:sz w:val="28"/>
                <w:szCs w:val="28"/>
              </w:rPr>
            </w:pPr>
            <w:r w:rsidRPr="008268C5">
              <w:rPr>
                <w:b/>
                <w:sz w:val="28"/>
                <w:szCs w:val="28"/>
              </w:rPr>
              <w:t>INF.</w:t>
            </w:r>
            <w:r w:rsidR="00CC0DFB">
              <w:rPr>
                <w:b/>
                <w:sz w:val="28"/>
                <w:szCs w:val="28"/>
              </w:rPr>
              <w:t>8</w:t>
            </w:r>
          </w:p>
        </w:tc>
      </w:tr>
      <w:tr w:rsidR="003A3109" w:rsidRPr="00DE3269" w:rsidTr="006C62E2">
        <w:trPr>
          <w:cantSplit/>
          <w:trHeight w:hRule="exact" w:val="2974"/>
        </w:trPr>
        <w:tc>
          <w:tcPr>
            <w:tcW w:w="7230" w:type="dxa"/>
            <w:gridSpan w:val="3"/>
            <w:tcBorders>
              <w:top w:val="single" w:sz="4" w:space="0" w:color="auto"/>
            </w:tcBorders>
          </w:tcPr>
          <w:p w:rsidR="003A3109" w:rsidRPr="005F5FAF" w:rsidRDefault="003A3109" w:rsidP="00D14684">
            <w:pPr>
              <w:spacing w:before="120"/>
              <w:rPr>
                <w:b/>
                <w:sz w:val="28"/>
                <w:szCs w:val="28"/>
              </w:rPr>
            </w:pPr>
            <w:r w:rsidRPr="005F5FAF">
              <w:rPr>
                <w:b/>
                <w:sz w:val="28"/>
                <w:szCs w:val="28"/>
              </w:rPr>
              <w:t xml:space="preserve">Economic Commission for </w:t>
            </w:r>
            <w:smartTag w:uri="urn:schemas-microsoft-com:office:smarttags" w:element="City">
              <w:r w:rsidRPr="005F5FAF">
                <w:rPr>
                  <w:b/>
                  <w:sz w:val="28"/>
                  <w:szCs w:val="28"/>
                </w:rPr>
                <w:t>Europe</w:t>
              </w:r>
            </w:smartTag>
          </w:p>
          <w:p w:rsidR="003A3109" w:rsidRPr="005F5FAF" w:rsidRDefault="003A3109" w:rsidP="00D14684">
            <w:pPr>
              <w:spacing w:before="120"/>
              <w:rPr>
                <w:sz w:val="28"/>
                <w:szCs w:val="28"/>
              </w:rPr>
            </w:pPr>
            <w:r w:rsidRPr="005F5FAF">
              <w:rPr>
                <w:sz w:val="28"/>
                <w:szCs w:val="28"/>
              </w:rPr>
              <w:t>Inland Transport Committee</w:t>
            </w:r>
          </w:p>
          <w:p w:rsidR="003A3109" w:rsidRPr="005F5FAF" w:rsidRDefault="003A3109" w:rsidP="00D14684">
            <w:pPr>
              <w:spacing w:before="120"/>
              <w:rPr>
                <w:b/>
                <w:szCs w:val="24"/>
              </w:rPr>
            </w:pPr>
            <w:r w:rsidRPr="005F5FAF">
              <w:rPr>
                <w:b/>
                <w:szCs w:val="24"/>
              </w:rPr>
              <w:t>Working Party on the Transport of Perishable Foodstuffs</w:t>
            </w:r>
          </w:p>
          <w:p w:rsidR="003A3109" w:rsidRPr="005F5FAF" w:rsidRDefault="003A3109" w:rsidP="00D14684">
            <w:pPr>
              <w:spacing w:before="120"/>
              <w:rPr>
                <w:b/>
              </w:rPr>
            </w:pPr>
            <w:r w:rsidRPr="005F5FAF">
              <w:rPr>
                <w:b/>
                <w:bCs/>
              </w:rPr>
              <w:t>Seventy-</w:t>
            </w:r>
            <w:r w:rsidR="00054A06">
              <w:rPr>
                <w:b/>
                <w:bCs/>
              </w:rPr>
              <w:t>third</w:t>
            </w:r>
            <w:r w:rsidRPr="005F5FAF">
              <w:rPr>
                <w:b/>
                <w:bCs/>
              </w:rPr>
              <w:t xml:space="preserve"> </w:t>
            </w:r>
            <w:r w:rsidRPr="005F5FAF">
              <w:rPr>
                <w:b/>
              </w:rPr>
              <w:t>session</w:t>
            </w:r>
          </w:p>
          <w:p w:rsidR="003A3109" w:rsidRPr="005F5FAF" w:rsidRDefault="003A3109" w:rsidP="00D14684">
            <w:r w:rsidRPr="005F5FAF">
              <w:t xml:space="preserve">Geneva, </w:t>
            </w:r>
            <w:r w:rsidR="00054A06">
              <w:t>10-13</w:t>
            </w:r>
            <w:r w:rsidRPr="005F5FAF">
              <w:t xml:space="preserve"> October 201</w:t>
            </w:r>
            <w:r w:rsidR="00054A06">
              <w:t>7</w:t>
            </w:r>
          </w:p>
          <w:p w:rsidR="003A3109" w:rsidRDefault="003A3109" w:rsidP="00D14684">
            <w:r w:rsidRPr="005F5FAF">
              <w:t xml:space="preserve">Item </w:t>
            </w:r>
            <w:r w:rsidR="007A1A87">
              <w:t>5</w:t>
            </w:r>
            <w:r w:rsidR="007923DE">
              <w:t xml:space="preserve"> (</w:t>
            </w:r>
            <w:r w:rsidR="007A1A87">
              <w:t>a</w:t>
            </w:r>
            <w:r w:rsidR="007923DE">
              <w:t>)</w:t>
            </w:r>
            <w:r w:rsidRPr="005F5FAF">
              <w:t xml:space="preserve"> of the provisional agenda</w:t>
            </w:r>
          </w:p>
          <w:p w:rsidR="007923DE" w:rsidRPr="007923DE" w:rsidRDefault="007923DE" w:rsidP="00D14684">
            <w:pPr>
              <w:rPr>
                <w:b/>
              </w:rPr>
            </w:pPr>
            <w:r w:rsidRPr="007923DE">
              <w:rPr>
                <w:b/>
              </w:rPr>
              <w:t>Proposals of amendments to ATP:</w:t>
            </w:r>
          </w:p>
          <w:p w:rsidR="003A3109" w:rsidRPr="006F7107" w:rsidRDefault="007923DE" w:rsidP="00DA55B6">
            <w:pPr>
              <w:rPr>
                <w:b/>
                <w:lang w:val="en-US"/>
              </w:rPr>
            </w:pPr>
            <w:r>
              <w:rPr>
                <w:b/>
              </w:rPr>
              <w:t>p</w:t>
            </w:r>
            <w:r w:rsidR="00DA55B6">
              <w:rPr>
                <w:b/>
              </w:rPr>
              <w:t>ending issues</w:t>
            </w:r>
            <w:bookmarkStart w:id="0" w:name="_GoBack"/>
            <w:bookmarkEnd w:id="0"/>
          </w:p>
        </w:tc>
        <w:tc>
          <w:tcPr>
            <w:tcW w:w="2409" w:type="dxa"/>
            <w:tcBorders>
              <w:top w:val="single" w:sz="4" w:space="0" w:color="auto"/>
            </w:tcBorders>
          </w:tcPr>
          <w:p w:rsidR="003A3109" w:rsidRPr="006F7107" w:rsidRDefault="003A3109" w:rsidP="00D14684">
            <w:pPr>
              <w:rPr>
                <w:b/>
                <w:lang w:val="en-US"/>
              </w:rPr>
            </w:pPr>
          </w:p>
          <w:p w:rsidR="003A3109" w:rsidRDefault="003A3109" w:rsidP="00D14684">
            <w:pPr>
              <w:rPr>
                <w:b/>
                <w:lang w:val="en-US"/>
              </w:rPr>
            </w:pPr>
          </w:p>
          <w:p w:rsidR="00CD1DCF" w:rsidRPr="006F7107" w:rsidRDefault="00CD1DCF" w:rsidP="00D14684">
            <w:pPr>
              <w:rPr>
                <w:b/>
                <w:lang w:val="en-US"/>
              </w:rPr>
            </w:pPr>
          </w:p>
          <w:p w:rsidR="003A3109" w:rsidRPr="00CD1DCF" w:rsidRDefault="00E75C93" w:rsidP="00B65529">
            <w:pPr>
              <w:rPr>
                <w:lang w:val="fr-CH"/>
              </w:rPr>
            </w:pPr>
            <w:r>
              <w:rPr>
                <w:lang w:val="fr-CH"/>
              </w:rPr>
              <w:t>28</w:t>
            </w:r>
            <w:r w:rsidR="003A3109" w:rsidRPr="00CD1DCF">
              <w:rPr>
                <w:lang w:val="fr-CH"/>
              </w:rPr>
              <w:t xml:space="preserve"> </w:t>
            </w:r>
            <w:proofErr w:type="spellStart"/>
            <w:r w:rsidR="00485CA9">
              <w:rPr>
                <w:lang w:val="fr-CH"/>
              </w:rPr>
              <w:t>September</w:t>
            </w:r>
            <w:proofErr w:type="spellEnd"/>
            <w:r w:rsidR="003A3109" w:rsidRPr="00CD1DCF">
              <w:rPr>
                <w:lang w:val="fr-CH"/>
              </w:rPr>
              <w:t xml:space="preserve"> 2017</w:t>
            </w:r>
          </w:p>
        </w:tc>
      </w:tr>
    </w:tbl>
    <w:p w:rsidR="00F1418D" w:rsidRDefault="00F1418D" w:rsidP="00F1418D">
      <w:pPr>
        <w:pStyle w:val="HChG"/>
      </w:pPr>
      <w:r>
        <w:tab/>
      </w:r>
      <w:r>
        <w:tab/>
      </w:r>
      <w:r w:rsidR="004549A9" w:rsidRPr="00291E49">
        <w:rPr>
          <w:rFonts w:eastAsia="MS Mincho"/>
          <w:lang w:eastAsia="ja-JP"/>
        </w:rPr>
        <w:t>A</w:t>
      </w:r>
      <w:r w:rsidR="006F7107">
        <w:rPr>
          <w:rFonts w:eastAsia="MS Mincho"/>
          <w:lang w:eastAsia="ja-JP"/>
        </w:rPr>
        <w:t xml:space="preserve">dditions and corrections </w:t>
      </w:r>
      <w:r w:rsidR="004549A9" w:rsidRPr="00291E49">
        <w:rPr>
          <w:rFonts w:eastAsia="MS Mincho"/>
          <w:lang w:eastAsia="ja-JP"/>
        </w:rPr>
        <w:t xml:space="preserve">to </w:t>
      </w:r>
      <w:r w:rsidR="006F7107">
        <w:rPr>
          <w:rFonts w:eastAsia="MS Mincho"/>
          <w:lang w:eastAsia="ja-JP"/>
        </w:rPr>
        <w:t xml:space="preserve">document 2017/6 </w:t>
      </w:r>
    </w:p>
    <w:p w:rsidR="00F1418D" w:rsidRDefault="00F1418D" w:rsidP="00F1418D">
      <w:pPr>
        <w:pStyle w:val="H1G"/>
        <w:rPr>
          <w:sz w:val="20"/>
        </w:rPr>
      </w:pPr>
      <w:r>
        <w:tab/>
      </w:r>
      <w:r>
        <w:tab/>
      </w:r>
      <w:r w:rsidR="006F7107">
        <w:t>Transmitted by the Government of the Netherlands</w:t>
      </w:r>
    </w:p>
    <w:p w:rsidR="00EA25AC" w:rsidRDefault="00CD1DCF" w:rsidP="00CD1DCF">
      <w:pPr>
        <w:pStyle w:val="H23G"/>
      </w:pPr>
      <w:r>
        <w:tab/>
      </w:r>
      <w:r>
        <w:tab/>
      </w:r>
      <w:r w:rsidR="00EA25AC" w:rsidRPr="00EA25AC">
        <w:t>Introduction</w:t>
      </w:r>
    </w:p>
    <w:p w:rsidR="004C483B" w:rsidRDefault="004549A9" w:rsidP="00CD1DCF">
      <w:pPr>
        <w:pStyle w:val="SingleTxtG"/>
      </w:pPr>
      <w:r w:rsidRPr="005079DF">
        <w:t>1.</w:t>
      </w:r>
      <w:r w:rsidRPr="005079DF">
        <w:tab/>
      </w:r>
      <w:r w:rsidR="00BA09E1">
        <w:t>T</w:t>
      </w:r>
      <w:r w:rsidR="004C483B">
        <w:t>erminology used in 2017/6 needs correction</w:t>
      </w:r>
      <w:r w:rsidR="00E24CB8">
        <w:t>.</w:t>
      </w:r>
      <w:r w:rsidR="004C483B">
        <w:t xml:space="preserve"> </w:t>
      </w:r>
      <w:r w:rsidR="00CD3560">
        <w:t xml:space="preserve">Below the wording of the proposals in 2017/6 are reproduced including the corrections. </w:t>
      </w:r>
      <w:r w:rsidR="004C483B">
        <w:t xml:space="preserve">Additionally the Netherlands is of the opinion that the transitional measure to allow the continued use of existing equipment not in conformity with the new marking requirements should be placed in paragraph </w:t>
      </w:r>
      <w:r w:rsidR="00B65529">
        <w:t>6</w:t>
      </w:r>
      <w:r w:rsidR="004C483B">
        <w:t xml:space="preserve"> of Annex 1. </w:t>
      </w:r>
    </w:p>
    <w:p w:rsidR="002D32CD" w:rsidRPr="002D32CD" w:rsidRDefault="00CD1DCF" w:rsidP="00CD1DCF">
      <w:pPr>
        <w:pStyle w:val="H23G"/>
        <w:rPr>
          <w:lang w:val="en-US"/>
        </w:rPr>
      </w:pPr>
      <w:r>
        <w:rPr>
          <w:lang w:val="en-US"/>
        </w:rPr>
        <w:tab/>
      </w:r>
      <w:r>
        <w:rPr>
          <w:lang w:val="en-US"/>
        </w:rPr>
        <w:tab/>
      </w:r>
      <w:r w:rsidR="0027245D">
        <w:rPr>
          <w:lang w:val="en-US"/>
        </w:rPr>
        <w:t>Proposals</w:t>
      </w:r>
    </w:p>
    <w:p w:rsidR="00CD1DCF" w:rsidRDefault="00EA25AC" w:rsidP="00EA25AC">
      <w:pPr>
        <w:ind w:left="1134"/>
        <w:rPr>
          <w:u w:val="single"/>
          <w:lang w:val="en-US"/>
        </w:rPr>
      </w:pPr>
      <w:r>
        <w:rPr>
          <w:lang w:val="en-US"/>
        </w:rPr>
        <w:t>2.</w:t>
      </w:r>
      <w:r>
        <w:rPr>
          <w:lang w:val="en-US"/>
        </w:rPr>
        <w:tab/>
      </w:r>
      <w:r w:rsidR="0027245D" w:rsidRPr="00D00501">
        <w:rPr>
          <w:u w:val="single"/>
          <w:lang w:val="en-US"/>
        </w:rPr>
        <w:t>Correct</w:t>
      </w:r>
      <w:r w:rsidR="006F7107" w:rsidRPr="00D00501">
        <w:rPr>
          <w:u w:val="single"/>
          <w:lang w:val="en-US"/>
        </w:rPr>
        <w:t xml:space="preserve"> paragraph 11 of 2017/6 to read:</w:t>
      </w:r>
    </w:p>
    <w:p w:rsidR="006F7107" w:rsidRDefault="006F7107" w:rsidP="00CD1DCF">
      <w:pPr>
        <w:pStyle w:val="SingleTxtG"/>
        <w:rPr>
          <w:lang w:val="en-US"/>
        </w:rPr>
      </w:pPr>
      <w:r>
        <w:rPr>
          <w:lang w:val="en-US"/>
        </w:rPr>
        <w:t>(new wording in italic – deletions stricken through and remaining wording of 2017/6 in normal script).</w:t>
      </w:r>
    </w:p>
    <w:p w:rsidR="006F7107" w:rsidRDefault="006F7107" w:rsidP="00CD1DCF">
      <w:pPr>
        <w:pStyle w:val="SingleTxtG"/>
        <w:rPr>
          <w:lang w:val="en-US"/>
        </w:rPr>
      </w:pPr>
      <w:r>
        <w:rPr>
          <w:lang w:val="en-US"/>
        </w:rPr>
        <w:t xml:space="preserve">“In </w:t>
      </w:r>
      <w:r w:rsidRPr="00B766CD">
        <w:rPr>
          <w:lang w:val="en-US"/>
        </w:rPr>
        <w:t>the case of</w:t>
      </w:r>
      <w:r>
        <w:rPr>
          <w:lang w:val="en-US"/>
        </w:rPr>
        <w:t xml:space="preserve"> multi-</w:t>
      </w:r>
      <w:r w:rsidRPr="007D7E68">
        <w:rPr>
          <w:strike/>
          <w:lang w:val="en-US"/>
        </w:rPr>
        <w:t>temperature</w:t>
      </w:r>
      <w:r>
        <w:rPr>
          <w:lang w:val="en-US"/>
        </w:rPr>
        <w:t xml:space="preserve"> </w:t>
      </w:r>
      <w:r w:rsidRPr="007D7E68">
        <w:rPr>
          <w:i/>
          <w:lang w:val="en-US"/>
        </w:rPr>
        <w:t xml:space="preserve">compartment </w:t>
      </w:r>
      <w:r>
        <w:rPr>
          <w:lang w:val="en-US"/>
        </w:rPr>
        <w:t xml:space="preserve">equipment divided in two compartments the equipment mark shall consist </w:t>
      </w:r>
      <w:r w:rsidRPr="00DC2230">
        <w:rPr>
          <w:strike/>
          <w:lang w:val="en-US"/>
        </w:rPr>
        <w:t>in</w:t>
      </w:r>
      <w:r>
        <w:rPr>
          <w:lang w:val="en-US"/>
        </w:rPr>
        <w:t xml:space="preserve"> </w:t>
      </w:r>
      <w:r w:rsidRPr="00DC2230">
        <w:rPr>
          <w:i/>
          <w:lang w:val="en-US"/>
        </w:rPr>
        <w:t>of</w:t>
      </w:r>
      <w:r>
        <w:rPr>
          <w:lang w:val="en-US"/>
        </w:rPr>
        <w:t xml:space="preserve"> the distinguishing mark</w:t>
      </w:r>
      <w:r w:rsidR="00BA09E1" w:rsidRPr="00BA09E1">
        <w:rPr>
          <w:strike/>
          <w:lang w:val="en-US"/>
        </w:rPr>
        <w:t>s</w:t>
      </w:r>
      <w:r>
        <w:rPr>
          <w:lang w:val="en-US"/>
        </w:rPr>
        <w:t xml:space="preserve"> of each compartment (example: FRC-FRA) starting with the compartment located at the front </w:t>
      </w:r>
      <w:r w:rsidRPr="00B766CD">
        <w:rPr>
          <w:lang w:val="en-US"/>
        </w:rPr>
        <w:t>or</w:t>
      </w:r>
      <w:r>
        <w:rPr>
          <w:lang w:val="en-US"/>
        </w:rPr>
        <w:t xml:space="preserve"> on the left side of the equipment</w:t>
      </w:r>
      <w:r w:rsidR="009818C3">
        <w:rPr>
          <w:lang w:val="en-US"/>
        </w:rPr>
        <w:t>.</w:t>
      </w:r>
    </w:p>
    <w:p w:rsidR="006F7107" w:rsidRDefault="006F7107" w:rsidP="00CD1DCF">
      <w:pPr>
        <w:pStyle w:val="SingleTxtG"/>
        <w:rPr>
          <w:lang w:val="en-US"/>
        </w:rPr>
      </w:pPr>
      <w:r>
        <w:rPr>
          <w:lang w:val="en-US"/>
        </w:rPr>
        <w:t>In the case of multi-</w:t>
      </w:r>
      <w:r w:rsidRPr="00C31A13">
        <w:rPr>
          <w:strike/>
          <w:lang w:val="en-US"/>
        </w:rPr>
        <w:t>temperature</w:t>
      </w:r>
      <w:r>
        <w:rPr>
          <w:lang w:val="en-US"/>
        </w:rPr>
        <w:t xml:space="preserve"> compartment equipment divided in three or more compartments the distinguishing mark shall be selected  only for the highest ATP class </w:t>
      </w:r>
      <w:r w:rsidRPr="00C31A13">
        <w:rPr>
          <w:strike/>
          <w:lang w:val="en-US"/>
        </w:rPr>
        <w:t>and</w:t>
      </w:r>
      <w:r>
        <w:rPr>
          <w:lang w:val="en-US"/>
        </w:rPr>
        <w:t xml:space="preserve"> , supplemented by the letter M (example FRC-M).</w:t>
      </w:r>
    </w:p>
    <w:p w:rsidR="006F7107" w:rsidRDefault="006F7107" w:rsidP="00CD1DCF">
      <w:pPr>
        <w:pStyle w:val="SingleTxtG"/>
        <w:rPr>
          <w:lang w:val="en-US"/>
        </w:rPr>
      </w:pPr>
      <w:r>
        <w:rPr>
          <w:lang w:val="en-US"/>
        </w:rPr>
        <w:t>[</w:t>
      </w:r>
      <w:r w:rsidR="00BA09E1" w:rsidRPr="00BA09E1">
        <w:rPr>
          <w:strike/>
          <w:lang w:val="en-US"/>
        </w:rPr>
        <w:t>This</w:t>
      </w:r>
      <w:r w:rsidR="00BA09E1">
        <w:rPr>
          <w:lang w:val="en-US"/>
        </w:rPr>
        <w:t xml:space="preserve"> </w:t>
      </w:r>
      <w:r w:rsidRPr="00BA09E1">
        <w:rPr>
          <w:i/>
          <w:lang w:val="en-US"/>
        </w:rPr>
        <w:t>The</w:t>
      </w:r>
      <w:r>
        <w:rPr>
          <w:lang w:val="en-US"/>
        </w:rPr>
        <w:t xml:space="preserve"> </w:t>
      </w:r>
      <w:r w:rsidRPr="003A4152">
        <w:rPr>
          <w:strike/>
          <w:lang w:val="en-US"/>
        </w:rPr>
        <w:t>labeling</w:t>
      </w:r>
      <w:r>
        <w:rPr>
          <w:lang w:val="en-US"/>
        </w:rPr>
        <w:t xml:space="preserve"> </w:t>
      </w:r>
      <w:r w:rsidRPr="003A4152">
        <w:rPr>
          <w:i/>
          <w:lang w:val="en-US"/>
        </w:rPr>
        <w:t>marking</w:t>
      </w:r>
      <w:r>
        <w:rPr>
          <w:lang w:val="en-US"/>
        </w:rPr>
        <w:t xml:space="preserve"> is mandatory for all e</w:t>
      </w:r>
      <w:r w:rsidR="00CD1DCF">
        <w:rPr>
          <w:lang w:val="en-US"/>
        </w:rPr>
        <w:t>quipment, which is built from 1 </w:t>
      </w:r>
      <w:r>
        <w:rPr>
          <w:lang w:val="en-US"/>
        </w:rPr>
        <w:t>October 2020. Marking schemes of multi-</w:t>
      </w:r>
      <w:r w:rsidRPr="00FF6E97">
        <w:rPr>
          <w:strike/>
          <w:lang w:val="en-US"/>
        </w:rPr>
        <w:t>temperature</w:t>
      </w:r>
      <w:r>
        <w:rPr>
          <w:lang w:val="en-US"/>
        </w:rPr>
        <w:t xml:space="preserve"> compartment equipment which is already established can be kept on </w:t>
      </w:r>
      <w:r w:rsidRPr="00FF6E97">
        <w:rPr>
          <w:strike/>
          <w:lang w:val="en-US"/>
        </w:rPr>
        <w:t>existing</w:t>
      </w:r>
      <w:r>
        <w:rPr>
          <w:lang w:val="en-US"/>
        </w:rPr>
        <w:t xml:space="preserve"> equipment </w:t>
      </w:r>
      <w:r w:rsidR="00CD1DCF">
        <w:rPr>
          <w:i/>
          <w:lang w:val="en-US"/>
        </w:rPr>
        <w:t>constructed before 1 </w:t>
      </w:r>
      <w:r w:rsidRPr="00FF6E97">
        <w:rPr>
          <w:i/>
          <w:lang w:val="en-US"/>
        </w:rPr>
        <w:t>October 2020</w:t>
      </w:r>
      <w:r>
        <w:rPr>
          <w:lang w:val="en-US"/>
        </w:rPr>
        <w:t>.]</w:t>
      </w:r>
    </w:p>
    <w:p w:rsidR="00CD1DCF" w:rsidRDefault="00CD1DCF" w:rsidP="002D32CD">
      <w:pPr>
        <w:ind w:left="1080" w:firstLine="54"/>
        <w:rPr>
          <w:u w:val="single"/>
          <w:lang w:val="en-US"/>
        </w:rPr>
      </w:pPr>
      <w:r>
        <w:rPr>
          <w:lang w:val="en-US"/>
        </w:rPr>
        <w:t>3.</w:t>
      </w:r>
      <w:r w:rsidR="002D32CD">
        <w:rPr>
          <w:lang w:val="en-US"/>
        </w:rPr>
        <w:tab/>
      </w:r>
      <w:r w:rsidR="0027245D" w:rsidRPr="00D00501">
        <w:rPr>
          <w:u w:val="single"/>
          <w:lang w:val="en-US"/>
        </w:rPr>
        <w:t xml:space="preserve">Correct </w:t>
      </w:r>
      <w:r w:rsidR="00E24CB8" w:rsidRPr="00D00501">
        <w:rPr>
          <w:u w:val="single"/>
          <w:lang w:val="en-US"/>
        </w:rPr>
        <w:t xml:space="preserve">and amend </w:t>
      </w:r>
      <w:r w:rsidR="002D32CD" w:rsidRPr="00D00501">
        <w:rPr>
          <w:u w:val="single"/>
          <w:lang w:val="en-US"/>
        </w:rPr>
        <w:t>paragraph 12 of 2017/6 to read:</w:t>
      </w:r>
    </w:p>
    <w:p w:rsidR="002D32CD" w:rsidRDefault="002D32CD" w:rsidP="00CD1DCF">
      <w:pPr>
        <w:pStyle w:val="SingleTxtG"/>
        <w:rPr>
          <w:lang w:val="en-US"/>
        </w:rPr>
      </w:pPr>
      <w:r>
        <w:rPr>
          <w:lang w:val="en-US"/>
        </w:rPr>
        <w:t>(new wording in italic – deletions stricken through and remaining wording of 2017/6 in normal script).</w:t>
      </w:r>
    </w:p>
    <w:p w:rsidR="002A429F" w:rsidRDefault="006F7107" w:rsidP="00CD1DCF">
      <w:pPr>
        <w:pStyle w:val="SingleTxtG"/>
        <w:rPr>
          <w:lang w:val="en-US"/>
        </w:rPr>
      </w:pPr>
      <w:r>
        <w:rPr>
          <w:lang w:val="en-US"/>
        </w:rPr>
        <w:t xml:space="preserve">A declaration of conformity shall be provided in a supplementary document to the certificate of </w:t>
      </w:r>
      <w:r w:rsidRPr="00A1469F">
        <w:rPr>
          <w:strike/>
          <w:lang w:val="en-US"/>
        </w:rPr>
        <w:t>conformity</w:t>
      </w:r>
      <w:r>
        <w:rPr>
          <w:lang w:val="en-US"/>
        </w:rPr>
        <w:t xml:space="preserve"> </w:t>
      </w:r>
      <w:r w:rsidRPr="00A1469F">
        <w:rPr>
          <w:i/>
          <w:lang w:val="en-US"/>
        </w:rPr>
        <w:t>compliance</w:t>
      </w:r>
      <w:r>
        <w:rPr>
          <w:lang w:val="en-US"/>
        </w:rPr>
        <w:t xml:space="preserve"> issued by the competent authority of the country of manufacture. </w:t>
      </w:r>
      <w:r w:rsidR="002A429F" w:rsidRPr="00B65529">
        <w:rPr>
          <w:lang w:val="en-US"/>
        </w:rPr>
        <w:t>The document shall be based on the information given by the manufacturer.</w:t>
      </w:r>
    </w:p>
    <w:p w:rsidR="00784486" w:rsidRDefault="00784486" w:rsidP="00CD1DCF">
      <w:pPr>
        <w:pStyle w:val="SingleTxtG"/>
        <w:rPr>
          <w:lang w:val="en-US"/>
        </w:rPr>
      </w:pPr>
    </w:p>
    <w:p w:rsidR="00784486" w:rsidRDefault="00784486" w:rsidP="00CD1DCF">
      <w:pPr>
        <w:pStyle w:val="SingleTxtG"/>
        <w:rPr>
          <w:lang w:val="en-US"/>
        </w:rPr>
      </w:pPr>
    </w:p>
    <w:p w:rsidR="006F7107" w:rsidRDefault="006F7107" w:rsidP="00CD1DCF">
      <w:pPr>
        <w:pStyle w:val="SingleTxtG"/>
        <w:rPr>
          <w:lang w:val="en-US"/>
        </w:rPr>
      </w:pPr>
      <w:r>
        <w:rPr>
          <w:lang w:val="en-US"/>
        </w:rPr>
        <w:lastRenderedPageBreak/>
        <w:t>The document shall include at least:</w:t>
      </w:r>
    </w:p>
    <w:p w:rsidR="006F7107" w:rsidRPr="00752578" w:rsidRDefault="006F7107" w:rsidP="00CD1DCF">
      <w:pPr>
        <w:pStyle w:val="Bullet1G"/>
      </w:pPr>
      <w:r w:rsidRPr="00752578">
        <w:t>A sketch showing the actual compartment configuration and evaporator arrangement;</w:t>
      </w:r>
    </w:p>
    <w:p w:rsidR="006F7107" w:rsidRPr="00752578" w:rsidRDefault="006F7107" w:rsidP="00CD1DCF">
      <w:pPr>
        <w:pStyle w:val="Bullet1G"/>
      </w:pPr>
      <w:r w:rsidRPr="00752578">
        <w:t xml:space="preserve">Proof by calculation that the multi </w:t>
      </w:r>
      <w:r w:rsidRPr="00752578">
        <w:rPr>
          <w:strike/>
        </w:rPr>
        <w:t>temperature refrigerated</w:t>
      </w:r>
      <w:r w:rsidRPr="00752578">
        <w:t xml:space="preserve"> </w:t>
      </w:r>
      <w:r w:rsidRPr="00752578">
        <w:rPr>
          <w:i/>
        </w:rPr>
        <w:t>compartment</w:t>
      </w:r>
      <w:r w:rsidRPr="00752578">
        <w:t xml:space="preserve"> equipment meets the requirements of ATP for the user’s intended degree of freedom with regards to compartment temperatures and compartment dimensions.</w:t>
      </w:r>
    </w:p>
    <w:p w:rsidR="00583752" w:rsidRPr="00D00501" w:rsidRDefault="00B766CD" w:rsidP="00CD1DCF">
      <w:pPr>
        <w:pStyle w:val="SingleTxtG"/>
      </w:pPr>
      <w:r w:rsidRPr="00D00501">
        <w:t>4</w:t>
      </w:r>
      <w:r w:rsidR="00583752" w:rsidRPr="00D00501">
        <w:t>.</w:t>
      </w:r>
      <w:r w:rsidR="00583752" w:rsidRPr="00D00501">
        <w:tab/>
      </w:r>
      <w:r w:rsidR="0027245D" w:rsidRPr="00D00501">
        <w:rPr>
          <w:u w:val="single"/>
        </w:rPr>
        <w:t>Delete the last sentence as presented in document 2017/6 paragraph 11</w:t>
      </w:r>
      <w:r w:rsidR="0027245D" w:rsidRPr="00D00501">
        <w:t xml:space="preserve"> </w:t>
      </w:r>
      <w:r w:rsidR="00752578" w:rsidRPr="00D00501">
        <w:t>(</w:t>
      </w:r>
      <w:r w:rsidR="002A429F" w:rsidRPr="00D00501">
        <w:t xml:space="preserve">above </w:t>
      </w:r>
      <w:r w:rsidR="00752578" w:rsidRPr="00D00501">
        <w:t xml:space="preserve">in square brackets) </w:t>
      </w:r>
      <w:r w:rsidR="0027245D" w:rsidRPr="00D00501">
        <w:t>and i</w:t>
      </w:r>
      <w:r w:rsidR="00583752" w:rsidRPr="00D00501">
        <w:t xml:space="preserve">ntroduce a new transitional measure in Annex 1 paragraph </w:t>
      </w:r>
      <w:r w:rsidR="00B65529" w:rsidRPr="00D00501">
        <w:t>6</w:t>
      </w:r>
      <w:r w:rsidR="00583752" w:rsidRPr="00D00501">
        <w:t xml:space="preserve"> to read</w:t>
      </w:r>
      <w:r w:rsidR="00080DB5" w:rsidRPr="00D00501">
        <w:t>:</w:t>
      </w:r>
    </w:p>
    <w:p w:rsidR="00583752" w:rsidRPr="00D00501" w:rsidRDefault="00CD1DCF" w:rsidP="00CD1DCF">
      <w:pPr>
        <w:pStyle w:val="SingleTxtG"/>
        <w:tabs>
          <w:tab w:val="left" w:pos="1701"/>
          <w:tab w:val="left" w:pos="2127"/>
        </w:tabs>
        <w:rPr>
          <w:lang w:val="en-US"/>
        </w:rPr>
      </w:pPr>
      <w:r>
        <w:rPr>
          <w:rStyle w:val="SingleTxtGCar"/>
          <w:i/>
        </w:rPr>
        <w:tab/>
      </w:r>
      <w:r w:rsidR="00B65529" w:rsidRPr="00CD1DCF">
        <w:rPr>
          <w:rStyle w:val="SingleTxtGCar"/>
          <w:i/>
        </w:rPr>
        <w:t>6.2</w:t>
      </w:r>
      <w:r w:rsidR="00B65529" w:rsidRPr="00D00501">
        <w:rPr>
          <w:lang w:val="en-US"/>
        </w:rPr>
        <w:tab/>
      </w:r>
      <w:r w:rsidR="00583752" w:rsidRPr="00CD1DCF">
        <w:rPr>
          <w:i/>
          <w:lang w:val="en-US"/>
        </w:rPr>
        <w:t xml:space="preserve">Multi –compartment equipment constructed before 1 October 2020 not </w:t>
      </w:r>
      <w:r w:rsidRPr="00CD1DCF">
        <w:rPr>
          <w:i/>
          <w:lang w:val="en-US"/>
        </w:rPr>
        <w:tab/>
      </w:r>
      <w:r w:rsidRPr="00CD1DCF">
        <w:rPr>
          <w:i/>
          <w:lang w:val="en-US"/>
        </w:rPr>
        <w:tab/>
      </w:r>
      <w:r w:rsidRPr="00CD1DCF">
        <w:rPr>
          <w:i/>
          <w:lang w:val="en-US"/>
        </w:rPr>
        <w:tab/>
      </w:r>
      <w:r w:rsidR="00583752" w:rsidRPr="00CD1DCF">
        <w:rPr>
          <w:i/>
          <w:lang w:val="en-US"/>
        </w:rPr>
        <w:t xml:space="preserve">in compliance with the  markings requirements of Annex 1, Appendix </w:t>
      </w:r>
      <w:r w:rsidRPr="00CD1DCF">
        <w:rPr>
          <w:i/>
          <w:lang w:val="en-US"/>
        </w:rPr>
        <w:tab/>
      </w:r>
      <w:r w:rsidRPr="00CD1DCF">
        <w:rPr>
          <w:i/>
          <w:lang w:val="en-US"/>
        </w:rPr>
        <w:tab/>
      </w:r>
      <w:r w:rsidRPr="00CD1DCF">
        <w:rPr>
          <w:i/>
          <w:lang w:val="en-US"/>
        </w:rPr>
        <w:tab/>
      </w:r>
      <w:r w:rsidR="00583752" w:rsidRPr="00CD1DCF">
        <w:rPr>
          <w:i/>
          <w:lang w:val="en-US"/>
        </w:rPr>
        <w:t xml:space="preserve">4 may </w:t>
      </w:r>
      <w:proofErr w:type="spellStart"/>
      <w:r w:rsidR="00583752" w:rsidRPr="00CD1DCF">
        <w:rPr>
          <w:i/>
          <w:lang w:val="en-US"/>
        </w:rPr>
        <w:t>continued</w:t>
      </w:r>
      <w:proofErr w:type="spellEnd"/>
      <w:r w:rsidR="00583752" w:rsidRPr="00CD1DCF">
        <w:rPr>
          <w:i/>
          <w:lang w:val="en-US"/>
        </w:rPr>
        <w:t xml:space="preserve"> to be used with the existing marking schemes.</w:t>
      </w:r>
    </w:p>
    <w:p w:rsidR="006F7107" w:rsidRPr="00583752" w:rsidRDefault="00CD1DCF" w:rsidP="00CD1DCF">
      <w:pPr>
        <w:pStyle w:val="H23G"/>
        <w:rPr>
          <w:lang w:val="en-US"/>
        </w:rPr>
      </w:pPr>
      <w:r>
        <w:rPr>
          <w:lang w:val="en-US"/>
        </w:rPr>
        <w:tab/>
      </w:r>
      <w:r>
        <w:rPr>
          <w:lang w:val="en-US"/>
        </w:rPr>
        <w:tab/>
      </w:r>
      <w:r w:rsidR="00EA25AC" w:rsidRPr="00583752">
        <w:rPr>
          <w:lang w:val="en-US"/>
        </w:rPr>
        <w:t>Justification</w:t>
      </w:r>
    </w:p>
    <w:p w:rsidR="006F7107" w:rsidRDefault="00080DB5" w:rsidP="00CD1DCF">
      <w:pPr>
        <w:pStyle w:val="SingleTxtG"/>
        <w:rPr>
          <w:lang w:val="en-US"/>
        </w:rPr>
      </w:pPr>
      <w:r>
        <w:rPr>
          <w:lang w:val="en-US"/>
        </w:rPr>
        <w:t>5</w:t>
      </w:r>
      <w:r w:rsidR="00583752">
        <w:rPr>
          <w:lang w:val="en-US"/>
        </w:rPr>
        <w:t>.</w:t>
      </w:r>
      <w:r w:rsidR="00583752">
        <w:rPr>
          <w:lang w:val="en-US"/>
        </w:rPr>
        <w:tab/>
      </w:r>
      <w:r w:rsidR="006F7107">
        <w:rPr>
          <w:lang w:val="en-US"/>
        </w:rPr>
        <w:t xml:space="preserve">Annex 1, Appendix 2 section 7 </w:t>
      </w:r>
      <w:r w:rsidR="00752578">
        <w:rPr>
          <w:lang w:val="en-US"/>
        </w:rPr>
        <w:t xml:space="preserve">contains specific definition. In these definitions </w:t>
      </w:r>
      <w:r w:rsidR="006F7107">
        <w:rPr>
          <w:lang w:val="en-US"/>
        </w:rPr>
        <w:t xml:space="preserve"> Multi-compartment equipment </w:t>
      </w:r>
      <w:r w:rsidR="00752578">
        <w:rPr>
          <w:lang w:val="en-US"/>
        </w:rPr>
        <w:t xml:space="preserve">deals with the </w:t>
      </w:r>
      <w:r w:rsidR="006F7107">
        <w:rPr>
          <w:lang w:val="en-US"/>
        </w:rPr>
        <w:t>insulated body and Multi-temperature mechanical refrigeration unit</w:t>
      </w:r>
      <w:r w:rsidR="00752578">
        <w:rPr>
          <w:lang w:val="en-US"/>
        </w:rPr>
        <w:t xml:space="preserve"> with the thermal appliance</w:t>
      </w:r>
      <w:r w:rsidR="006F7107">
        <w:rPr>
          <w:lang w:val="en-US"/>
        </w:rPr>
        <w:t xml:space="preserve">. To be consistent with the definitions of 7.1 it is proposed to change the wording multi-temperature equipment to multi-compartment equipment. </w:t>
      </w:r>
    </w:p>
    <w:p w:rsidR="00A30C84" w:rsidRPr="00CD1DCF" w:rsidRDefault="004549A9" w:rsidP="00CD1DCF">
      <w:pPr>
        <w:spacing w:before="240"/>
        <w:ind w:left="1134" w:right="1134"/>
        <w:jc w:val="center"/>
        <w:rPr>
          <w:u w:val="single"/>
        </w:rPr>
      </w:pPr>
      <w:r w:rsidRPr="00583752">
        <w:rPr>
          <w:lang w:val="en-US"/>
        </w:rPr>
        <w:t>_____________</w:t>
      </w:r>
      <w:r w:rsidR="00CD1DCF">
        <w:rPr>
          <w:u w:val="single"/>
          <w:lang w:val="en-US"/>
        </w:rPr>
        <w:tab/>
      </w:r>
      <w:r w:rsidR="00CD1DCF">
        <w:rPr>
          <w:u w:val="single"/>
          <w:lang w:val="en-US"/>
        </w:rPr>
        <w:tab/>
      </w:r>
      <w:r w:rsidR="00CD1DCF">
        <w:rPr>
          <w:u w:val="single"/>
          <w:lang w:val="en-US"/>
        </w:rPr>
        <w:tab/>
      </w:r>
    </w:p>
    <w:sectPr w:rsidR="00A30C84" w:rsidRPr="00CD1DCF" w:rsidSect="00DA55B6">
      <w:headerReference w:type="even" r:id="rId8"/>
      <w:headerReference w:type="default" r:id="rId9"/>
      <w:footerReference w:type="even" r:id="rId10"/>
      <w:footerReference w:type="default" r:id="rId11"/>
      <w:footnotePr>
        <w:numStart w:val="2"/>
      </w:footnotePr>
      <w:endnotePr>
        <w:numFmt w:val="decimal"/>
      </w:endnotePr>
      <w:type w:val="continuous"/>
      <w:pgSz w:w="11907" w:h="16840" w:code="9"/>
      <w:pgMar w:top="1701" w:right="1701"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7923DE">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2C263B">
      <w:rPr>
        <w:b/>
        <w:noProof/>
        <w:sz w:val="18"/>
      </w:rPr>
      <w:t>19</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A40804">
      <w:rPr>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3A3109">
      <w:rPr>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6"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ECC7CAE"/>
    <w:multiLevelType w:val="hybridMultilevel"/>
    <w:tmpl w:val="0BDEC35A"/>
    <w:lvl w:ilvl="0" w:tplc="6C9ADD7A">
      <w:start w:val="12"/>
      <w:numFmt w:val="bullet"/>
      <w:lvlText w:val="-"/>
      <w:lvlJc w:val="left"/>
      <w:pPr>
        <w:ind w:left="1080" w:hanging="360"/>
      </w:pPr>
      <w:rPr>
        <w:rFonts w:ascii="Calibri" w:eastAsiaTheme="minorEastAsia"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8"/>
  </w:num>
  <w:num w:numId="15">
    <w:abstractNumId w:val="12"/>
  </w:num>
  <w:num w:numId="16">
    <w:abstractNumId w:val="11"/>
  </w:num>
  <w:num w:numId="17">
    <w:abstractNumId w:val="20"/>
  </w:num>
  <w:num w:numId="18">
    <w:abstractNumId w:val="19"/>
  </w:num>
  <w:num w:numId="19">
    <w:abstractNumId w:val="15"/>
  </w:num>
  <w:num w:numId="20">
    <w:abstractNumId w:val="16"/>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19AF"/>
    <w:rsid w:val="000035B8"/>
    <w:rsid w:val="00013C9F"/>
    <w:rsid w:val="00013E97"/>
    <w:rsid w:val="000149A1"/>
    <w:rsid w:val="000218B5"/>
    <w:rsid w:val="000260EE"/>
    <w:rsid w:val="00037F90"/>
    <w:rsid w:val="00046B1F"/>
    <w:rsid w:val="000470B0"/>
    <w:rsid w:val="00047EB7"/>
    <w:rsid w:val="00050F6B"/>
    <w:rsid w:val="00054A06"/>
    <w:rsid w:val="00057E97"/>
    <w:rsid w:val="00061528"/>
    <w:rsid w:val="0006361C"/>
    <w:rsid w:val="00067232"/>
    <w:rsid w:val="00072C8C"/>
    <w:rsid w:val="000733B5"/>
    <w:rsid w:val="00080D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1389"/>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7245D"/>
    <w:rsid w:val="00280A1D"/>
    <w:rsid w:val="00284DBC"/>
    <w:rsid w:val="00286B4D"/>
    <w:rsid w:val="002A0CC5"/>
    <w:rsid w:val="002A3C85"/>
    <w:rsid w:val="002A429F"/>
    <w:rsid w:val="002A603B"/>
    <w:rsid w:val="002B46EB"/>
    <w:rsid w:val="002C2008"/>
    <w:rsid w:val="002C263B"/>
    <w:rsid w:val="002C63B0"/>
    <w:rsid w:val="002D0CE4"/>
    <w:rsid w:val="002D2E24"/>
    <w:rsid w:val="002D32CD"/>
    <w:rsid w:val="002D4643"/>
    <w:rsid w:val="002D4B6C"/>
    <w:rsid w:val="002F0E73"/>
    <w:rsid w:val="002F175C"/>
    <w:rsid w:val="002F3C64"/>
    <w:rsid w:val="00301D76"/>
    <w:rsid w:val="00302E18"/>
    <w:rsid w:val="0030606F"/>
    <w:rsid w:val="003173A5"/>
    <w:rsid w:val="003229D8"/>
    <w:rsid w:val="0033230E"/>
    <w:rsid w:val="003358CF"/>
    <w:rsid w:val="00335D02"/>
    <w:rsid w:val="0034605E"/>
    <w:rsid w:val="00352709"/>
    <w:rsid w:val="00352CCA"/>
    <w:rsid w:val="00354ED9"/>
    <w:rsid w:val="003706D8"/>
    <w:rsid w:val="0037107E"/>
    <w:rsid w:val="00371178"/>
    <w:rsid w:val="00375B70"/>
    <w:rsid w:val="0038452A"/>
    <w:rsid w:val="00393A3C"/>
    <w:rsid w:val="003A10AC"/>
    <w:rsid w:val="003A30E1"/>
    <w:rsid w:val="003A3109"/>
    <w:rsid w:val="003A6498"/>
    <w:rsid w:val="003A6728"/>
    <w:rsid w:val="003A6810"/>
    <w:rsid w:val="003A7C69"/>
    <w:rsid w:val="003B1CC1"/>
    <w:rsid w:val="003B36D1"/>
    <w:rsid w:val="003B7418"/>
    <w:rsid w:val="003C2CC4"/>
    <w:rsid w:val="003C74DD"/>
    <w:rsid w:val="003D30B0"/>
    <w:rsid w:val="003D3380"/>
    <w:rsid w:val="003D4B23"/>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9A9"/>
    <w:rsid w:val="00454D98"/>
    <w:rsid w:val="00456890"/>
    <w:rsid w:val="00463984"/>
    <w:rsid w:val="00463B7B"/>
    <w:rsid w:val="004643FE"/>
    <w:rsid w:val="00470310"/>
    <w:rsid w:val="00471330"/>
    <w:rsid w:val="004757DA"/>
    <w:rsid w:val="0048014F"/>
    <w:rsid w:val="00482DA4"/>
    <w:rsid w:val="0048397A"/>
    <w:rsid w:val="00485C67"/>
    <w:rsid w:val="00485CA9"/>
    <w:rsid w:val="004A12F2"/>
    <w:rsid w:val="004C2461"/>
    <w:rsid w:val="004C483B"/>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3752"/>
    <w:rsid w:val="00586DB8"/>
    <w:rsid w:val="0059363D"/>
    <w:rsid w:val="00596193"/>
    <w:rsid w:val="005A1668"/>
    <w:rsid w:val="005A280E"/>
    <w:rsid w:val="005A6437"/>
    <w:rsid w:val="005B3DB3"/>
    <w:rsid w:val="005B4E13"/>
    <w:rsid w:val="005C5CC2"/>
    <w:rsid w:val="005D01AA"/>
    <w:rsid w:val="005D0201"/>
    <w:rsid w:val="005D2A29"/>
    <w:rsid w:val="005E6A77"/>
    <w:rsid w:val="005F4705"/>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133E"/>
    <w:rsid w:val="006623D5"/>
    <w:rsid w:val="00662531"/>
    <w:rsid w:val="00662BB6"/>
    <w:rsid w:val="006634C7"/>
    <w:rsid w:val="00667F8F"/>
    <w:rsid w:val="00670BBE"/>
    <w:rsid w:val="006713A7"/>
    <w:rsid w:val="00674897"/>
    <w:rsid w:val="00676B85"/>
    <w:rsid w:val="00684C21"/>
    <w:rsid w:val="006A2530"/>
    <w:rsid w:val="006B49F6"/>
    <w:rsid w:val="006B4DDD"/>
    <w:rsid w:val="006C18FA"/>
    <w:rsid w:val="006C3589"/>
    <w:rsid w:val="006C62E2"/>
    <w:rsid w:val="006D2B94"/>
    <w:rsid w:val="006D317D"/>
    <w:rsid w:val="006D37AF"/>
    <w:rsid w:val="006D51D0"/>
    <w:rsid w:val="006E3B48"/>
    <w:rsid w:val="006E4935"/>
    <w:rsid w:val="006E564B"/>
    <w:rsid w:val="006E7191"/>
    <w:rsid w:val="006E73A7"/>
    <w:rsid w:val="006F7107"/>
    <w:rsid w:val="00702574"/>
    <w:rsid w:val="00703577"/>
    <w:rsid w:val="00705894"/>
    <w:rsid w:val="0071793F"/>
    <w:rsid w:val="00721211"/>
    <w:rsid w:val="0072632A"/>
    <w:rsid w:val="007327D5"/>
    <w:rsid w:val="00743E81"/>
    <w:rsid w:val="00743EE9"/>
    <w:rsid w:val="0074723A"/>
    <w:rsid w:val="00752578"/>
    <w:rsid w:val="00753674"/>
    <w:rsid w:val="00754592"/>
    <w:rsid w:val="007611CF"/>
    <w:rsid w:val="007612FF"/>
    <w:rsid w:val="007629C8"/>
    <w:rsid w:val="0077047D"/>
    <w:rsid w:val="00781439"/>
    <w:rsid w:val="007816F1"/>
    <w:rsid w:val="00784486"/>
    <w:rsid w:val="0078507B"/>
    <w:rsid w:val="00791AC2"/>
    <w:rsid w:val="007923DE"/>
    <w:rsid w:val="00793939"/>
    <w:rsid w:val="00797575"/>
    <w:rsid w:val="007A1179"/>
    <w:rsid w:val="007A1A87"/>
    <w:rsid w:val="007A787F"/>
    <w:rsid w:val="007B5682"/>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7829"/>
    <w:rsid w:val="00933E40"/>
    <w:rsid w:val="00934137"/>
    <w:rsid w:val="00940F93"/>
    <w:rsid w:val="0094558F"/>
    <w:rsid w:val="009536F9"/>
    <w:rsid w:val="00961690"/>
    <w:rsid w:val="009760F3"/>
    <w:rsid w:val="00977203"/>
    <w:rsid w:val="009818C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0804"/>
    <w:rsid w:val="00A44D24"/>
    <w:rsid w:val="00A45808"/>
    <w:rsid w:val="00A46763"/>
    <w:rsid w:val="00A477C4"/>
    <w:rsid w:val="00A5402C"/>
    <w:rsid w:val="00A56AAB"/>
    <w:rsid w:val="00A72F22"/>
    <w:rsid w:val="00A7360F"/>
    <w:rsid w:val="00A748A6"/>
    <w:rsid w:val="00A769F4"/>
    <w:rsid w:val="00A776B4"/>
    <w:rsid w:val="00A915B4"/>
    <w:rsid w:val="00A94361"/>
    <w:rsid w:val="00A970A8"/>
    <w:rsid w:val="00A97ADF"/>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29"/>
    <w:rsid w:val="00B6553F"/>
    <w:rsid w:val="00B70F1E"/>
    <w:rsid w:val="00B756A2"/>
    <w:rsid w:val="00B766CD"/>
    <w:rsid w:val="00B77D05"/>
    <w:rsid w:val="00B8059B"/>
    <w:rsid w:val="00B81206"/>
    <w:rsid w:val="00B81E12"/>
    <w:rsid w:val="00B8394B"/>
    <w:rsid w:val="00B85D76"/>
    <w:rsid w:val="00B87639"/>
    <w:rsid w:val="00B94746"/>
    <w:rsid w:val="00BA09E1"/>
    <w:rsid w:val="00BA4F47"/>
    <w:rsid w:val="00BB5635"/>
    <w:rsid w:val="00BB7CD1"/>
    <w:rsid w:val="00BC2725"/>
    <w:rsid w:val="00BC3FA0"/>
    <w:rsid w:val="00BC626B"/>
    <w:rsid w:val="00BC67E1"/>
    <w:rsid w:val="00BC74E9"/>
    <w:rsid w:val="00BD29A6"/>
    <w:rsid w:val="00BE4F17"/>
    <w:rsid w:val="00BF3CC6"/>
    <w:rsid w:val="00BF68A8"/>
    <w:rsid w:val="00BF6B31"/>
    <w:rsid w:val="00C00247"/>
    <w:rsid w:val="00C0468A"/>
    <w:rsid w:val="00C10FE6"/>
    <w:rsid w:val="00C11A03"/>
    <w:rsid w:val="00C11B49"/>
    <w:rsid w:val="00C12465"/>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0DFB"/>
    <w:rsid w:val="00CC24B7"/>
    <w:rsid w:val="00CC2A1B"/>
    <w:rsid w:val="00CC5B3B"/>
    <w:rsid w:val="00CD1DCF"/>
    <w:rsid w:val="00CD1FCA"/>
    <w:rsid w:val="00CD3560"/>
    <w:rsid w:val="00CD46A7"/>
    <w:rsid w:val="00CD57D2"/>
    <w:rsid w:val="00CE1761"/>
    <w:rsid w:val="00CE1CFD"/>
    <w:rsid w:val="00CE3E6E"/>
    <w:rsid w:val="00CE4A8F"/>
    <w:rsid w:val="00CF7AC0"/>
    <w:rsid w:val="00D00501"/>
    <w:rsid w:val="00D13F4D"/>
    <w:rsid w:val="00D170BE"/>
    <w:rsid w:val="00D2031B"/>
    <w:rsid w:val="00D224BF"/>
    <w:rsid w:val="00D22523"/>
    <w:rsid w:val="00D25FE2"/>
    <w:rsid w:val="00D36B21"/>
    <w:rsid w:val="00D43252"/>
    <w:rsid w:val="00D44198"/>
    <w:rsid w:val="00D47EEA"/>
    <w:rsid w:val="00D47F36"/>
    <w:rsid w:val="00D50D87"/>
    <w:rsid w:val="00D550D4"/>
    <w:rsid w:val="00D56292"/>
    <w:rsid w:val="00D62742"/>
    <w:rsid w:val="00D7419E"/>
    <w:rsid w:val="00D773DF"/>
    <w:rsid w:val="00D876F8"/>
    <w:rsid w:val="00D9255F"/>
    <w:rsid w:val="00D95303"/>
    <w:rsid w:val="00D97453"/>
    <w:rsid w:val="00D978C6"/>
    <w:rsid w:val="00DA3C1C"/>
    <w:rsid w:val="00DA5024"/>
    <w:rsid w:val="00DA55B6"/>
    <w:rsid w:val="00DB1304"/>
    <w:rsid w:val="00DB43CD"/>
    <w:rsid w:val="00DB7E27"/>
    <w:rsid w:val="00DC12A9"/>
    <w:rsid w:val="00DE37C6"/>
    <w:rsid w:val="00DE4970"/>
    <w:rsid w:val="00DE7486"/>
    <w:rsid w:val="00E01B7D"/>
    <w:rsid w:val="00E046DF"/>
    <w:rsid w:val="00E14853"/>
    <w:rsid w:val="00E15557"/>
    <w:rsid w:val="00E24CB8"/>
    <w:rsid w:val="00E25D65"/>
    <w:rsid w:val="00E261FA"/>
    <w:rsid w:val="00E26778"/>
    <w:rsid w:val="00E27346"/>
    <w:rsid w:val="00E3292C"/>
    <w:rsid w:val="00E51E40"/>
    <w:rsid w:val="00E54F0D"/>
    <w:rsid w:val="00E5731F"/>
    <w:rsid w:val="00E63ABF"/>
    <w:rsid w:val="00E71BC8"/>
    <w:rsid w:val="00E7260F"/>
    <w:rsid w:val="00E73F5D"/>
    <w:rsid w:val="00E756DA"/>
    <w:rsid w:val="00E75C93"/>
    <w:rsid w:val="00E77E4E"/>
    <w:rsid w:val="00E836E7"/>
    <w:rsid w:val="00E879F6"/>
    <w:rsid w:val="00E955EE"/>
    <w:rsid w:val="00E96630"/>
    <w:rsid w:val="00E96B8D"/>
    <w:rsid w:val="00EA13FC"/>
    <w:rsid w:val="00EA25A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40961"/>
    <o:shapelayout v:ext="edit">
      <o:idmap v:ext="edit" data="1"/>
    </o:shapelayout>
  </w:shapeDefaults>
  <w:decimalSymbol w:val="."/>
  <w:listSeparator w:val=","/>
  <w14:docId w14:val="3F19825F"/>
  <w15:docId w15:val="{3B05E260-5A6A-4A13-8AD8-34914D63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CC24B7"/>
    <w:pPr>
      <w:spacing w:line="240" w:lineRule="auto"/>
      <w:outlineLvl w:val="1"/>
    </w:pPr>
  </w:style>
  <w:style w:type="paragraph" w:styleId="Heading3">
    <w:name w:val="heading 3"/>
    <w:basedOn w:val="Normal"/>
    <w:next w:val="Normal"/>
    <w:qFormat/>
    <w:rsid w:val="00CC24B7"/>
    <w:pPr>
      <w:spacing w:line="240" w:lineRule="auto"/>
      <w:outlineLvl w:val="2"/>
    </w:pPr>
  </w:style>
  <w:style w:type="paragraph" w:styleId="Heading4">
    <w:name w:val="heading 4"/>
    <w:basedOn w:val="Normal"/>
    <w:next w:val="Normal"/>
    <w:qFormat/>
    <w:rsid w:val="00CC24B7"/>
    <w:pPr>
      <w:spacing w:line="240" w:lineRule="auto"/>
      <w:outlineLvl w:val="3"/>
    </w:pPr>
  </w:style>
  <w:style w:type="paragraph" w:styleId="Heading5">
    <w:name w:val="heading 5"/>
    <w:basedOn w:val="Normal"/>
    <w:next w:val="Normal"/>
    <w:qFormat/>
    <w:rsid w:val="00CC24B7"/>
    <w:pPr>
      <w:spacing w:line="240" w:lineRule="auto"/>
      <w:outlineLvl w:val="4"/>
    </w:pPr>
  </w:style>
  <w:style w:type="paragraph" w:styleId="Heading6">
    <w:name w:val="heading 6"/>
    <w:basedOn w:val="Normal"/>
    <w:next w:val="Normal"/>
    <w:qFormat/>
    <w:rsid w:val="00CC24B7"/>
    <w:pPr>
      <w:spacing w:line="240" w:lineRule="auto"/>
      <w:outlineLvl w:val="5"/>
    </w:pPr>
  </w:style>
  <w:style w:type="paragraph" w:styleId="Heading7">
    <w:name w:val="heading 7"/>
    <w:basedOn w:val="Normal"/>
    <w:next w:val="Normal"/>
    <w:qFormat/>
    <w:rsid w:val="00CC24B7"/>
    <w:pPr>
      <w:spacing w:line="240" w:lineRule="auto"/>
      <w:outlineLvl w:val="6"/>
    </w:pPr>
  </w:style>
  <w:style w:type="paragraph" w:styleId="Heading8">
    <w:name w:val="heading 8"/>
    <w:basedOn w:val="Normal"/>
    <w:next w:val="Normal"/>
    <w:qFormat/>
    <w:rsid w:val="00CC24B7"/>
    <w:pPr>
      <w:spacing w:line="240" w:lineRule="auto"/>
      <w:outlineLvl w:val="7"/>
    </w:pPr>
  </w:style>
  <w:style w:type="paragraph" w:styleId="Heading9">
    <w:name w:val="heading 9"/>
    <w:basedOn w:val="Normal"/>
    <w:next w:val="Normal"/>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uiPriority w:val="99"/>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2A21-8CA7-43EB-80FE-02924E42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476</Words>
  <Characters>2717</Characters>
  <Application>Microsoft Office Word</Application>
  <DocSecurity>0</DocSecurity>
  <Lines>22</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Marie-Claude Collet</cp:lastModifiedBy>
  <cp:revision>10</cp:revision>
  <cp:lastPrinted>2017-09-28T12:02:00Z</cp:lastPrinted>
  <dcterms:created xsi:type="dcterms:W3CDTF">2017-09-28T11:38:00Z</dcterms:created>
  <dcterms:modified xsi:type="dcterms:W3CDTF">2017-09-28T14:16:00Z</dcterms:modified>
</cp:coreProperties>
</file>