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C2F5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C2F51" w:rsidP="009C2F51">
            <w:pPr>
              <w:jc w:val="right"/>
            </w:pPr>
            <w:r w:rsidRPr="009C2F51">
              <w:rPr>
                <w:sz w:val="40"/>
              </w:rPr>
              <w:t>ECE</w:t>
            </w:r>
            <w:r>
              <w:t>/TRANS/WP.11/2017/14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C2F5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9C2F51" w:rsidRDefault="009C2F51" w:rsidP="009C2F51">
            <w:pPr>
              <w:spacing w:line="240" w:lineRule="exact"/>
            </w:pPr>
            <w:r>
              <w:t>24 juillet 2017</w:t>
            </w:r>
          </w:p>
          <w:p w:rsidR="009C2F51" w:rsidRDefault="009C2F51" w:rsidP="009C2F51">
            <w:pPr>
              <w:spacing w:line="240" w:lineRule="exact"/>
            </w:pPr>
            <w:r>
              <w:t>Français</w:t>
            </w:r>
          </w:p>
          <w:p w:rsidR="009C2F51" w:rsidRPr="00DB58B5" w:rsidRDefault="009C2F51" w:rsidP="009C2F5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D0007" w:rsidRPr="00E83E90" w:rsidRDefault="006D0007" w:rsidP="006D0007">
      <w:pPr>
        <w:spacing w:before="120" w:line="240" w:lineRule="auto"/>
        <w:rPr>
          <w:b/>
          <w:sz w:val="24"/>
          <w:szCs w:val="24"/>
          <w:lang w:val="fr-FR"/>
        </w:rPr>
      </w:pPr>
      <w:r w:rsidRPr="00E83E90">
        <w:rPr>
          <w:b/>
          <w:sz w:val="24"/>
          <w:szCs w:val="24"/>
          <w:lang w:val="fr-FR"/>
        </w:rPr>
        <w:t>Groupe de travail du transport des denrées périssables</w:t>
      </w:r>
    </w:p>
    <w:p w:rsidR="006D0007" w:rsidRPr="00D74D5B" w:rsidRDefault="006D0007" w:rsidP="006D0007">
      <w:pPr>
        <w:spacing w:before="120" w:line="240" w:lineRule="auto"/>
        <w:rPr>
          <w:b/>
          <w:lang w:val="fr-FR"/>
        </w:rPr>
      </w:pPr>
      <w:r w:rsidRPr="00D74D5B">
        <w:rPr>
          <w:b/>
          <w:lang w:val="fr-FR"/>
        </w:rPr>
        <w:t>Soixante-treizième session</w:t>
      </w:r>
    </w:p>
    <w:p w:rsidR="006D0007" w:rsidRPr="00D74D5B" w:rsidRDefault="006D0007" w:rsidP="006D0007">
      <w:pPr>
        <w:spacing w:line="240" w:lineRule="auto"/>
        <w:rPr>
          <w:lang w:val="fr-FR"/>
        </w:rPr>
      </w:pPr>
      <w:r w:rsidRPr="00D74D5B">
        <w:rPr>
          <w:lang w:val="fr-FR"/>
        </w:rPr>
        <w:t>Genève, 10-13 octobre 2017</w:t>
      </w:r>
    </w:p>
    <w:p w:rsidR="006D0007" w:rsidRPr="00D74D5B" w:rsidRDefault="006D0007" w:rsidP="006D0007">
      <w:pPr>
        <w:spacing w:line="240" w:lineRule="auto"/>
        <w:rPr>
          <w:lang w:val="fr-FR"/>
        </w:rPr>
      </w:pPr>
      <w:r w:rsidRPr="00D74D5B">
        <w:rPr>
          <w:lang w:val="fr-FR"/>
        </w:rPr>
        <w:t>Point 4 e) de l</w:t>
      </w:r>
      <w:r>
        <w:rPr>
          <w:lang w:val="fr-FR"/>
        </w:rPr>
        <w:t>’</w:t>
      </w:r>
      <w:r w:rsidRPr="00D74D5B">
        <w:rPr>
          <w:lang w:val="fr-FR"/>
        </w:rPr>
        <w:t>ordre du jour provisoire</w:t>
      </w:r>
    </w:p>
    <w:p w:rsidR="006D0007" w:rsidRPr="00D74D5B" w:rsidRDefault="006D0007" w:rsidP="006D0007">
      <w:pPr>
        <w:spacing w:line="240" w:lineRule="auto"/>
        <w:rPr>
          <w:b/>
          <w:lang w:val="fr-FR"/>
        </w:rPr>
      </w:pPr>
      <w:r w:rsidRPr="00D74D5B">
        <w:rPr>
          <w:b/>
          <w:lang w:val="fr-FR"/>
        </w:rPr>
        <w:t>État et mise en œuvre de l</w:t>
      </w:r>
      <w:r>
        <w:rPr>
          <w:b/>
          <w:lang w:val="fr-FR"/>
        </w:rPr>
        <w:t>’</w:t>
      </w:r>
      <w:r w:rsidR="00E83E90">
        <w:rPr>
          <w:b/>
          <w:lang w:val="fr-FR"/>
        </w:rPr>
        <w:t>A</w:t>
      </w:r>
      <w:r w:rsidRPr="00D74D5B">
        <w:rPr>
          <w:b/>
          <w:lang w:val="fr-FR"/>
        </w:rPr>
        <w:t xml:space="preserve">ccord relatif aux transports </w:t>
      </w:r>
      <w:r w:rsidR="00E83E90">
        <w:rPr>
          <w:b/>
          <w:lang w:val="fr-FR"/>
        </w:rPr>
        <w:br/>
      </w:r>
      <w:r w:rsidRPr="00D74D5B">
        <w:rPr>
          <w:b/>
          <w:lang w:val="fr-FR"/>
        </w:rPr>
        <w:t xml:space="preserve">internationaux de denrées périssables et aux engins spéciaux </w:t>
      </w:r>
      <w:r w:rsidR="00E83E90">
        <w:rPr>
          <w:b/>
          <w:lang w:val="fr-FR"/>
        </w:rPr>
        <w:br/>
      </w:r>
      <w:r w:rsidRPr="00D74D5B">
        <w:rPr>
          <w:b/>
          <w:lang w:val="fr-FR"/>
        </w:rPr>
        <w:t>à utiliser pour ces transports (ATP)</w:t>
      </w:r>
      <w:r w:rsidR="00E83E90">
        <w:rPr>
          <w:b/>
          <w:lang w:val="fr-FR"/>
        </w:rPr>
        <w:t> </w:t>
      </w:r>
      <w:r w:rsidRPr="00D74D5B">
        <w:rPr>
          <w:b/>
          <w:lang w:val="fr-FR"/>
        </w:rPr>
        <w:t>:</w:t>
      </w:r>
      <w:r w:rsidRPr="00D74D5B">
        <w:rPr>
          <w:b/>
          <w:lang w:val="fr-FR"/>
        </w:rPr>
        <w:br/>
        <w:t>échange de bonnes pratiques pour une meilleure application de l</w:t>
      </w:r>
      <w:r>
        <w:rPr>
          <w:b/>
          <w:lang w:val="fr-FR"/>
        </w:rPr>
        <w:t>’</w:t>
      </w:r>
      <w:r w:rsidRPr="00D74D5B">
        <w:rPr>
          <w:b/>
          <w:lang w:val="fr-FR"/>
        </w:rPr>
        <w:t xml:space="preserve">ATP </w:t>
      </w:r>
    </w:p>
    <w:p w:rsidR="006D0007" w:rsidRPr="00D74D5B" w:rsidRDefault="006D0007" w:rsidP="006D0007">
      <w:pPr>
        <w:pStyle w:val="HChG"/>
        <w:rPr>
          <w:lang w:val="fr-FR"/>
        </w:rPr>
      </w:pPr>
      <w:r w:rsidRPr="00D74D5B">
        <w:rPr>
          <w:lang w:val="fr-FR"/>
        </w:rPr>
        <w:tab/>
      </w:r>
      <w:r w:rsidRPr="00D74D5B">
        <w:rPr>
          <w:lang w:val="fr-FR"/>
        </w:rPr>
        <w:tab/>
        <w:t xml:space="preserve">Changement de moteur dans un objectif de conformité </w:t>
      </w:r>
      <w:r>
        <w:rPr>
          <w:lang w:val="fr-FR"/>
        </w:rPr>
        <w:br/>
      </w:r>
      <w:r w:rsidRPr="00D74D5B">
        <w:rPr>
          <w:lang w:val="fr-FR"/>
        </w:rPr>
        <w:t>aux nouvelles normes d</w:t>
      </w:r>
      <w:r>
        <w:rPr>
          <w:lang w:val="fr-FR"/>
        </w:rPr>
        <w:t>’</w:t>
      </w:r>
      <w:r w:rsidRPr="00D74D5B">
        <w:rPr>
          <w:lang w:val="fr-FR"/>
        </w:rPr>
        <w:t xml:space="preserve">émission des engins mobiles </w:t>
      </w:r>
      <w:r>
        <w:rPr>
          <w:lang w:val="fr-FR"/>
        </w:rPr>
        <w:br/>
      </w:r>
      <w:r w:rsidRPr="00D74D5B">
        <w:rPr>
          <w:lang w:val="fr-FR"/>
        </w:rPr>
        <w:t>non routiers</w:t>
      </w:r>
    </w:p>
    <w:p w:rsidR="006D0007" w:rsidRPr="00D74D5B" w:rsidRDefault="006D0007" w:rsidP="006D0007">
      <w:pPr>
        <w:pStyle w:val="H1G"/>
        <w:rPr>
          <w:lang w:val="fr-FR"/>
        </w:rPr>
      </w:pPr>
      <w:r w:rsidRPr="00D74D5B">
        <w:rPr>
          <w:lang w:val="fr-FR"/>
        </w:rPr>
        <w:tab/>
      </w:r>
      <w:r w:rsidRPr="00D74D5B">
        <w:rPr>
          <w:lang w:val="fr-FR"/>
        </w:rPr>
        <w:tab/>
        <w:t xml:space="preserve">Communication de </w:t>
      </w:r>
      <w:proofErr w:type="spellStart"/>
      <w:r w:rsidRPr="00D74D5B">
        <w:rPr>
          <w:lang w:val="fr-FR"/>
        </w:rPr>
        <w:t>Transfrigoroute</w:t>
      </w:r>
      <w:proofErr w:type="spellEnd"/>
      <w:r w:rsidRPr="00D74D5B">
        <w:rPr>
          <w:lang w:val="fr-FR"/>
        </w:rPr>
        <w:t xml:space="preserve"> International (TI)</w:t>
      </w:r>
    </w:p>
    <w:p w:rsidR="006D0007" w:rsidRPr="00D74D5B" w:rsidRDefault="006D0007" w:rsidP="006D0007">
      <w:pPr>
        <w:pStyle w:val="HChG"/>
        <w:rPr>
          <w:lang w:val="fr-FR"/>
        </w:rPr>
      </w:pPr>
      <w:r w:rsidRPr="00D74D5B">
        <w:rPr>
          <w:lang w:val="fr-FR"/>
        </w:rPr>
        <w:tab/>
        <w:t>I.</w:t>
      </w:r>
      <w:r w:rsidRPr="00D74D5B">
        <w:rPr>
          <w:lang w:val="fr-FR"/>
        </w:rPr>
        <w:tab/>
        <w:t>Contexte</w:t>
      </w:r>
    </w:p>
    <w:p w:rsidR="006D0007" w:rsidRPr="00D74D5B" w:rsidRDefault="006D0007" w:rsidP="006D0007">
      <w:pPr>
        <w:pStyle w:val="SingleTxtG"/>
        <w:rPr>
          <w:lang w:val="fr-FR"/>
        </w:rPr>
      </w:pPr>
      <w:r w:rsidRPr="00D74D5B">
        <w:rPr>
          <w:lang w:val="fr-FR"/>
        </w:rPr>
        <w:t>1.</w:t>
      </w:r>
      <w:r w:rsidRPr="00D74D5B">
        <w:rPr>
          <w:lang w:val="fr-FR"/>
        </w:rPr>
        <w:tab/>
        <w:t xml:space="preserve">Introduction de nouveaux moteurs moins polluants pour entraîner les machines réfrigérées mécaniquement dans un objectif de conformité au règlement </w:t>
      </w:r>
      <w:r>
        <w:rPr>
          <w:lang w:val="fr-FR"/>
        </w:rPr>
        <w:t xml:space="preserve">(UE) </w:t>
      </w:r>
      <w:r w:rsidRPr="006D0007">
        <w:rPr>
          <w:rFonts w:eastAsia="MS Mincho"/>
          <w:lang w:val="fr-FR"/>
        </w:rPr>
        <w:t>n</w:t>
      </w:r>
      <w:r w:rsidRPr="006D0007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lang w:val="fr-FR"/>
        </w:rPr>
        <w:t> </w:t>
      </w:r>
      <w:r w:rsidRPr="00D74D5B">
        <w:rPr>
          <w:lang w:val="fr-FR"/>
        </w:rPr>
        <w:t>2016/1628 sur les engins mobiles non routiers et aux réglementations de l</w:t>
      </w:r>
      <w:r>
        <w:rPr>
          <w:lang w:val="fr-FR"/>
        </w:rPr>
        <w:t>’</w:t>
      </w:r>
      <w:r w:rsidRPr="00D74D5B">
        <w:rPr>
          <w:lang w:val="fr-FR"/>
        </w:rPr>
        <w:t>Agence américaine de protection de l</w:t>
      </w:r>
      <w:r>
        <w:rPr>
          <w:lang w:val="fr-FR"/>
        </w:rPr>
        <w:t>’</w:t>
      </w:r>
      <w:r w:rsidRPr="00D74D5B">
        <w:rPr>
          <w:lang w:val="fr-FR"/>
        </w:rPr>
        <w:t>environnement (EPA) actuellement en vigueur.</w:t>
      </w:r>
    </w:p>
    <w:p w:rsidR="006D0007" w:rsidRPr="00D74D5B" w:rsidRDefault="006D0007" w:rsidP="006D0007">
      <w:pPr>
        <w:pStyle w:val="SingleTxtG"/>
        <w:rPr>
          <w:lang w:val="fr-FR"/>
        </w:rPr>
      </w:pPr>
      <w:r w:rsidRPr="00D74D5B">
        <w:rPr>
          <w:lang w:val="fr-FR"/>
        </w:rPr>
        <w:t>2.</w:t>
      </w:r>
      <w:r w:rsidRPr="00D74D5B">
        <w:rPr>
          <w:lang w:val="fr-FR"/>
        </w:rPr>
        <w:tab/>
        <w:t>Dans le cas où une nouvelle gamme de moteurs est utilisée pour la production en série de machines réfrigérées mécaniquement, lorsqu</w:t>
      </w:r>
      <w:r>
        <w:rPr>
          <w:lang w:val="fr-FR"/>
        </w:rPr>
        <w:t>’</w:t>
      </w:r>
      <w:r w:rsidRPr="00D74D5B">
        <w:rPr>
          <w:lang w:val="fr-FR"/>
        </w:rPr>
        <w:t>aucun changement n</w:t>
      </w:r>
      <w:r>
        <w:rPr>
          <w:lang w:val="fr-FR"/>
        </w:rPr>
        <w:t>’</w:t>
      </w:r>
      <w:r w:rsidRPr="00D74D5B">
        <w:rPr>
          <w:lang w:val="fr-FR"/>
        </w:rPr>
        <w:t>est apporté aux principaux composants du circuit de réfrigération et que la vitesse du moteur ou du compresseur demeure identique à celle du type original, le certificat d</w:t>
      </w:r>
      <w:r>
        <w:rPr>
          <w:lang w:val="fr-FR"/>
        </w:rPr>
        <w:t>’</w:t>
      </w:r>
      <w:r w:rsidRPr="00D74D5B">
        <w:rPr>
          <w:lang w:val="fr-FR"/>
        </w:rPr>
        <w:t>agrément de la machine reste valide et l</w:t>
      </w:r>
      <w:r>
        <w:rPr>
          <w:lang w:val="fr-FR"/>
        </w:rPr>
        <w:t>’</w:t>
      </w:r>
      <w:r w:rsidRPr="00D74D5B">
        <w:rPr>
          <w:lang w:val="fr-FR"/>
        </w:rPr>
        <w:t xml:space="preserve">on y ajoute un additif précisant la classification du nouveau type de moteur. Il en va de même pour un équipement de service en cas de casse du moteur </w:t>
      </w:r>
      <w:proofErr w:type="gramStart"/>
      <w:r w:rsidRPr="00D74D5B">
        <w:rPr>
          <w:lang w:val="fr-FR"/>
        </w:rPr>
        <w:t>nécessitant</w:t>
      </w:r>
      <w:proofErr w:type="gramEnd"/>
      <w:r w:rsidRPr="00D74D5B">
        <w:rPr>
          <w:lang w:val="fr-FR"/>
        </w:rPr>
        <w:t xml:space="preserve"> son remplacement par un moteur de nouvelle génération tournant à la même vitesse. Aucun essai d</w:t>
      </w:r>
      <w:r>
        <w:rPr>
          <w:lang w:val="fr-FR"/>
        </w:rPr>
        <w:t>’</w:t>
      </w:r>
      <w:r w:rsidRPr="00D74D5B">
        <w:rPr>
          <w:lang w:val="fr-FR"/>
        </w:rPr>
        <w:t>homologation n</w:t>
      </w:r>
      <w:r>
        <w:rPr>
          <w:lang w:val="fr-FR"/>
        </w:rPr>
        <w:t>’</w:t>
      </w:r>
      <w:r w:rsidRPr="00D74D5B">
        <w:rPr>
          <w:lang w:val="fr-FR"/>
        </w:rPr>
        <w:t xml:space="preserve">est requis dans ces deux cas. </w:t>
      </w:r>
    </w:p>
    <w:p w:rsidR="006D0007" w:rsidRPr="00D74D5B" w:rsidRDefault="006D0007" w:rsidP="006D0007">
      <w:pPr>
        <w:pStyle w:val="HChG"/>
        <w:rPr>
          <w:lang w:val="fr-FR"/>
        </w:rPr>
      </w:pPr>
      <w:r w:rsidRPr="00D74D5B">
        <w:rPr>
          <w:lang w:val="fr-FR"/>
        </w:rPr>
        <w:tab/>
        <w:t>II.</w:t>
      </w:r>
      <w:r w:rsidRPr="00D74D5B">
        <w:rPr>
          <w:lang w:val="fr-FR"/>
        </w:rPr>
        <w:tab/>
        <w:t>Situation actuelle</w:t>
      </w:r>
    </w:p>
    <w:p w:rsidR="006D0007" w:rsidRPr="00D74D5B" w:rsidRDefault="006D0007" w:rsidP="006D0007">
      <w:pPr>
        <w:pStyle w:val="SingleTxtG"/>
        <w:rPr>
          <w:lang w:val="fr-FR"/>
        </w:rPr>
      </w:pPr>
      <w:r w:rsidRPr="00D74D5B">
        <w:rPr>
          <w:lang w:val="fr-FR"/>
        </w:rPr>
        <w:t>3.</w:t>
      </w:r>
      <w:r w:rsidRPr="00D74D5B">
        <w:rPr>
          <w:lang w:val="fr-FR"/>
        </w:rPr>
        <w:tab/>
        <w:t xml:space="preserve">Utilisation de moteurs </w:t>
      </w:r>
      <w:r>
        <w:rPr>
          <w:lang w:val="fr-FR"/>
        </w:rPr>
        <w:t>conformes à la phase</w:t>
      </w:r>
      <w:r w:rsidRPr="00D74D5B">
        <w:rPr>
          <w:lang w:val="fr-FR"/>
        </w:rPr>
        <w:t xml:space="preserve"> V pour améliorer la qualité de l</w:t>
      </w:r>
      <w:r>
        <w:rPr>
          <w:lang w:val="fr-FR"/>
        </w:rPr>
        <w:t>’</w:t>
      </w:r>
      <w:r w:rsidRPr="00D74D5B">
        <w:rPr>
          <w:lang w:val="fr-FR"/>
        </w:rPr>
        <w:t>air.</w:t>
      </w:r>
    </w:p>
    <w:p w:rsidR="006D0007" w:rsidRPr="00D74D5B" w:rsidRDefault="006D0007" w:rsidP="006D0007">
      <w:pPr>
        <w:pStyle w:val="HChG"/>
        <w:rPr>
          <w:lang w:val="fr-FR"/>
        </w:rPr>
      </w:pPr>
      <w:r w:rsidRPr="00D74D5B">
        <w:rPr>
          <w:lang w:val="fr-FR"/>
        </w:rPr>
        <w:lastRenderedPageBreak/>
        <w:tab/>
        <w:t>III.</w:t>
      </w:r>
      <w:r w:rsidRPr="00D74D5B">
        <w:rPr>
          <w:lang w:val="fr-FR"/>
        </w:rPr>
        <w:tab/>
        <w:t>Impact technique de la mesure proposée</w:t>
      </w:r>
    </w:p>
    <w:p w:rsidR="006D0007" w:rsidRPr="00D74D5B" w:rsidRDefault="006D0007" w:rsidP="006D0007">
      <w:pPr>
        <w:pStyle w:val="SingleTxtG"/>
        <w:keepNext/>
        <w:rPr>
          <w:lang w:val="fr-FR"/>
        </w:rPr>
      </w:pPr>
      <w:r w:rsidRPr="00D74D5B">
        <w:rPr>
          <w:lang w:val="fr-FR"/>
        </w:rPr>
        <w:t>4.</w:t>
      </w:r>
      <w:r w:rsidRPr="00D74D5B">
        <w:rPr>
          <w:lang w:val="fr-FR"/>
        </w:rPr>
        <w:tab/>
        <w:t>Amélioration de la qualité de l</w:t>
      </w:r>
      <w:r>
        <w:rPr>
          <w:lang w:val="fr-FR"/>
        </w:rPr>
        <w:t>’</w:t>
      </w:r>
      <w:r w:rsidRPr="00D74D5B">
        <w:rPr>
          <w:lang w:val="fr-FR"/>
        </w:rPr>
        <w:t>air et meilleure conformité des engins de transport sous température dirigée aux normes d</w:t>
      </w:r>
      <w:r>
        <w:rPr>
          <w:lang w:val="fr-FR"/>
        </w:rPr>
        <w:t>’</w:t>
      </w:r>
      <w:r w:rsidRPr="00D74D5B">
        <w:rPr>
          <w:lang w:val="fr-FR"/>
        </w:rPr>
        <w:t>émission des moteurs.</w:t>
      </w:r>
    </w:p>
    <w:p w:rsidR="006D0007" w:rsidRPr="00D74D5B" w:rsidRDefault="006D0007" w:rsidP="006D0007">
      <w:pPr>
        <w:pStyle w:val="HChG"/>
        <w:rPr>
          <w:lang w:val="fr-FR"/>
        </w:rPr>
      </w:pPr>
      <w:r w:rsidRPr="00D74D5B">
        <w:rPr>
          <w:lang w:val="fr-FR"/>
        </w:rPr>
        <w:tab/>
        <w:t>IV.</w:t>
      </w:r>
      <w:r w:rsidRPr="00D74D5B">
        <w:rPr>
          <w:lang w:val="fr-FR"/>
        </w:rPr>
        <w:tab/>
        <w:t>Impact économique de la mesure proposée</w:t>
      </w:r>
    </w:p>
    <w:p w:rsidR="006D0007" w:rsidRPr="00D74D5B" w:rsidRDefault="006D0007" w:rsidP="006D0007">
      <w:pPr>
        <w:pStyle w:val="SingleTxtG"/>
        <w:rPr>
          <w:lang w:val="fr-FR"/>
        </w:rPr>
      </w:pPr>
      <w:r w:rsidRPr="00D74D5B">
        <w:rPr>
          <w:lang w:val="fr-FR"/>
        </w:rPr>
        <w:t>5.</w:t>
      </w:r>
      <w:r w:rsidRPr="00D74D5B">
        <w:rPr>
          <w:lang w:val="fr-FR"/>
        </w:rPr>
        <w:tab/>
        <w:t>Possibilité d</w:t>
      </w:r>
      <w:r>
        <w:rPr>
          <w:lang w:val="fr-FR"/>
        </w:rPr>
        <w:t>’</w:t>
      </w:r>
      <w:r w:rsidRPr="00D74D5B">
        <w:rPr>
          <w:lang w:val="fr-FR"/>
        </w:rPr>
        <w:t>éviter les doubles essais d</w:t>
      </w:r>
      <w:r>
        <w:rPr>
          <w:lang w:val="fr-FR"/>
        </w:rPr>
        <w:t>’</w:t>
      </w:r>
      <w:r w:rsidRPr="00D74D5B">
        <w:rPr>
          <w:lang w:val="fr-FR"/>
        </w:rPr>
        <w:t>homologation de type.</w:t>
      </w:r>
    </w:p>
    <w:p w:rsidR="006D0007" w:rsidRPr="00D74D5B" w:rsidRDefault="006D0007" w:rsidP="006D0007">
      <w:pPr>
        <w:pStyle w:val="HChG"/>
        <w:rPr>
          <w:lang w:val="fr-FR"/>
        </w:rPr>
      </w:pPr>
      <w:r w:rsidRPr="00D74D5B">
        <w:rPr>
          <w:lang w:val="fr-FR"/>
        </w:rPr>
        <w:tab/>
        <w:t>V.</w:t>
      </w:r>
      <w:r w:rsidRPr="00D74D5B">
        <w:rPr>
          <w:lang w:val="fr-FR"/>
        </w:rPr>
        <w:tab/>
        <w:t>Impact environnemental de la mesure proposée</w:t>
      </w:r>
    </w:p>
    <w:p w:rsidR="006D0007" w:rsidRPr="00D74D5B" w:rsidRDefault="006D0007" w:rsidP="006D0007">
      <w:pPr>
        <w:pStyle w:val="SingleTxtG"/>
        <w:rPr>
          <w:lang w:val="fr-FR"/>
        </w:rPr>
      </w:pPr>
      <w:r w:rsidRPr="00D74D5B">
        <w:rPr>
          <w:lang w:val="fr-FR"/>
        </w:rPr>
        <w:t>6.</w:t>
      </w:r>
      <w:r w:rsidRPr="00D74D5B">
        <w:rPr>
          <w:lang w:val="fr-FR"/>
        </w:rPr>
        <w:tab/>
        <w:t>Amélioration de la qualité de l</w:t>
      </w:r>
      <w:r>
        <w:rPr>
          <w:lang w:val="fr-FR"/>
        </w:rPr>
        <w:t>’</w:t>
      </w:r>
      <w:r w:rsidRPr="00D74D5B">
        <w:rPr>
          <w:lang w:val="fr-FR"/>
        </w:rPr>
        <w:t>air grâce à une baisse des émissions.</w:t>
      </w:r>
    </w:p>
    <w:p w:rsidR="006D0007" w:rsidRPr="00D74D5B" w:rsidRDefault="006D0007" w:rsidP="006D0007">
      <w:pPr>
        <w:pStyle w:val="HChG"/>
        <w:rPr>
          <w:lang w:val="fr-FR"/>
        </w:rPr>
      </w:pPr>
      <w:r w:rsidRPr="00D74D5B">
        <w:rPr>
          <w:lang w:val="fr-FR"/>
        </w:rPr>
        <w:tab/>
        <w:t>VI.</w:t>
      </w:r>
      <w:r w:rsidRPr="00D74D5B">
        <w:rPr>
          <w:lang w:val="fr-FR"/>
        </w:rPr>
        <w:tab/>
        <w:t>Conclusion</w:t>
      </w:r>
    </w:p>
    <w:p w:rsidR="00F9573C" w:rsidRDefault="006D0007" w:rsidP="006D0007">
      <w:pPr>
        <w:pStyle w:val="SingleTxtG"/>
        <w:rPr>
          <w:lang w:val="fr-FR"/>
        </w:rPr>
      </w:pPr>
      <w:r w:rsidRPr="00D74D5B">
        <w:rPr>
          <w:lang w:val="fr-FR"/>
        </w:rPr>
        <w:t>7.</w:t>
      </w:r>
      <w:r w:rsidRPr="00D74D5B">
        <w:rPr>
          <w:lang w:val="fr-FR"/>
        </w:rPr>
        <w:tab/>
        <w:t>L</w:t>
      </w:r>
      <w:r>
        <w:rPr>
          <w:lang w:val="fr-FR"/>
        </w:rPr>
        <w:t>’</w:t>
      </w:r>
      <w:r w:rsidRPr="00D74D5B">
        <w:rPr>
          <w:lang w:val="fr-FR"/>
        </w:rPr>
        <w:t>ATP respecte la législation environnementale de l</w:t>
      </w:r>
      <w:r>
        <w:rPr>
          <w:lang w:val="fr-FR"/>
        </w:rPr>
        <w:t>’</w:t>
      </w:r>
      <w:r w:rsidRPr="00D74D5B">
        <w:rPr>
          <w:lang w:val="fr-FR"/>
        </w:rPr>
        <w:t>Union européenne et des États</w:t>
      </w:r>
      <w:r w:rsidR="00E83E90">
        <w:rPr>
          <w:lang w:val="fr-FR"/>
        </w:rPr>
        <w:noBreakHyphen/>
      </w:r>
      <w:r w:rsidRPr="00D74D5B">
        <w:rPr>
          <w:lang w:val="fr-FR"/>
        </w:rPr>
        <w:t>Unis d</w:t>
      </w:r>
      <w:r>
        <w:rPr>
          <w:lang w:val="fr-FR"/>
        </w:rPr>
        <w:t>’</w:t>
      </w:r>
      <w:r w:rsidRPr="00D74D5B">
        <w:rPr>
          <w:lang w:val="fr-FR"/>
        </w:rPr>
        <w:t>Amérique sans porter préjudice à la performance frigorifique de l</w:t>
      </w:r>
      <w:r>
        <w:rPr>
          <w:lang w:val="fr-FR"/>
        </w:rPr>
        <w:t>’</w:t>
      </w:r>
      <w:r w:rsidRPr="00D74D5B">
        <w:rPr>
          <w:lang w:val="fr-FR"/>
        </w:rPr>
        <w:t>engin considéré.</w:t>
      </w:r>
    </w:p>
    <w:p w:rsidR="006D0007" w:rsidRPr="006D0007" w:rsidRDefault="006D0007" w:rsidP="006D00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0007" w:rsidRPr="006D0007" w:rsidSect="009C2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88" w:rsidRDefault="004B4B88" w:rsidP="00F95C08">
      <w:pPr>
        <w:spacing w:line="240" w:lineRule="auto"/>
      </w:pPr>
    </w:p>
  </w:endnote>
  <w:endnote w:type="continuationSeparator" w:id="0">
    <w:p w:rsidR="004B4B88" w:rsidRPr="00AC3823" w:rsidRDefault="004B4B88" w:rsidP="00AC3823">
      <w:pPr>
        <w:pStyle w:val="Footer"/>
      </w:pPr>
    </w:p>
  </w:endnote>
  <w:endnote w:type="continuationNotice" w:id="1">
    <w:p w:rsidR="004B4B88" w:rsidRDefault="004B4B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51" w:rsidRPr="009C2F51" w:rsidRDefault="009C2F51" w:rsidP="009C2F51">
    <w:pPr>
      <w:pStyle w:val="Footer"/>
      <w:tabs>
        <w:tab w:val="right" w:pos="9638"/>
      </w:tabs>
    </w:pPr>
    <w:r w:rsidRPr="009C2F51">
      <w:rPr>
        <w:b/>
        <w:sz w:val="18"/>
      </w:rPr>
      <w:fldChar w:fldCharType="begin"/>
    </w:r>
    <w:r w:rsidRPr="009C2F51">
      <w:rPr>
        <w:b/>
        <w:sz w:val="18"/>
      </w:rPr>
      <w:instrText xml:space="preserve"> PAGE  \* MERGEFORMAT </w:instrText>
    </w:r>
    <w:r w:rsidRPr="009C2F51">
      <w:rPr>
        <w:b/>
        <w:sz w:val="18"/>
      </w:rPr>
      <w:fldChar w:fldCharType="separate"/>
    </w:r>
    <w:r w:rsidR="006766AD">
      <w:rPr>
        <w:b/>
        <w:noProof/>
        <w:sz w:val="18"/>
      </w:rPr>
      <w:t>2</w:t>
    </w:r>
    <w:r w:rsidRPr="009C2F51">
      <w:rPr>
        <w:b/>
        <w:sz w:val="18"/>
      </w:rPr>
      <w:fldChar w:fldCharType="end"/>
    </w:r>
    <w:r>
      <w:rPr>
        <w:b/>
        <w:sz w:val="18"/>
      </w:rPr>
      <w:tab/>
    </w:r>
    <w:r>
      <w:t>GE.17-12434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51" w:rsidRPr="009C2F51" w:rsidRDefault="009C2F51" w:rsidP="009C2F51">
    <w:pPr>
      <w:pStyle w:val="Footer"/>
      <w:tabs>
        <w:tab w:val="right" w:pos="9638"/>
      </w:tabs>
      <w:rPr>
        <w:b/>
        <w:sz w:val="18"/>
      </w:rPr>
    </w:pPr>
    <w:r>
      <w:t>GE.17-12434</w:t>
    </w:r>
    <w:r>
      <w:tab/>
    </w:r>
    <w:r w:rsidRPr="009C2F51">
      <w:rPr>
        <w:b/>
        <w:sz w:val="18"/>
      </w:rPr>
      <w:fldChar w:fldCharType="begin"/>
    </w:r>
    <w:r w:rsidRPr="009C2F51">
      <w:rPr>
        <w:b/>
        <w:sz w:val="18"/>
      </w:rPr>
      <w:instrText xml:space="preserve"> PAGE  \* MERGEFORMAT </w:instrText>
    </w:r>
    <w:r w:rsidRPr="009C2F51">
      <w:rPr>
        <w:b/>
        <w:sz w:val="18"/>
      </w:rPr>
      <w:fldChar w:fldCharType="separate"/>
    </w:r>
    <w:r w:rsidR="00E83E90">
      <w:rPr>
        <w:b/>
        <w:noProof/>
        <w:sz w:val="18"/>
      </w:rPr>
      <w:t>2</w:t>
    </w:r>
    <w:r w:rsidRPr="009C2F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9C2F51" w:rsidRDefault="009C2F51" w:rsidP="009C2F5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17-12434  (F)    230817    250817</w:t>
    </w:r>
    <w:r>
      <w:rPr>
        <w:sz w:val="20"/>
      </w:rPr>
      <w:br/>
    </w:r>
    <w:r w:rsidRPr="009C2F51">
      <w:rPr>
        <w:rFonts w:ascii="C39T30Lfz" w:hAnsi="C39T30Lfz"/>
        <w:sz w:val="56"/>
      </w:rPr>
      <w:t></w:t>
    </w:r>
    <w:r w:rsidRPr="009C2F51">
      <w:rPr>
        <w:rFonts w:ascii="C39T30Lfz" w:hAnsi="C39T30Lfz"/>
        <w:sz w:val="56"/>
      </w:rPr>
      <w:t></w:t>
    </w:r>
    <w:r w:rsidRPr="009C2F51">
      <w:rPr>
        <w:rFonts w:ascii="C39T30Lfz" w:hAnsi="C39T30Lfz"/>
        <w:sz w:val="56"/>
      </w:rPr>
      <w:t></w:t>
    </w:r>
    <w:r w:rsidRPr="009C2F51">
      <w:rPr>
        <w:rFonts w:ascii="C39T30Lfz" w:hAnsi="C39T30Lfz"/>
        <w:sz w:val="56"/>
      </w:rPr>
      <w:t></w:t>
    </w:r>
    <w:r w:rsidRPr="009C2F51">
      <w:rPr>
        <w:rFonts w:ascii="C39T30Lfz" w:hAnsi="C39T30Lfz"/>
        <w:sz w:val="56"/>
      </w:rPr>
      <w:t></w:t>
    </w:r>
    <w:r w:rsidRPr="009C2F51">
      <w:rPr>
        <w:rFonts w:ascii="C39T30Lfz" w:hAnsi="C39T30Lfz"/>
        <w:sz w:val="56"/>
      </w:rPr>
      <w:t></w:t>
    </w:r>
    <w:r w:rsidRPr="009C2F51">
      <w:rPr>
        <w:rFonts w:ascii="C39T30Lfz" w:hAnsi="C39T30Lfz"/>
        <w:sz w:val="56"/>
      </w:rPr>
      <w:t></w:t>
    </w:r>
    <w:r w:rsidRPr="009C2F51">
      <w:rPr>
        <w:rFonts w:ascii="C39T30Lfz" w:hAnsi="C39T30Lfz"/>
        <w:sz w:val="56"/>
      </w:rPr>
      <w:t></w:t>
    </w:r>
    <w:r w:rsidRPr="009C2F5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88" w:rsidRPr="00AC3823" w:rsidRDefault="004B4B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4B88" w:rsidRPr="00AC3823" w:rsidRDefault="004B4B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4B88" w:rsidRPr="00AC3823" w:rsidRDefault="004B4B8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51" w:rsidRPr="009C2F51" w:rsidRDefault="003129C4">
    <w:pPr>
      <w:pStyle w:val="Header"/>
    </w:pPr>
    <w:fldSimple w:instr=" TITLE  \* MERGEFORMAT ">
      <w:r w:rsidR="006766AD">
        <w:t>ECE/TRANS/WP.11/2017/14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51" w:rsidRPr="009C2F51" w:rsidRDefault="003129C4" w:rsidP="009C2F51">
    <w:pPr>
      <w:pStyle w:val="Header"/>
      <w:jc w:val="right"/>
    </w:pPr>
    <w:fldSimple w:instr=" TITLE  \* MERGEFORMAT ">
      <w:r w:rsidR="006766AD">
        <w:t>ECE/TRANS/WP.11/2017/14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51" w:rsidRDefault="009C2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8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29C4"/>
    <w:rsid w:val="003916DE"/>
    <w:rsid w:val="00441C3B"/>
    <w:rsid w:val="00446FE5"/>
    <w:rsid w:val="00452396"/>
    <w:rsid w:val="004676BC"/>
    <w:rsid w:val="004837D8"/>
    <w:rsid w:val="004B4B88"/>
    <w:rsid w:val="004E468C"/>
    <w:rsid w:val="005505B7"/>
    <w:rsid w:val="00573BE5"/>
    <w:rsid w:val="00586ED3"/>
    <w:rsid w:val="00596AA9"/>
    <w:rsid w:val="006766AD"/>
    <w:rsid w:val="006D0007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C2F51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B2342"/>
    <w:rsid w:val="00D3439C"/>
    <w:rsid w:val="00D936A1"/>
    <w:rsid w:val="00DB1831"/>
    <w:rsid w:val="00DD3BFD"/>
    <w:rsid w:val="00DF6678"/>
    <w:rsid w:val="00E0299A"/>
    <w:rsid w:val="00E83E90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9A7654-30BC-462B-97CF-3118AB62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ECE/TRANS/WP.11/2017/14</vt:lpstr>
      <vt:lpstr>ECE/TRANS/WP.11/2017/14</vt:lpstr>
    </vt:vector>
  </TitlesOfParts>
  <Company>DCM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ECE/TRANS/WP.11/2017/14</dc:title>
  <dc:subject/>
  <dc:creator>Nathalie VITTOZ</dc:creator>
  <cp:keywords/>
  <cp:lastModifiedBy>Marie-Claude Collet</cp:lastModifiedBy>
  <cp:revision>3</cp:revision>
  <cp:lastPrinted>2017-08-28T11:12:00Z</cp:lastPrinted>
  <dcterms:created xsi:type="dcterms:W3CDTF">2017-08-28T11:12:00Z</dcterms:created>
  <dcterms:modified xsi:type="dcterms:W3CDTF">2017-08-28T11:13:00Z</dcterms:modified>
</cp:coreProperties>
</file>