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950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950B7" w:rsidP="005950B7">
            <w:pPr>
              <w:jc w:val="right"/>
            </w:pPr>
            <w:r w:rsidRPr="005950B7">
              <w:rPr>
                <w:sz w:val="40"/>
              </w:rPr>
              <w:t>ECE</w:t>
            </w:r>
            <w:r>
              <w:t>/TRANS/WP.11/2017/6</w:t>
            </w:r>
          </w:p>
        </w:tc>
      </w:tr>
      <w:tr w:rsidR="002D5AAC" w:rsidRPr="00005C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950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950B7" w:rsidRDefault="005950B7" w:rsidP="005950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81200">
              <w:rPr>
                <w:lang w:val="en-US"/>
              </w:rPr>
              <w:t>4</w:t>
            </w:r>
            <w:r>
              <w:rPr>
                <w:lang w:val="en-US"/>
              </w:rPr>
              <w:t xml:space="preserve"> July 2017</w:t>
            </w:r>
          </w:p>
          <w:p w:rsidR="005950B7" w:rsidRDefault="005950B7" w:rsidP="005950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950B7" w:rsidRPr="008D53B6" w:rsidRDefault="005950B7" w:rsidP="005950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04F51" w:rsidRPr="00A137E2" w:rsidRDefault="00B04F51" w:rsidP="00A137E2">
      <w:pPr>
        <w:spacing w:before="120"/>
        <w:rPr>
          <w:sz w:val="28"/>
          <w:szCs w:val="28"/>
        </w:rPr>
      </w:pPr>
      <w:r w:rsidRPr="00A137E2">
        <w:rPr>
          <w:sz w:val="28"/>
          <w:szCs w:val="28"/>
        </w:rPr>
        <w:t>Комитет по внутреннему транспорту</w:t>
      </w:r>
    </w:p>
    <w:p w:rsidR="00B04F51" w:rsidRPr="00A137E2" w:rsidRDefault="00B04F51" w:rsidP="00A137E2">
      <w:pPr>
        <w:spacing w:before="120"/>
        <w:rPr>
          <w:b/>
          <w:sz w:val="24"/>
          <w:szCs w:val="24"/>
        </w:rPr>
      </w:pPr>
      <w:r w:rsidRPr="00A137E2">
        <w:rPr>
          <w:b/>
          <w:sz w:val="24"/>
          <w:szCs w:val="24"/>
        </w:rPr>
        <w:t xml:space="preserve">Рабочая группа по перевозкам скоропортящихся </w:t>
      </w:r>
      <w:r w:rsidR="00A137E2" w:rsidRPr="00A137E2">
        <w:rPr>
          <w:b/>
          <w:sz w:val="24"/>
          <w:szCs w:val="24"/>
        </w:rPr>
        <w:br/>
      </w:r>
      <w:r w:rsidRPr="00A137E2">
        <w:rPr>
          <w:b/>
          <w:sz w:val="24"/>
          <w:szCs w:val="24"/>
        </w:rPr>
        <w:t>пищевых продуктов</w:t>
      </w:r>
    </w:p>
    <w:p w:rsidR="00B04F51" w:rsidRPr="00A137E2" w:rsidRDefault="00B04F51" w:rsidP="00A137E2">
      <w:pPr>
        <w:spacing w:before="120"/>
        <w:rPr>
          <w:b/>
        </w:rPr>
      </w:pPr>
      <w:r w:rsidRPr="00A137E2">
        <w:rPr>
          <w:b/>
        </w:rPr>
        <w:t>Семьдесят третья сессия</w:t>
      </w:r>
    </w:p>
    <w:p w:rsidR="00B04F51" w:rsidRPr="00B04F51" w:rsidRDefault="00B04F51" w:rsidP="00B04F51">
      <w:r w:rsidRPr="00B04F51">
        <w:t>Женева, 10–13 октября 2017 года</w:t>
      </w:r>
    </w:p>
    <w:p w:rsidR="00B04F51" w:rsidRPr="00B04F51" w:rsidRDefault="00B04F51" w:rsidP="00B04F51">
      <w:r w:rsidRPr="00B04F51">
        <w:t>Пункт 5 а) предварительной повестки дня</w:t>
      </w:r>
    </w:p>
    <w:p w:rsidR="00B04F51" w:rsidRPr="00A137E2" w:rsidRDefault="00B04F51" w:rsidP="00B04F51">
      <w:pPr>
        <w:rPr>
          <w:b/>
        </w:rPr>
      </w:pPr>
      <w:r w:rsidRPr="00A137E2">
        <w:rPr>
          <w:b/>
        </w:rPr>
        <w:t xml:space="preserve">Предложения по поправкам к СПС: предложения, </w:t>
      </w:r>
      <w:r w:rsidR="00A137E2" w:rsidRPr="00A137E2">
        <w:rPr>
          <w:b/>
        </w:rPr>
        <w:br/>
      </w:r>
      <w:r w:rsidRPr="00A137E2">
        <w:rPr>
          <w:b/>
        </w:rPr>
        <w:t>по которым еще не приняты решения</w:t>
      </w:r>
    </w:p>
    <w:p w:rsidR="00B04F51" w:rsidRPr="00B04F51" w:rsidRDefault="00B04F51" w:rsidP="00FF63E4">
      <w:pPr>
        <w:pStyle w:val="HChGR"/>
        <w:spacing w:before="240"/>
      </w:pPr>
      <w:r w:rsidRPr="00B04F51">
        <w:tab/>
      </w:r>
      <w:r w:rsidR="00A137E2" w:rsidRPr="00265262">
        <w:tab/>
      </w:r>
      <w:r w:rsidRPr="00B04F51">
        <w:t>Предложение о внесении поправок в добавления 2 и 4 к приложению 1: транспортные средства с</w:t>
      </w:r>
      <w:r w:rsidR="008556D6">
        <w:t> 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– выдача свидетельства и опознавательное обозначение</w:t>
      </w:r>
    </w:p>
    <w:p w:rsidR="00B04F51" w:rsidRPr="00265262" w:rsidRDefault="00B04F51" w:rsidP="00FF63E4">
      <w:pPr>
        <w:pStyle w:val="H1GR"/>
        <w:spacing w:before="240"/>
      </w:pPr>
      <w:r w:rsidRPr="00B04F51">
        <w:tab/>
      </w:r>
      <w:r w:rsidR="00A137E2" w:rsidRPr="00265262">
        <w:tab/>
      </w:r>
      <w:r w:rsidRPr="00B04F51">
        <w:t>Передано правительствами Франции и Германии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72"/>
        <w:gridCol w:w="6656"/>
      </w:tblGrid>
      <w:tr w:rsidR="005E6236" w:rsidRPr="005E6236" w:rsidTr="00981200">
        <w:trPr>
          <w:jc w:val="center"/>
        </w:trPr>
        <w:tc>
          <w:tcPr>
            <w:tcW w:w="9642" w:type="dxa"/>
            <w:gridSpan w:val="2"/>
            <w:tcBorders>
              <w:bottom w:val="nil"/>
            </w:tcBorders>
          </w:tcPr>
          <w:p w:rsidR="005E6236" w:rsidRPr="005E6236" w:rsidRDefault="005E6236" w:rsidP="00FF63E4">
            <w:pPr>
              <w:tabs>
                <w:tab w:val="left" w:pos="255"/>
              </w:tabs>
              <w:spacing w:before="120" w:after="120"/>
              <w:rPr>
                <w:rFonts w:cs="Times New Roman"/>
                <w:sz w:val="24"/>
              </w:rPr>
            </w:pPr>
            <w:r w:rsidRPr="005E6236">
              <w:rPr>
                <w:rFonts w:cs="Times New Roman"/>
              </w:rPr>
              <w:tab/>
            </w:r>
            <w:r w:rsidRPr="005E623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E6236" w:rsidRPr="005E6236" w:rsidTr="00981200">
        <w:trPr>
          <w:jc w:val="center"/>
        </w:trPr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6236" w:rsidRPr="005E6236" w:rsidRDefault="005E6236" w:rsidP="005E6236">
            <w:pPr>
              <w:tabs>
                <w:tab w:val="left" w:pos="255"/>
              </w:tabs>
              <w:spacing w:after="120"/>
            </w:pPr>
            <w:r>
              <w:rPr>
                <w:i/>
                <w:sz w:val="24"/>
                <w:lang w:val="en-US"/>
              </w:rPr>
              <w:tab/>
            </w:r>
            <w:r w:rsidRPr="0081760F">
              <w:rPr>
                <w:b/>
                <w:sz w:val="24"/>
              </w:rPr>
              <w:t>С</w:t>
            </w:r>
            <w:r w:rsidRPr="0081760F">
              <w:rPr>
                <w:b/>
              </w:rPr>
              <w:t>ущество предложения</w:t>
            </w:r>
            <w:r w:rsidRPr="00B04F51">
              <w:t>: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236" w:rsidRPr="005E6236" w:rsidRDefault="005E6236" w:rsidP="0081760F">
            <w:pPr>
              <w:pStyle w:val="SingleTxtGR"/>
              <w:ind w:left="145" w:right="216"/>
            </w:pPr>
            <w:r w:rsidRPr="00B04F51">
              <w:t xml:space="preserve">Нынешний вариант СПС не включает требования к маркировке транспортных средств с </w:t>
            </w:r>
            <w:proofErr w:type="spellStart"/>
            <w:r w:rsidRPr="00B04F51">
              <w:t>мультитемпературным</w:t>
            </w:r>
            <w:proofErr w:type="spellEnd"/>
            <w:r w:rsidRPr="00B04F51">
              <w:t xml:space="preserve"> режимом, т.е. внешние опознавательные обозначения не позволяют провести различие между транспортными средствами с </w:t>
            </w:r>
            <w:proofErr w:type="spellStart"/>
            <w:r w:rsidRPr="00B04F51">
              <w:t>мультитемпературным</w:t>
            </w:r>
            <w:proofErr w:type="spellEnd"/>
            <w:r w:rsidRPr="00B04F51">
              <w:t xml:space="preserve"> режимом и транспортными средствами с </w:t>
            </w:r>
            <w:proofErr w:type="spellStart"/>
            <w:r w:rsidRPr="00B04F51">
              <w:t>монотемпературтным</w:t>
            </w:r>
            <w:proofErr w:type="spellEnd"/>
            <w:r w:rsidRPr="00B04F51">
              <w:t xml:space="preserve"> режимом. Предлагается, чтобы маркировка транспортных средств с </w:t>
            </w:r>
            <w:proofErr w:type="spellStart"/>
            <w:r w:rsidRPr="00B04F51">
              <w:t>мультитемпературным</w:t>
            </w:r>
            <w:proofErr w:type="spellEnd"/>
            <w:r w:rsidRPr="00B04F51">
              <w:t xml:space="preserve"> режимом отображала, в случае транспортных средств с </w:t>
            </w:r>
            <w:proofErr w:type="spellStart"/>
            <w:r w:rsidRPr="00B04F51">
              <w:t>мультитемпературным</w:t>
            </w:r>
            <w:proofErr w:type="spellEnd"/>
            <w:r w:rsidRPr="00B04F51">
              <w:t xml:space="preserve"> режимом, разделенных на две камеры, класс СПС для обеих камер (например, FRC-FRA) или, в случае транспортных средств с </w:t>
            </w:r>
            <w:proofErr w:type="spellStart"/>
            <w:r w:rsidRPr="00B04F51">
              <w:t>мультитемпературным</w:t>
            </w:r>
            <w:proofErr w:type="spellEnd"/>
            <w:r w:rsidRPr="00B04F51">
              <w:t xml:space="preserve"> режимом, разделенных на три камеры и более, опознавательное обозначение для самого высокого класса СПС, дополняемое буквой М (например, FRC-M). Дополнительная более подробная информация содержится в документе, дополняющем свидетельство о соответствии, выдаваемое компетентным органом страны изготовления на основе информации, представленной изготовителем.</w:t>
            </w:r>
          </w:p>
        </w:tc>
      </w:tr>
      <w:tr w:rsidR="0081760F" w:rsidRPr="005E6236" w:rsidTr="00981200">
        <w:trPr>
          <w:jc w:val="center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1760F" w:rsidRPr="005E6236" w:rsidRDefault="0081760F" w:rsidP="0081760F">
            <w:pPr>
              <w:tabs>
                <w:tab w:val="left" w:pos="255"/>
              </w:tabs>
              <w:spacing w:after="120"/>
              <w:rPr>
                <w:rFonts w:cs="Times New Roman"/>
              </w:rPr>
            </w:pPr>
            <w:r w:rsidRPr="00265262">
              <w:tab/>
            </w:r>
            <w:r w:rsidRPr="0081760F">
              <w:rPr>
                <w:b/>
              </w:rPr>
              <w:t>Предлагаемое решение</w:t>
            </w:r>
            <w:r w:rsidRPr="00B04F51">
              <w:t>: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</w:tcBorders>
          </w:tcPr>
          <w:p w:rsidR="0081760F" w:rsidRPr="0081760F" w:rsidRDefault="0081760F" w:rsidP="0081760F">
            <w:pPr>
              <w:pStyle w:val="SingleTxtGR"/>
              <w:ind w:left="145" w:right="216"/>
              <w:rPr>
                <w:lang w:val="en-US"/>
              </w:rPr>
            </w:pPr>
            <w:r w:rsidRPr="00B04F51">
              <w:t>Внести поправки в добавления 2 и 4 к приложению 1</w:t>
            </w:r>
            <w:r>
              <w:rPr>
                <w:lang w:val="en-US"/>
              </w:rPr>
              <w:t>.</w:t>
            </w:r>
          </w:p>
        </w:tc>
      </w:tr>
      <w:tr w:rsidR="0081760F" w:rsidRPr="005E6236" w:rsidTr="00981200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81760F" w:rsidRPr="005E6236" w:rsidRDefault="0081760F" w:rsidP="0081760F">
            <w:pPr>
              <w:tabs>
                <w:tab w:val="left" w:pos="255"/>
              </w:tabs>
              <w:spacing w:after="120"/>
              <w:rPr>
                <w:rFonts w:cs="Times New Roman"/>
              </w:rPr>
            </w:pPr>
            <w:r>
              <w:rPr>
                <w:lang w:val="en-US"/>
              </w:rPr>
              <w:tab/>
            </w:r>
            <w:r w:rsidRPr="0081760F">
              <w:rPr>
                <w:b/>
              </w:rPr>
              <w:t>Справочные документы</w:t>
            </w:r>
            <w:r w:rsidRPr="00B04F51">
              <w:t>: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</w:tcBorders>
          </w:tcPr>
          <w:p w:rsidR="0081760F" w:rsidRPr="0081760F" w:rsidRDefault="0081760F" w:rsidP="008D01AF">
            <w:pPr>
              <w:pStyle w:val="SingleTxtGR"/>
              <w:ind w:left="147" w:right="215"/>
              <w:jc w:val="left"/>
            </w:pPr>
            <w:r w:rsidRPr="0081760F">
              <w:t>ECE/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 xml:space="preserve">.11/2013/4, </w:t>
            </w:r>
            <w:r w:rsidRPr="00B04F51">
              <w:rPr>
                <w:lang w:val="en-GB"/>
              </w:rPr>
              <w:t>ECE</w:t>
            </w:r>
            <w:r w:rsidRPr="0081760F">
              <w:t>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 xml:space="preserve">.11/2013/11, </w:t>
            </w:r>
            <w:r w:rsidRPr="00B04F51">
              <w:t>часть</w:t>
            </w:r>
            <w:r w:rsidRPr="0081760F">
              <w:t xml:space="preserve"> </w:t>
            </w:r>
            <w:r w:rsidRPr="00B04F51">
              <w:rPr>
                <w:lang w:val="en-GB"/>
              </w:rPr>
              <w:t>II</w:t>
            </w:r>
            <w:r w:rsidRPr="0081760F">
              <w:t xml:space="preserve">, </w:t>
            </w:r>
            <w:r w:rsidRPr="00B04F51">
              <w:t>неофициальный</w:t>
            </w:r>
            <w:r w:rsidRPr="0081760F">
              <w:t xml:space="preserve"> </w:t>
            </w:r>
            <w:r w:rsidRPr="00B04F51">
              <w:t>документ</w:t>
            </w:r>
            <w:r w:rsidRPr="0081760F">
              <w:t xml:space="preserve"> </w:t>
            </w:r>
            <w:r w:rsidRPr="00B04F51">
              <w:rPr>
                <w:lang w:val="en-GB"/>
              </w:rPr>
              <w:t>INF</w:t>
            </w:r>
            <w:r w:rsidRPr="0081760F">
              <w:t xml:space="preserve"> 7 (2013), </w:t>
            </w:r>
            <w:r w:rsidRPr="00B04F51">
              <w:rPr>
                <w:lang w:val="en-GB"/>
              </w:rPr>
              <w:t>ECE</w:t>
            </w:r>
            <w:r w:rsidRPr="0081760F">
              <w:t>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 xml:space="preserve">.11/2014/8, </w:t>
            </w:r>
            <w:r w:rsidRPr="00B04F51">
              <w:rPr>
                <w:lang w:val="en-GB"/>
              </w:rPr>
              <w:t>ECE</w:t>
            </w:r>
            <w:r w:rsidRPr="0081760F">
              <w:t>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 xml:space="preserve">.11/2014/10, </w:t>
            </w:r>
            <w:r w:rsidRPr="00B04F51">
              <w:rPr>
                <w:lang w:val="en-GB"/>
              </w:rPr>
              <w:t>ECE</w:t>
            </w:r>
            <w:r w:rsidRPr="0081760F">
              <w:t>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 xml:space="preserve">.11/2014/22, </w:t>
            </w:r>
            <w:r w:rsidRPr="00B04F51">
              <w:rPr>
                <w:lang w:val="en-GB"/>
              </w:rPr>
              <w:t>ECE</w:t>
            </w:r>
            <w:r w:rsidRPr="0081760F">
              <w:t>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 xml:space="preserve">.11/2015/15, </w:t>
            </w:r>
            <w:r w:rsidRPr="00B04F51">
              <w:rPr>
                <w:lang w:val="en-GB"/>
              </w:rPr>
              <w:t>ECE</w:t>
            </w:r>
            <w:r w:rsidRPr="0081760F">
              <w:t>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 xml:space="preserve">.11/2016/16, </w:t>
            </w:r>
            <w:r w:rsidRPr="00B04F51">
              <w:rPr>
                <w:lang w:val="en-GB"/>
              </w:rPr>
              <w:lastRenderedPageBreak/>
              <w:t>ECE</w:t>
            </w:r>
            <w:r w:rsidRPr="0081760F">
              <w:t>/</w:t>
            </w:r>
            <w:r w:rsidRPr="00B04F51">
              <w:rPr>
                <w:lang w:val="en-GB"/>
              </w:rPr>
              <w:t>TRANS</w:t>
            </w:r>
            <w:r w:rsidRPr="0081760F">
              <w:t>/</w:t>
            </w:r>
            <w:r w:rsidRPr="00B04F51">
              <w:rPr>
                <w:lang w:val="en-GB"/>
              </w:rPr>
              <w:t>WP</w:t>
            </w:r>
            <w:r w:rsidRPr="0081760F">
              <w:t>.11/2016/21.</w:t>
            </w:r>
          </w:p>
        </w:tc>
      </w:tr>
    </w:tbl>
    <w:p w:rsidR="00B04F51" w:rsidRPr="00B04F51" w:rsidRDefault="00B04F51" w:rsidP="00DD63AF">
      <w:pPr>
        <w:pStyle w:val="HChGR"/>
      </w:pPr>
      <w:r w:rsidRPr="00FF63E4">
        <w:lastRenderedPageBreak/>
        <w:tab/>
      </w:r>
      <w:r w:rsidR="00DD63AF" w:rsidRPr="00265262">
        <w:tab/>
      </w:r>
      <w:r w:rsidRPr="00B04F51">
        <w:t>Введение</w:t>
      </w:r>
    </w:p>
    <w:p w:rsidR="00B04F51" w:rsidRPr="00B04F51" w:rsidRDefault="00B04F51" w:rsidP="00DD63AF">
      <w:pPr>
        <w:pStyle w:val="SingleTxtGR"/>
      </w:pPr>
      <w:r w:rsidRPr="00B04F51">
        <w:t>1.</w:t>
      </w:r>
      <w:r w:rsidRPr="00B04F51">
        <w:tab/>
        <w:t>Настоящей текст добавления 4 к приложению 1 охватывает изотермические транспортные средства, которые могут подвергаться охлаждению, транспортные средства-</w:t>
      </w:r>
      <w:proofErr w:type="spellStart"/>
      <w:r w:rsidRPr="00B04F51">
        <w:t>рефрижираторы</w:t>
      </w:r>
      <w:proofErr w:type="spellEnd"/>
      <w:r w:rsidRPr="00B04F51">
        <w:t xml:space="preserve"> и транспортные средства с подогревом в том, что касается размещения опознавательных обозначений</w:t>
      </w:r>
      <w:r w:rsidR="00316811">
        <w:t xml:space="preserve"> </w:t>
      </w:r>
      <w:r w:rsidRPr="00B04F51">
        <w:t>на внешней поверхности транспортного средства. Такое же опознавательное обозначение указывается на табличке-свидетельстве, как это предписано в пункте 3 добавления 1 к приложению 1.</w:t>
      </w:r>
    </w:p>
    <w:p w:rsidR="00B04F51" w:rsidRPr="00B04F51" w:rsidRDefault="00B04F51" w:rsidP="00DD63AF">
      <w:pPr>
        <w:pStyle w:val="SingleTxtGR"/>
      </w:pPr>
      <w:r w:rsidRPr="00B04F51">
        <w:t>2.</w:t>
      </w:r>
      <w:r w:rsidRPr="00B04F51">
        <w:tab/>
        <w:t xml:space="preserve">Нынешний вариант СПС не включает требования к маркировке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режимом, т.е. внешние опознавательные обозначения не позволяют провести различие между транспортными средствами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и транспортными средствами с </w:t>
      </w:r>
      <w:proofErr w:type="spellStart"/>
      <w:r w:rsidRPr="00B04F51">
        <w:t>монотемпературтным</w:t>
      </w:r>
      <w:proofErr w:type="spellEnd"/>
      <w:r w:rsidRPr="00B04F51">
        <w:t xml:space="preserve"> режимом. Маркировка транспортных средств должна осуществляться с учетом потребностей контрольных органов и пользователей и должна восприниматься недвусмысленным образом всеми пользователями, независимо от того, являются ли разделяющие переборки постоянными, передвижными или съемными. Транспортные средства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могут быть рассчитаны на независимые температурные зоны в количестве до шести, что позволяет предусмотреть постоянную или изменяемую температурную конфигурацию в пределах этих зон.</w:t>
      </w:r>
    </w:p>
    <w:p w:rsidR="00B04F51" w:rsidRPr="00B04F51" w:rsidRDefault="00B04F51" w:rsidP="00DD63AF">
      <w:pPr>
        <w:pStyle w:val="SingleTxtGR"/>
      </w:pPr>
      <w:r w:rsidRPr="00B04F51">
        <w:t>3.</w:t>
      </w:r>
      <w:r w:rsidRPr="00B04F51">
        <w:tab/>
        <w:t xml:space="preserve">На шестьдесят девятой сессии WP. 11 были представлены следующие документы, в которых говорилось прежде всего о маркировке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режимом: ECE/TRANS/WP.11/2013/4 (Португалия), ECE/TRANS/WP.11/2013/11, часть II (Франция), и неофициальный документ INF. 7 (Нидерланды). Обсуждение было продолжено на семидесятой, семьдесят первой и семьдесят второй сессиях, на которых были представлены следующие документы: ECE/TRANS/WP.11/2014/8 (Португалия), ECE/TRANS/</w:t>
      </w:r>
      <w:r w:rsidR="0045516B" w:rsidRPr="0045516B">
        <w:br/>
      </w:r>
      <w:r w:rsidRPr="00B04F51">
        <w:t>WP.11/2014/10 (Германия), ECE/TRANS/WP.11/2014/22 (Франция), ECE/</w:t>
      </w:r>
      <w:r w:rsidR="0045516B" w:rsidRPr="0045516B">
        <w:br/>
      </w:r>
      <w:r w:rsidRPr="00B04F51">
        <w:t>TRANS/WP.11/2015/15 (Франция), ECE/TRANS/WP.11/2016/16 (Франция), ECE/TRANS/WP.11/2016/21 (Нидерланды).</w:t>
      </w:r>
    </w:p>
    <w:p w:rsidR="00B04F51" w:rsidRPr="00B04F51" w:rsidRDefault="00B04F51" w:rsidP="00DD63AF">
      <w:pPr>
        <w:pStyle w:val="SingleTxtGR"/>
      </w:pPr>
      <w:r w:rsidRPr="00B04F51">
        <w:t>4.</w:t>
      </w:r>
      <w:r w:rsidRPr="00B04F51">
        <w:tab/>
        <w:t xml:space="preserve">Итоги обсуждения показали, что необходима минимальная внешняя маркировка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режимом. Подробная маркировка не способна отразить различные имеющиеся конфигурации транспортных средств. Напротив, необходимо найти простое и прагматичное решение для преодоления разрыва, существующего между внешней маркировкой и точным техническим описанием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режимом.</w:t>
      </w:r>
    </w:p>
    <w:p w:rsidR="00B04F51" w:rsidRPr="00B04F51" w:rsidRDefault="0045516B" w:rsidP="0045516B">
      <w:pPr>
        <w:pStyle w:val="HChGR"/>
      </w:pPr>
      <w:r w:rsidRPr="00265262">
        <w:tab/>
      </w:r>
      <w:r w:rsidR="00B04F51" w:rsidRPr="00B04F51">
        <w:t>I.</w:t>
      </w:r>
      <w:r w:rsidR="00B04F51" w:rsidRPr="00B04F51">
        <w:tab/>
        <w:t>Предложение</w:t>
      </w:r>
    </w:p>
    <w:p w:rsidR="00B04F51" w:rsidRPr="00B04F51" w:rsidRDefault="00B04F51" w:rsidP="00DD63AF">
      <w:pPr>
        <w:pStyle w:val="SingleTxtGR"/>
      </w:pPr>
      <w:r w:rsidRPr="00B04F51">
        <w:t>5.</w:t>
      </w:r>
      <w:r w:rsidRPr="00B04F51">
        <w:tab/>
        <w:t xml:space="preserve">Предлагается предусмотреть различную маркировку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в зависимости от числа камер:</w:t>
      </w:r>
    </w:p>
    <w:p w:rsidR="00B04F51" w:rsidRPr="00B04F51" w:rsidRDefault="00B04F51" w:rsidP="0045516B">
      <w:pPr>
        <w:pStyle w:val="Bullet1GR"/>
      </w:pPr>
      <w:r w:rsidRPr="00B04F51">
        <w:t>Если транспортное средство разделено на две камеры, то маркировка должна показывать класс СПС каждой камеры (например, FRC-FRA), начиная с камеры, расположенной в передней части транспортного средства или с его левой стороны;</w:t>
      </w:r>
    </w:p>
    <w:p w:rsidR="00B04F51" w:rsidRPr="00B04F51" w:rsidRDefault="00B04F51" w:rsidP="0045516B">
      <w:pPr>
        <w:pStyle w:val="Bullet1GR"/>
      </w:pPr>
      <w:r w:rsidRPr="00B04F51">
        <w:t>Если транспортное средство разделено на три камеры и более, то маркировка должна включать опознавательное обозначение для самого высокого класса СПС, дополняемое буквой М (например, FRC-M), невзирая на общее число независимых холодильных камер, находящихся в эксплуатации.</w:t>
      </w:r>
    </w:p>
    <w:p w:rsidR="00B04F51" w:rsidRPr="00B04F51" w:rsidRDefault="00B04F51" w:rsidP="00DD63AF">
      <w:pPr>
        <w:pStyle w:val="SingleTxtGR"/>
      </w:pPr>
      <w:r w:rsidRPr="00B04F51">
        <w:lastRenderedPageBreak/>
        <w:t>6.</w:t>
      </w:r>
      <w:r w:rsidRPr="00B04F51">
        <w:tab/>
        <w:t>Дополнительная более подробная информация должна представляться изготовителем и должна быть изложена в документе, дополняющем свидетельство о соответствии, выдаваемое компетентным органом страны изготовления.</w:t>
      </w:r>
    </w:p>
    <w:p w:rsidR="00B04F51" w:rsidRPr="00B04F51" w:rsidRDefault="00B04F51" w:rsidP="00DD63AF">
      <w:pPr>
        <w:pStyle w:val="SingleTxtGR"/>
      </w:pPr>
      <w:r w:rsidRPr="00B04F51">
        <w:t>7.</w:t>
      </w:r>
      <w:r w:rsidRPr="00B04F51">
        <w:tab/>
        <w:t>Такой дополнительный документ должен включать:</w:t>
      </w:r>
    </w:p>
    <w:p w:rsidR="00B04F51" w:rsidRPr="00B04F51" w:rsidRDefault="00B04F51" w:rsidP="0045516B">
      <w:pPr>
        <w:pStyle w:val="Bullet1GR"/>
      </w:pPr>
      <w:r w:rsidRPr="00B04F51">
        <w:t>рисунок с указанием фактической конфигурации камер и схемы испарителей;</w:t>
      </w:r>
    </w:p>
    <w:p w:rsidR="00B04F51" w:rsidRPr="00B04F51" w:rsidRDefault="00B04F51" w:rsidP="0045516B">
      <w:pPr>
        <w:pStyle w:val="Bullet1GR"/>
      </w:pPr>
      <w:r w:rsidRPr="00B04F51">
        <w:t xml:space="preserve">расчеты, подтверждающие, что данное транспортное средство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удовлетворяет требованиям СПС в отношении предоставления пользователю предполагаемой степени свободы в том, что касается температурного режима и размеров камер.</w:t>
      </w:r>
    </w:p>
    <w:p w:rsidR="00B04F51" w:rsidRPr="00B04F51" w:rsidRDefault="00B04F51" w:rsidP="00DD63AF">
      <w:pPr>
        <w:pStyle w:val="SingleTxtGR"/>
      </w:pPr>
      <w:r w:rsidRPr="00B04F51">
        <w:t>8.</w:t>
      </w:r>
      <w:r w:rsidRPr="00B04F51">
        <w:tab/>
        <w:t xml:space="preserve">Такой дополнительный документ может, например, быть составлен с помощью инструмента расчета </w:t>
      </w:r>
      <w:proofErr w:type="spellStart"/>
      <w:r w:rsidRPr="00B04F51">
        <w:t>мультитемпературного</w:t>
      </w:r>
      <w:proofErr w:type="spellEnd"/>
      <w:r w:rsidRPr="00B04F51">
        <w:t xml:space="preserve"> режима, предоставляемого федерацией </w:t>
      </w:r>
      <w:r w:rsidR="00E52718">
        <w:t>«</w:t>
      </w:r>
      <w:proofErr w:type="spellStart"/>
      <w:r w:rsidRPr="00B04F51">
        <w:t>Трансфригорут</w:t>
      </w:r>
      <w:proofErr w:type="spellEnd"/>
      <w:r w:rsidRPr="00B04F51">
        <w:t xml:space="preserve"> </w:t>
      </w:r>
      <w:proofErr w:type="spellStart"/>
      <w:r w:rsidRPr="00B04F51">
        <w:t>интернэшнл</w:t>
      </w:r>
      <w:proofErr w:type="spellEnd"/>
      <w:r w:rsidR="00E52718">
        <w:t>»</w:t>
      </w:r>
      <w:r w:rsidRPr="00B04F51">
        <w:t>. В этом случае в Справочник СПС следует внести поправку, указав на использование в этих целях такого инструмента расчета.</w:t>
      </w:r>
    </w:p>
    <w:p w:rsidR="00B04F51" w:rsidRPr="00B04F51" w:rsidRDefault="00B04F51" w:rsidP="00DD63AF">
      <w:pPr>
        <w:pStyle w:val="SingleTxtGR"/>
      </w:pPr>
      <w:r w:rsidRPr="00B04F51">
        <w:t>9.</w:t>
      </w:r>
      <w:r w:rsidRPr="00B04F51">
        <w:tab/>
        <w:t xml:space="preserve">После выполнения этих требований и на основе дополнительной информации, представленной в дополнительном документе, ситуация в отношении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станет более </w:t>
      </w:r>
      <w:proofErr w:type="spellStart"/>
      <w:r w:rsidRPr="00B04F51">
        <w:t>транспарентной</w:t>
      </w:r>
      <w:proofErr w:type="spellEnd"/>
      <w:r w:rsidRPr="00B04F51">
        <w:t xml:space="preserve"> в том, что касается операционных возможностей и ограничений, что отвечает интересам всех вовлеченных сторон – операторов транспортных средств, грузоотправителей скоропортящихся грузов, производителей транспортных средств и компетентных органов.</w:t>
      </w:r>
    </w:p>
    <w:p w:rsidR="00B04F51" w:rsidRPr="00B04F51" w:rsidRDefault="00B04F51" w:rsidP="00DD63AF">
      <w:pPr>
        <w:pStyle w:val="SingleTxtGR"/>
      </w:pPr>
      <w:r w:rsidRPr="00B04F51">
        <w:t>10.</w:t>
      </w:r>
      <w:r w:rsidRPr="00B04F51">
        <w:tab/>
        <w:t xml:space="preserve">Это требование должно применяться только к транспортным средствам, производимым с 1 октября 2020 года. Указанная дата, по оценкам, соответствует одному году с даты вступления в силу предлагаемых поправок, что должно дать всем сторонам достаточно времени для подготовки. Требование об изменении существующей внешней маркировки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не предусмотрено. Уже принятые схемы маркировки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могут по-прежнему использоваться на существующих транспортных средствах.</w:t>
      </w:r>
    </w:p>
    <w:p w:rsidR="00B04F51" w:rsidRPr="00B04F51" w:rsidRDefault="0045516B" w:rsidP="0045516B">
      <w:pPr>
        <w:pStyle w:val="HChGR"/>
      </w:pPr>
      <w:r w:rsidRPr="00265262">
        <w:tab/>
      </w:r>
      <w:r w:rsidR="00B04F51" w:rsidRPr="00B04F51">
        <w:t>II.</w:t>
      </w:r>
      <w:r w:rsidR="00B04F51" w:rsidRPr="00B04F51">
        <w:tab/>
        <w:t>Необходимые поправки</w:t>
      </w:r>
    </w:p>
    <w:p w:rsidR="00B04F51" w:rsidRPr="00B04F51" w:rsidRDefault="00B04F51" w:rsidP="00DD63AF">
      <w:pPr>
        <w:pStyle w:val="SingleTxtGR"/>
      </w:pPr>
      <w:r w:rsidRPr="00B04F51">
        <w:t>11.</w:t>
      </w:r>
      <w:r w:rsidRPr="00B04F51">
        <w:tab/>
        <w:t>В добавлении 4 к приложению 1 включить следующий текст после таблицы:</w:t>
      </w:r>
    </w:p>
    <w:p w:rsidR="00B04F51" w:rsidRPr="00B04F51" w:rsidRDefault="0045516B" w:rsidP="00DD63AF">
      <w:pPr>
        <w:pStyle w:val="SingleTxtGR"/>
      </w:pPr>
      <w:r>
        <w:t>«</w:t>
      </w:r>
      <w:r w:rsidR="00B04F51" w:rsidRPr="00B04F51">
        <w:t xml:space="preserve">В случае транспортного средства с </w:t>
      </w:r>
      <w:proofErr w:type="spellStart"/>
      <w:r w:rsidR="00B04F51" w:rsidRPr="00B04F51">
        <w:t>мультитемпературным</w:t>
      </w:r>
      <w:proofErr w:type="spellEnd"/>
      <w:r w:rsidR="00B04F51" w:rsidRPr="00B04F51">
        <w:t xml:space="preserve"> режимом, разделенным на две камеры, его маркировка должна представлять собой опознавательные обозначения каждой камеры (</w:t>
      </w:r>
      <w:proofErr w:type="gramStart"/>
      <w:r w:rsidR="00B04F51" w:rsidRPr="00B04F51">
        <w:t>например</w:t>
      </w:r>
      <w:proofErr w:type="gramEnd"/>
      <w:r w:rsidR="00B04F51" w:rsidRPr="00B04F51">
        <w:t>: FRC-FRA), начиная с камеры, расположенной в передней части транспортного средства или на его левой стороне;</w:t>
      </w:r>
    </w:p>
    <w:p w:rsidR="00B04F51" w:rsidRPr="00B04F51" w:rsidRDefault="00B04F51" w:rsidP="00DD63AF">
      <w:pPr>
        <w:pStyle w:val="SingleTxtGR"/>
      </w:pPr>
      <w:r w:rsidRPr="00B04F51">
        <w:t xml:space="preserve">В случае транспортного средства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режимом, разделенного на три камеры и более, опознавательное обозначение должно быть выбрано только для самого высокого класса СПС и дополнено буквой М (например, FRC-M).</w:t>
      </w:r>
    </w:p>
    <w:p w:rsidR="00B04F51" w:rsidRPr="00B04F51" w:rsidRDefault="00B04F51" w:rsidP="00DD63AF">
      <w:pPr>
        <w:pStyle w:val="SingleTxtGR"/>
      </w:pPr>
      <w:r w:rsidRPr="00B04F51">
        <w:t xml:space="preserve">Это требование является обязательным для всех транспортных средств, произведенных с 1 октября 2020 года. Уже принятые схемы маркировки транспортных средств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могут по-прежнему использоваться на существующих транспортных средствах.</w:t>
      </w:r>
      <w:r w:rsidR="0045516B">
        <w:t>»</w:t>
      </w:r>
      <w:r w:rsidRPr="00B04F51">
        <w:t>.</w:t>
      </w:r>
    </w:p>
    <w:p w:rsidR="00B04F51" w:rsidRPr="00B04F51" w:rsidRDefault="00B04F51" w:rsidP="00DD63AF">
      <w:pPr>
        <w:pStyle w:val="SingleTxtGR"/>
      </w:pPr>
      <w:r w:rsidRPr="00B04F51">
        <w:t>12.</w:t>
      </w:r>
      <w:r w:rsidRPr="00B04F51">
        <w:tab/>
        <w:t>В добавлении 2 к приложению 1 включить следующий текст после нынешнего пункта 7.3.6:</w:t>
      </w:r>
    </w:p>
    <w:p w:rsidR="00B04F51" w:rsidRPr="00B04F51" w:rsidRDefault="0045516B" w:rsidP="00DD63AF">
      <w:pPr>
        <w:pStyle w:val="SingleTxtGR"/>
      </w:pPr>
      <w:r>
        <w:t>«</w:t>
      </w:r>
      <w:r w:rsidR="00B04F51" w:rsidRPr="00B04F51">
        <w:t>Заявление о соответствии должно быть приведено в документе, дополняющем свидетельство о соответствии, выдаваемое компетентным органом страны изго</w:t>
      </w:r>
      <w:r w:rsidR="00B04F51" w:rsidRPr="00B04F51">
        <w:lastRenderedPageBreak/>
        <w:t>товления. Документ основывается на информации, предоставленной изготовителем.</w:t>
      </w:r>
    </w:p>
    <w:p w:rsidR="00B04F51" w:rsidRPr="00B04F51" w:rsidRDefault="00B04F51" w:rsidP="008D01AF">
      <w:pPr>
        <w:pStyle w:val="SingleTxtGR"/>
        <w:pageBreakBefore/>
      </w:pPr>
      <w:r w:rsidRPr="00B04F51">
        <w:lastRenderedPageBreak/>
        <w:t>Этот документ должен включать по крайней мере следующее:</w:t>
      </w:r>
    </w:p>
    <w:p w:rsidR="00B04F51" w:rsidRPr="00B04F51" w:rsidRDefault="00B04F51" w:rsidP="0045516B">
      <w:pPr>
        <w:pStyle w:val="Bullet1GR"/>
      </w:pPr>
      <w:r w:rsidRPr="00B04F51">
        <w:t>рисунок с указанием фактической конфигурации камер и схемы испарителей;</w:t>
      </w:r>
    </w:p>
    <w:p w:rsidR="00B04F51" w:rsidRPr="00B04F51" w:rsidRDefault="00B04F51" w:rsidP="0045516B">
      <w:pPr>
        <w:pStyle w:val="Bullet1GR"/>
      </w:pPr>
      <w:r w:rsidRPr="00B04F51">
        <w:t xml:space="preserve">расчеты, подтверждающие, что данное транспортное средство с </w:t>
      </w:r>
      <w:proofErr w:type="spellStart"/>
      <w:r w:rsidRPr="00B04F51">
        <w:t>мультитемпературным</w:t>
      </w:r>
      <w:proofErr w:type="spellEnd"/>
      <w:r w:rsidRPr="00B04F51">
        <w:t xml:space="preserve"> режимом удовлетворяет требованиям СПС в отношении предоставления пользователю предполагаемой степени свободы в том, что касается температурного режима и размеров камер.</w:t>
      </w:r>
      <w:r w:rsidR="00ED52F2">
        <w:t>»</w:t>
      </w:r>
      <w:r w:rsidRPr="00B04F51">
        <w:t>.</w:t>
      </w:r>
    </w:p>
    <w:p w:rsidR="00B04F51" w:rsidRPr="00B04F51" w:rsidRDefault="00B04F51" w:rsidP="00DD63AF">
      <w:pPr>
        <w:pStyle w:val="SingleTxtGR"/>
      </w:pPr>
      <w:r w:rsidRPr="00B04F51">
        <w:t>13.</w:t>
      </w:r>
      <w:r w:rsidRPr="00B04F51">
        <w:tab/>
        <w:t>Дополнить добавление 2 к приложению 1 Справочника СПС следующим комментарием:</w:t>
      </w:r>
    </w:p>
    <w:p w:rsidR="00B04F51" w:rsidRPr="0045516B" w:rsidRDefault="0045516B" w:rsidP="00DD63AF">
      <w:pPr>
        <w:pStyle w:val="SingleTxtGR"/>
        <w:rPr>
          <w:i/>
        </w:rPr>
      </w:pPr>
      <w:r>
        <w:t>«</w:t>
      </w:r>
      <w:r w:rsidR="00B04F51" w:rsidRPr="0045516B">
        <w:rPr>
          <w:i/>
        </w:rPr>
        <w:t>Комментарий к пункту 7.3.6</w:t>
      </w:r>
    </w:p>
    <w:p w:rsidR="00B04F51" w:rsidRPr="0045516B" w:rsidRDefault="00B04F51" w:rsidP="00DD63AF">
      <w:pPr>
        <w:pStyle w:val="SingleTxtGR"/>
        <w:rPr>
          <w:i/>
        </w:rPr>
      </w:pPr>
      <w:r w:rsidRPr="0045516B">
        <w:rPr>
          <w:i/>
        </w:rPr>
        <w:t>Расчеты в соответствии с пунктом 7.3.6 могут быть произведены с использованием инструмента расчета, утвержденного компетентным органом.</w:t>
      </w:r>
    </w:p>
    <w:p w:rsidR="00B04F51" w:rsidRPr="00B04F51" w:rsidRDefault="00B04F51" w:rsidP="00DD63AF">
      <w:pPr>
        <w:pStyle w:val="SingleTxtGR"/>
        <w:rPr>
          <w:i/>
        </w:rPr>
      </w:pPr>
      <w:r w:rsidRPr="0045516B">
        <w:rPr>
          <w:i/>
        </w:rPr>
        <w:t xml:space="preserve">Такой инструмент расчета </w:t>
      </w:r>
      <w:proofErr w:type="spellStart"/>
      <w:r w:rsidRPr="0045516B">
        <w:rPr>
          <w:i/>
        </w:rPr>
        <w:t>мультитемпературного</w:t>
      </w:r>
      <w:proofErr w:type="spellEnd"/>
      <w:r w:rsidRPr="0045516B">
        <w:rPr>
          <w:i/>
        </w:rPr>
        <w:t xml:space="preserve"> режима может быть получен в федерации «</w:t>
      </w:r>
      <w:proofErr w:type="spellStart"/>
      <w:r w:rsidRPr="0045516B">
        <w:rPr>
          <w:i/>
        </w:rPr>
        <w:t>Трансфригорут</w:t>
      </w:r>
      <w:proofErr w:type="spellEnd"/>
      <w:r w:rsidRPr="0045516B">
        <w:rPr>
          <w:i/>
        </w:rPr>
        <w:t xml:space="preserve"> </w:t>
      </w:r>
      <w:proofErr w:type="spellStart"/>
      <w:r w:rsidRPr="0045516B">
        <w:rPr>
          <w:i/>
        </w:rPr>
        <w:t>интернэшнл</w:t>
      </w:r>
      <w:proofErr w:type="spellEnd"/>
      <w:r w:rsidR="0045516B">
        <w:t>».</w:t>
      </w:r>
    </w:p>
    <w:tbl>
      <w:tblPr>
        <w:tblW w:w="7513" w:type="dxa"/>
        <w:tblInd w:w="1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6092"/>
      </w:tblGrid>
      <w:tr w:rsidR="00B04F51" w:rsidRPr="00035A66" w:rsidTr="003E0550"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51" w:rsidRPr="00035A66" w:rsidRDefault="00B04F51" w:rsidP="00ED52F2">
            <w:pPr>
              <w:spacing w:after="120"/>
            </w:pPr>
            <w:r w:rsidRPr="00035A66">
              <w:t>Расходы:</w:t>
            </w:r>
          </w:p>
        </w:tc>
        <w:tc>
          <w:tcPr>
            <w:tcW w:w="60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4F51" w:rsidRPr="00035A66" w:rsidRDefault="00B04F51" w:rsidP="00ED52F2">
            <w:pPr>
              <w:spacing w:after="120"/>
              <w:jc w:val="both"/>
            </w:pPr>
            <w:r w:rsidRPr="00035A66">
              <w:t xml:space="preserve">Незначительные дополнительные расходы могут возникнуть </w:t>
            </w:r>
            <w:r w:rsidR="00ED52F2">
              <w:br/>
            </w:r>
            <w:r w:rsidRPr="00035A66">
              <w:t>у производителей транспортных средств в результате подготовки документа, который дополняет свидетельство о соответствии, выданное компетентными органами. Компетентным органам, возможно, потребуется создать необходимый технический потенциал для выпуска этих дополняющих документов.</w:t>
            </w:r>
          </w:p>
        </w:tc>
      </w:tr>
      <w:tr w:rsidR="00B04F51" w:rsidRPr="00035A66" w:rsidTr="003E0550"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51" w:rsidRPr="00035A66" w:rsidRDefault="00B04F51" w:rsidP="00ED52F2">
            <w:pPr>
              <w:spacing w:after="120"/>
            </w:pPr>
            <w:r w:rsidRPr="00035A66">
              <w:t>Осуществимость:</w:t>
            </w:r>
          </w:p>
        </w:tc>
        <w:tc>
          <w:tcPr>
            <w:tcW w:w="60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4F51" w:rsidRPr="00035A66" w:rsidRDefault="00B04F51" w:rsidP="00ED52F2">
            <w:pPr>
              <w:spacing w:after="120"/>
              <w:jc w:val="both"/>
            </w:pPr>
            <w:r w:rsidRPr="00035A66">
              <w:t xml:space="preserve">Изготовители транспортных средств легко наладят маркировку новых транспортных средств с </w:t>
            </w:r>
            <w:proofErr w:type="spellStart"/>
            <w:r w:rsidRPr="00035A66">
              <w:t>мультитемпературным</w:t>
            </w:r>
            <w:proofErr w:type="spellEnd"/>
            <w:r w:rsidRPr="00035A66">
              <w:t xml:space="preserve"> режимом. Переходный период не требуется.</w:t>
            </w:r>
          </w:p>
          <w:p w:rsidR="00B04F51" w:rsidRPr="00035A66" w:rsidRDefault="00B04F51" w:rsidP="00ED52F2">
            <w:pPr>
              <w:spacing w:after="120"/>
              <w:jc w:val="both"/>
            </w:pPr>
            <w:r w:rsidRPr="00035A66">
              <w:t xml:space="preserve">Выдача дополняющего документа компетентным органом потребует наличия и использования инструмента расчета. При необходимости для целей осуществления может быть предусмотрен переходный период, не превышающий двух лет. В течение этого периода все участвующие стороны, компетентные органы и изготовители транспортных средств смогут ознакомиться с таким инструментом расчета. </w:t>
            </w:r>
          </w:p>
        </w:tc>
      </w:tr>
      <w:tr w:rsidR="00B04F51" w:rsidRPr="00035A66" w:rsidTr="003E0550"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51" w:rsidRPr="00035A66" w:rsidRDefault="00B04F51" w:rsidP="00ED52F2">
            <w:pPr>
              <w:spacing w:after="120"/>
            </w:pPr>
            <w:r w:rsidRPr="00035A66">
              <w:t>Обеспечение применения:</w:t>
            </w:r>
          </w:p>
        </w:tc>
        <w:tc>
          <w:tcPr>
            <w:tcW w:w="60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4F51" w:rsidRPr="00035A66" w:rsidRDefault="00B04F51" w:rsidP="00ED52F2">
            <w:pPr>
              <w:spacing w:after="120"/>
              <w:jc w:val="both"/>
            </w:pPr>
            <w:r w:rsidRPr="00035A66">
              <w:t>Никаких проблем не ожидается.</w:t>
            </w:r>
          </w:p>
        </w:tc>
      </w:tr>
    </w:tbl>
    <w:p w:rsidR="00E12C5F" w:rsidRPr="00035A66" w:rsidRDefault="00035A66" w:rsidP="00035A6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35A66" w:rsidSect="005950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23" w:rsidRPr="00A312BC" w:rsidRDefault="00155523" w:rsidP="00A312BC"/>
  </w:endnote>
  <w:endnote w:type="continuationSeparator" w:id="0">
    <w:p w:rsidR="00155523" w:rsidRPr="00A312BC" w:rsidRDefault="001555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B7" w:rsidRPr="005950B7" w:rsidRDefault="005950B7">
    <w:pPr>
      <w:pStyle w:val="Footer"/>
    </w:pPr>
    <w:r w:rsidRPr="005950B7">
      <w:rPr>
        <w:b/>
        <w:sz w:val="18"/>
      </w:rPr>
      <w:fldChar w:fldCharType="begin"/>
    </w:r>
    <w:r w:rsidRPr="005950B7">
      <w:rPr>
        <w:b/>
        <w:sz w:val="18"/>
      </w:rPr>
      <w:instrText xml:space="preserve"> PAGE  \* MERGEFORMAT </w:instrText>
    </w:r>
    <w:r w:rsidRPr="005950B7">
      <w:rPr>
        <w:b/>
        <w:sz w:val="18"/>
      </w:rPr>
      <w:fldChar w:fldCharType="separate"/>
    </w:r>
    <w:r w:rsidR="00C923F6">
      <w:rPr>
        <w:b/>
        <w:noProof/>
        <w:sz w:val="18"/>
      </w:rPr>
      <w:t>4</w:t>
    </w:r>
    <w:r w:rsidRPr="005950B7">
      <w:rPr>
        <w:b/>
        <w:sz w:val="18"/>
      </w:rPr>
      <w:fldChar w:fldCharType="end"/>
    </w:r>
    <w:r>
      <w:rPr>
        <w:b/>
        <w:sz w:val="18"/>
      </w:rPr>
      <w:tab/>
    </w:r>
    <w:r>
      <w:t>GE.17-12385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B7" w:rsidRPr="005950B7" w:rsidRDefault="005950B7" w:rsidP="005950B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GE.17-12385</w:t>
    </w:r>
    <w:r>
      <w:tab/>
    </w:r>
    <w:r w:rsidRPr="005950B7">
      <w:rPr>
        <w:b/>
        <w:sz w:val="18"/>
      </w:rPr>
      <w:fldChar w:fldCharType="begin"/>
    </w:r>
    <w:r w:rsidRPr="005950B7">
      <w:rPr>
        <w:b/>
        <w:sz w:val="18"/>
      </w:rPr>
      <w:instrText xml:space="preserve"> PAGE  \* MERGEFORMAT </w:instrText>
    </w:r>
    <w:r w:rsidRPr="005950B7">
      <w:rPr>
        <w:b/>
        <w:sz w:val="18"/>
      </w:rPr>
      <w:fldChar w:fldCharType="separate"/>
    </w:r>
    <w:r w:rsidR="00C923F6">
      <w:rPr>
        <w:b/>
        <w:noProof/>
        <w:sz w:val="18"/>
      </w:rPr>
      <w:t>3</w:t>
    </w:r>
    <w:r w:rsidRPr="005950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950B7" w:rsidRDefault="005950B7" w:rsidP="005950B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4A9C21" wp14:editId="4D548D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17-12385  (R)</w:t>
    </w:r>
    <w:r w:rsidR="00E13633">
      <w:t xml:space="preserve">  110817  170817</w:t>
    </w:r>
    <w:r>
      <w:br/>
    </w:r>
    <w:r w:rsidRPr="005950B7">
      <w:rPr>
        <w:rFonts w:ascii="C39T30Lfz" w:hAnsi="C39T30Lfz"/>
        <w:spacing w:val="0"/>
        <w:w w:val="100"/>
        <w:sz w:val="56"/>
      </w:rPr>
      <w:t></w:t>
    </w:r>
    <w:r w:rsidRPr="005950B7">
      <w:rPr>
        <w:rFonts w:ascii="C39T30Lfz" w:hAnsi="C39T30Lfz"/>
        <w:spacing w:val="0"/>
        <w:w w:val="100"/>
        <w:sz w:val="56"/>
      </w:rPr>
      <w:t></w:t>
    </w:r>
    <w:r w:rsidRPr="005950B7">
      <w:rPr>
        <w:rFonts w:ascii="C39T30Lfz" w:hAnsi="C39T30Lfz"/>
        <w:spacing w:val="0"/>
        <w:w w:val="100"/>
        <w:sz w:val="56"/>
      </w:rPr>
      <w:t></w:t>
    </w:r>
    <w:r w:rsidRPr="005950B7">
      <w:rPr>
        <w:rFonts w:ascii="C39T30Lfz" w:hAnsi="C39T30Lfz"/>
        <w:spacing w:val="0"/>
        <w:w w:val="100"/>
        <w:sz w:val="56"/>
      </w:rPr>
      <w:t></w:t>
    </w:r>
    <w:r w:rsidRPr="005950B7">
      <w:rPr>
        <w:rFonts w:ascii="C39T30Lfz" w:hAnsi="C39T30Lfz"/>
        <w:spacing w:val="0"/>
        <w:w w:val="100"/>
        <w:sz w:val="56"/>
      </w:rPr>
      <w:t></w:t>
    </w:r>
    <w:r w:rsidRPr="005950B7">
      <w:rPr>
        <w:rFonts w:ascii="C39T30Lfz" w:hAnsi="C39T30Lfz"/>
        <w:spacing w:val="0"/>
        <w:w w:val="100"/>
        <w:sz w:val="56"/>
      </w:rPr>
      <w:t></w:t>
    </w:r>
    <w:r w:rsidRPr="005950B7">
      <w:rPr>
        <w:rFonts w:ascii="C39T30Lfz" w:hAnsi="C39T30Lfz"/>
        <w:spacing w:val="0"/>
        <w:w w:val="100"/>
        <w:sz w:val="56"/>
      </w:rPr>
      <w:t></w:t>
    </w:r>
    <w:r w:rsidRPr="005950B7">
      <w:rPr>
        <w:rFonts w:ascii="C39T30Lfz" w:hAnsi="C39T30Lfz"/>
        <w:spacing w:val="0"/>
        <w:w w:val="100"/>
        <w:sz w:val="56"/>
      </w:rPr>
      <w:t></w:t>
    </w:r>
    <w:r w:rsidRPr="005950B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23" w:rsidRPr="001075E9" w:rsidRDefault="001555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5523" w:rsidRDefault="001555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B7" w:rsidRPr="005950B7" w:rsidRDefault="00C923F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B7" w:rsidRPr="005950B7" w:rsidRDefault="00C923F6" w:rsidP="005950B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27B"/>
    <w:multiLevelType w:val="multilevel"/>
    <w:tmpl w:val="8B40BF14"/>
    <w:styleLink w:val="WW8Num1"/>
    <w:lvl w:ilvl="0">
      <w:numFmt w:val="bullet"/>
      <w:pStyle w:val="Bullet1G"/>
      <w:lvlText w:val="•"/>
      <w:lvlJc w:val="left"/>
      <w:rPr>
        <w:rFonts w:ascii="Times New Roman" w:hAnsi="Times New Roman" w:cs="Times New Roman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  <w:lvlOverride w:ilvl="0">
      <w:lvl w:ilvl="0">
        <w:numFmt w:val="bullet"/>
        <w:pStyle w:val="Bullet1G"/>
        <w:lvlText w:val="•"/>
        <w:lvlJc w:val="left"/>
        <w:rPr>
          <w:rFonts w:ascii="Times New Roman" w:hAnsi="Times New Roman" w:cs="Times New Roman"/>
          <w:b w:val="0"/>
          <w:i w:val="0"/>
          <w:sz w:val="20"/>
        </w:rPr>
      </w:lvl>
    </w:lvlOverride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3"/>
    <w:rsid w:val="00005C36"/>
    <w:rsid w:val="00033EE1"/>
    <w:rsid w:val="00035A66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5523"/>
    <w:rsid w:val="00180183"/>
    <w:rsid w:val="0018024D"/>
    <w:rsid w:val="0018649F"/>
    <w:rsid w:val="00196389"/>
    <w:rsid w:val="001B3EF6"/>
    <w:rsid w:val="001C7A89"/>
    <w:rsid w:val="00255343"/>
    <w:rsid w:val="00265262"/>
    <w:rsid w:val="0027151D"/>
    <w:rsid w:val="0029303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811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0164"/>
    <w:rsid w:val="00407B78"/>
    <w:rsid w:val="00424203"/>
    <w:rsid w:val="00452493"/>
    <w:rsid w:val="00453318"/>
    <w:rsid w:val="00454AF2"/>
    <w:rsid w:val="00454E07"/>
    <w:rsid w:val="0045516B"/>
    <w:rsid w:val="00472C5C"/>
    <w:rsid w:val="004E05B7"/>
    <w:rsid w:val="0050108D"/>
    <w:rsid w:val="00513081"/>
    <w:rsid w:val="00517901"/>
    <w:rsid w:val="00526683"/>
    <w:rsid w:val="0054799A"/>
    <w:rsid w:val="005639C1"/>
    <w:rsid w:val="005709E0"/>
    <w:rsid w:val="00572E19"/>
    <w:rsid w:val="005950B7"/>
    <w:rsid w:val="005961C8"/>
    <w:rsid w:val="005966F1"/>
    <w:rsid w:val="005D7914"/>
    <w:rsid w:val="005E2B41"/>
    <w:rsid w:val="005E6236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760F"/>
    <w:rsid w:val="00825F8D"/>
    <w:rsid w:val="00834B71"/>
    <w:rsid w:val="008556D6"/>
    <w:rsid w:val="0086445C"/>
    <w:rsid w:val="008945BA"/>
    <w:rsid w:val="00894693"/>
    <w:rsid w:val="008A08D7"/>
    <w:rsid w:val="008A37C8"/>
    <w:rsid w:val="008B6909"/>
    <w:rsid w:val="008D01AF"/>
    <w:rsid w:val="008D53B6"/>
    <w:rsid w:val="008E379A"/>
    <w:rsid w:val="008F7609"/>
    <w:rsid w:val="00906890"/>
    <w:rsid w:val="00911BE4"/>
    <w:rsid w:val="00951972"/>
    <w:rsid w:val="009608F3"/>
    <w:rsid w:val="00981200"/>
    <w:rsid w:val="009A24AC"/>
    <w:rsid w:val="009C6FE6"/>
    <w:rsid w:val="009D7E7D"/>
    <w:rsid w:val="00A137E2"/>
    <w:rsid w:val="00A14DA8"/>
    <w:rsid w:val="00A312BC"/>
    <w:rsid w:val="00A84021"/>
    <w:rsid w:val="00A84D35"/>
    <w:rsid w:val="00A917B3"/>
    <w:rsid w:val="00AB1747"/>
    <w:rsid w:val="00AB4B51"/>
    <w:rsid w:val="00B04F51"/>
    <w:rsid w:val="00B10CC7"/>
    <w:rsid w:val="00B36DF7"/>
    <w:rsid w:val="00B43518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3F6"/>
    <w:rsid w:val="00C92939"/>
    <w:rsid w:val="00CA1679"/>
    <w:rsid w:val="00CB151C"/>
    <w:rsid w:val="00CE5A1A"/>
    <w:rsid w:val="00CF55F6"/>
    <w:rsid w:val="00CF5D85"/>
    <w:rsid w:val="00D33D63"/>
    <w:rsid w:val="00D5253A"/>
    <w:rsid w:val="00D90028"/>
    <w:rsid w:val="00D90138"/>
    <w:rsid w:val="00DA6F25"/>
    <w:rsid w:val="00DD63AF"/>
    <w:rsid w:val="00DD78D1"/>
    <w:rsid w:val="00DE32CD"/>
    <w:rsid w:val="00DF5767"/>
    <w:rsid w:val="00DF71B9"/>
    <w:rsid w:val="00E12C5F"/>
    <w:rsid w:val="00E13633"/>
    <w:rsid w:val="00E52718"/>
    <w:rsid w:val="00E73F76"/>
    <w:rsid w:val="00EA2C9F"/>
    <w:rsid w:val="00EA420E"/>
    <w:rsid w:val="00EB03BB"/>
    <w:rsid w:val="00ED0BDA"/>
    <w:rsid w:val="00ED52F2"/>
    <w:rsid w:val="00EE142A"/>
    <w:rsid w:val="00EF1360"/>
    <w:rsid w:val="00EF3220"/>
    <w:rsid w:val="00F2523A"/>
    <w:rsid w:val="00F43903"/>
    <w:rsid w:val="00F866EE"/>
    <w:rsid w:val="00F94155"/>
    <w:rsid w:val="00F9783F"/>
    <w:rsid w:val="00FD2EF7"/>
    <w:rsid w:val="00FE447E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842E2A9-50F7-4C72-87A3-CE089E2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B04F51"/>
    <w:pPr>
      <w:numPr>
        <w:numId w:val="19"/>
      </w:numPr>
      <w:suppressAutoHyphens/>
      <w:autoSpaceDN w:val="0"/>
      <w:spacing w:after="120"/>
      <w:ind w:right="1134"/>
      <w:jc w:val="both"/>
      <w:textAlignment w:val="baseline"/>
    </w:pPr>
    <w:rPr>
      <w:rFonts w:eastAsia="Times New Roman" w:cs="Times New Roman"/>
      <w:spacing w:val="0"/>
      <w:w w:val="100"/>
      <w:kern w:val="3"/>
      <w:szCs w:val="20"/>
      <w:lang w:val="en-GB"/>
    </w:rPr>
  </w:style>
  <w:style w:type="numbering" w:customStyle="1" w:styleId="WW8Num1">
    <w:name w:val="WW8Num1"/>
    <w:basedOn w:val="NoList"/>
    <w:rsid w:val="00B04F5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ECE/TRANS/WP.11/2017/6</vt:lpstr>
      <vt:lpstr>ECE/TRANS/WP.11/2017/6</vt:lpstr>
      <vt:lpstr>A/</vt:lpstr>
    </vt:vector>
  </TitlesOfParts>
  <Company>DCM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ECE/TRANS/WP.11/2017/6</dc:title>
  <dc:subject/>
  <dc:creator>Sharkina</dc:creator>
  <cp:keywords/>
  <cp:lastModifiedBy>Marie-Claude Collet</cp:lastModifiedBy>
  <cp:revision>3</cp:revision>
  <cp:lastPrinted>2017-08-28T08:59:00Z</cp:lastPrinted>
  <dcterms:created xsi:type="dcterms:W3CDTF">2017-08-28T08:59:00Z</dcterms:created>
  <dcterms:modified xsi:type="dcterms:W3CDTF">2017-08-28T08:59:00Z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