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483C1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483C19" w:rsidP="00483C19">
            <w:pPr>
              <w:jc w:val="right"/>
            </w:pPr>
            <w:r w:rsidRPr="00483C19">
              <w:rPr>
                <w:sz w:val="40"/>
              </w:rPr>
              <w:t>ECE</w:t>
            </w:r>
            <w:r>
              <w:t>/TRANS/SC.3/WP.3/2017/14</w:t>
            </w:r>
          </w:p>
        </w:tc>
      </w:tr>
      <w:tr w:rsidR="002D5AAC" w:rsidRPr="00A328D0"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483C19" w:rsidP="00387CD4">
            <w:pPr>
              <w:spacing w:before="240"/>
              <w:rPr>
                <w:lang w:val="en-US"/>
              </w:rPr>
            </w:pPr>
            <w:r>
              <w:rPr>
                <w:lang w:val="en-US"/>
              </w:rPr>
              <w:t>Distr.: General</w:t>
            </w:r>
          </w:p>
          <w:p w:rsidR="00483C19" w:rsidRDefault="00483C19" w:rsidP="00483C19">
            <w:pPr>
              <w:spacing w:line="240" w:lineRule="exact"/>
              <w:rPr>
                <w:lang w:val="en-US"/>
              </w:rPr>
            </w:pPr>
            <w:r>
              <w:rPr>
                <w:lang w:val="en-US"/>
              </w:rPr>
              <w:t>3 April 2017</w:t>
            </w:r>
          </w:p>
          <w:p w:rsidR="00483C19" w:rsidRDefault="00483C19" w:rsidP="00483C19">
            <w:pPr>
              <w:spacing w:line="240" w:lineRule="exact"/>
              <w:rPr>
                <w:lang w:val="en-US"/>
              </w:rPr>
            </w:pPr>
            <w:r>
              <w:rPr>
                <w:lang w:val="en-US"/>
              </w:rPr>
              <w:t>Russian</w:t>
            </w:r>
          </w:p>
          <w:p w:rsidR="00483C19" w:rsidRPr="008D53B6" w:rsidRDefault="00483C19" w:rsidP="00483C19">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483C19" w:rsidRPr="00582E6F" w:rsidRDefault="00483C19" w:rsidP="00483C19">
      <w:pPr>
        <w:spacing w:before="120"/>
        <w:rPr>
          <w:sz w:val="28"/>
          <w:szCs w:val="28"/>
        </w:rPr>
      </w:pPr>
      <w:r w:rsidRPr="00582E6F">
        <w:rPr>
          <w:sz w:val="28"/>
          <w:szCs w:val="28"/>
        </w:rPr>
        <w:t>Комитет по внутреннему транспорту</w:t>
      </w:r>
    </w:p>
    <w:p w:rsidR="00483C19" w:rsidRPr="00582E6F" w:rsidRDefault="00483C19" w:rsidP="00483C19">
      <w:pPr>
        <w:spacing w:before="120"/>
        <w:rPr>
          <w:b/>
          <w:sz w:val="24"/>
          <w:szCs w:val="24"/>
        </w:rPr>
      </w:pPr>
      <w:r w:rsidRPr="00582E6F">
        <w:rPr>
          <w:b/>
          <w:sz w:val="24"/>
          <w:szCs w:val="24"/>
        </w:rPr>
        <w:t>Рабочая группа по внутреннему водному транспорту</w:t>
      </w:r>
    </w:p>
    <w:p w:rsidR="00483C19" w:rsidRPr="00582E6F" w:rsidRDefault="00483C19" w:rsidP="00483C19">
      <w:pPr>
        <w:spacing w:before="120"/>
        <w:rPr>
          <w:b/>
        </w:rPr>
      </w:pPr>
      <w:r w:rsidRPr="0045083D">
        <w:rPr>
          <w:b/>
        </w:rPr>
        <w:t xml:space="preserve">Рабочая группа по унификации технических предписаний </w:t>
      </w:r>
      <w:r w:rsidR="00BD6B26" w:rsidRPr="00BD6B26">
        <w:rPr>
          <w:b/>
        </w:rPr>
        <w:br/>
      </w:r>
      <w:r w:rsidRPr="0045083D">
        <w:rPr>
          <w:b/>
        </w:rPr>
        <w:t xml:space="preserve">и </w:t>
      </w:r>
      <w:r w:rsidRPr="00BE7639">
        <w:rPr>
          <w:b/>
        </w:rPr>
        <w:t>правил безопасности на внутренних водных путях</w:t>
      </w:r>
    </w:p>
    <w:p w:rsidR="00483C19" w:rsidRPr="00582E6F" w:rsidRDefault="00483C19" w:rsidP="00483C19">
      <w:pPr>
        <w:spacing w:before="120"/>
        <w:rPr>
          <w:b/>
        </w:rPr>
      </w:pPr>
      <w:r>
        <w:rPr>
          <w:b/>
        </w:rPr>
        <w:t>Пятьдесят первая сессия</w:t>
      </w:r>
    </w:p>
    <w:p w:rsidR="00483C19" w:rsidRPr="00BD6B26" w:rsidRDefault="00483C19" w:rsidP="00483C19">
      <w:r>
        <w:t>Женева</w:t>
      </w:r>
      <w:r w:rsidR="00BD6B26">
        <w:t>, 14</w:t>
      </w:r>
      <w:r w:rsidR="00BD6B26">
        <w:rPr>
          <w:lang w:val="en-US"/>
        </w:rPr>
        <w:t>–</w:t>
      </w:r>
      <w:r w:rsidRPr="00BE7639">
        <w:t xml:space="preserve">16 </w:t>
      </w:r>
      <w:r>
        <w:t>июня</w:t>
      </w:r>
      <w:r w:rsidRPr="00BE7639">
        <w:t xml:space="preserve"> 2017</w:t>
      </w:r>
      <w:r>
        <w:t xml:space="preserve"> год</w:t>
      </w:r>
      <w:r w:rsidR="00BD6B26">
        <w:t>а</w:t>
      </w:r>
    </w:p>
    <w:p w:rsidR="00483C19" w:rsidRPr="00582E6F" w:rsidRDefault="00483C19" w:rsidP="00483C19">
      <w:r w:rsidRPr="00582E6F">
        <w:t xml:space="preserve">Пункт 3 </w:t>
      </w:r>
      <w:r w:rsidRPr="00582E6F">
        <w:rPr>
          <w:lang w:val="en-US"/>
        </w:rPr>
        <w:t>c</w:t>
      </w:r>
      <w:r w:rsidRPr="00582E6F">
        <w:t>) предварительной повестки дня</w:t>
      </w:r>
    </w:p>
    <w:p w:rsidR="00483C19" w:rsidRDefault="00483C19" w:rsidP="00483C19">
      <w:pPr>
        <w:pStyle w:val="SingleTxtG"/>
        <w:spacing w:after="0"/>
        <w:ind w:left="0" w:right="1138"/>
        <w:jc w:val="left"/>
        <w:rPr>
          <w:b/>
        </w:rPr>
      </w:pPr>
      <w:r w:rsidRPr="0045083D">
        <w:rPr>
          <w:b/>
        </w:rPr>
        <w:t xml:space="preserve">Унификации технических предписаний и правил </w:t>
      </w:r>
      <w:r w:rsidR="00BD6B26">
        <w:rPr>
          <w:b/>
        </w:rPr>
        <w:br/>
      </w:r>
      <w:r w:rsidRPr="0045083D">
        <w:rPr>
          <w:b/>
        </w:rPr>
        <w:t xml:space="preserve">безопасности </w:t>
      </w:r>
      <w:r w:rsidRPr="0068445A">
        <w:rPr>
          <w:b/>
        </w:rPr>
        <w:t xml:space="preserve">на внутренних водных путях: </w:t>
      </w:r>
      <w:r w:rsidR="00BD6B26">
        <w:rPr>
          <w:b/>
        </w:rPr>
        <w:br/>
      </w:r>
      <w:r w:rsidRPr="0068445A">
        <w:rPr>
          <w:b/>
        </w:rPr>
        <w:t>Рекомендации, касающиеся согласованных</w:t>
      </w:r>
    </w:p>
    <w:p w:rsidR="00483C19" w:rsidRPr="00582E6F" w:rsidRDefault="00483C19" w:rsidP="00483C19">
      <w:pPr>
        <w:pStyle w:val="SingleTxtG"/>
        <w:ind w:left="0"/>
        <w:jc w:val="left"/>
        <w:rPr>
          <w:b/>
        </w:rPr>
      </w:pPr>
      <w:r w:rsidRPr="0068445A">
        <w:rPr>
          <w:b/>
        </w:rPr>
        <w:t xml:space="preserve">на европейском уровне технических предписаний, </w:t>
      </w:r>
      <w:r w:rsidR="00BD6B26">
        <w:rPr>
          <w:b/>
        </w:rPr>
        <w:br/>
      </w:r>
      <w:r w:rsidRPr="0068445A">
        <w:rPr>
          <w:b/>
        </w:rPr>
        <w:t xml:space="preserve">применимых к судам внутреннего плавания </w:t>
      </w:r>
      <w:r w:rsidR="00BD6B26">
        <w:rPr>
          <w:b/>
        </w:rPr>
        <w:br/>
      </w:r>
      <w:r w:rsidRPr="0068445A">
        <w:rPr>
          <w:b/>
        </w:rPr>
        <w:t>(пересмотренная резолюция № 61)</w:t>
      </w:r>
    </w:p>
    <w:p w:rsidR="00483C19" w:rsidRPr="00483C19" w:rsidRDefault="00483C19" w:rsidP="00483C19">
      <w:pPr>
        <w:pStyle w:val="HChGR"/>
      </w:pPr>
      <w:bookmarkStart w:id="1" w:name="OLE_LINK8"/>
      <w:bookmarkStart w:id="2" w:name="OLE_LINK9"/>
      <w:r w:rsidRPr="0052007C">
        <w:tab/>
      </w:r>
      <w:r w:rsidRPr="0052007C">
        <w:tab/>
      </w:r>
      <w:r w:rsidRPr="00483C19">
        <w:t xml:space="preserve">Согласование глав 7, 10, 12 и 13 приложения </w:t>
      </w:r>
      <w:r w:rsidRPr="00483C19">
        <w:br/>
        <w:t xml:space="preserve">к пересмотренной резолюции № 61 с Европейским стандартом, устанавливающим технические требования для судов внутреннего плавания </w:t>
      </w:r>
      <w:r w:rsidRPr="00483C19">
        <w:br/>
        <w:t>(ЕС-ТТСВП)</w:t>
      </w:r>
    </w:p>
    <w:bookmarkEnd w:id="1"/>
    <w:bookmarkEnd w:id="2"/>
    <w:p w:rsidR="00483C19" w:rsidRPr="00483C19" w:rsidRDefault="00483C19" w:rsidP="00483C19">
      <w:pPr>
        <w:pStyle w:val="H1GR"/>
      </w:pPr>
      <w:r w:rsidRPr="00483C19">
        <w:tab/>
      </w:r>
      <w:r w:rsidRPr="00483C19">
        <w:tab/>
        <w:t>Записка секретариата</w:t>
      </w:r>
    </w:p>
    <w:p w:rsidR="00483C19" w:rsidRPr="00483C19" w:rsidRDefault="00483C19" w:rsidP="00483C19">
      <w:pPr>
        <w:pStyle w:val="HChGR"/>
      </w:pPr>
      <w:r w:rsidRPr="00483C19">
        <w:tab/>
      </w:r>
      <w:r w:rsidRPr="00483C19">
        <w:tab/>
        <w:t>Мандат</w:t>
      </w:r>
    </w:p>
    <w:p w:rsidR="00483C19" w:rsidRPr="00483C19" w:rsidRDefault="00483C19" w:rsidP="00483C19">
      <w:pPr>
        <w:pStyle w:val="SingleTxtGR"/>
      </w:pPr>
      <w:r w:rsidRPr="00483C19">
        <w:t>1.</w:t>
      </w:r>
      <w:r w:rsidRPr="00483C19">
        <w:tab/>
        <w:t>Настоящий документ представлен в соответствии с пунктом 5.1 напра</w:t>
      </w:r>
      <w:r w:rsidRPr="00483C19">
        <w:t>в</w:t>
      </w:r>
      <w:r w:rsidRPr="00483C19">
        <w:t>ления деятельности 5 «Внутренний водный транспорт» программы работы на 2016–2017 годы (ECE/TRANS/2016/28/Add.1), утвержденной Комитетом по внутреннему транспорту на его семьдесят восьмой сессии 26 февраля 2016 г</w:t>
      </w:r>
      <w:r w:rsidRPr="00483C19">
        <w:t>о</w:t>
      </w:r>
      <w:r w:rsidRPr="00483C19">
        <w:t>да.</w:t>
      </w:r>
    </w:p>
    <w:p w:rsidR="00483C19" w:rsidRPr="00483C19" w:rsidRDefault="00483C19" w:rsidP="00483C19">
      <w:pPr>
        <w:pStyle w:val="SingleTxtGR"/>
      </w:pPr>
      <w:r w:rsidRPr="00483C19">
        <w:t>2.</w:t>
      </w:r>
      <w:r w:rsidRPr="00483C19">
        <w:tab/>
        <w:t>В связи с решением Рабочей группы по внутреннему водному транспорту (SC.3), принятым на ее шестидесятой сессии, согласовать это приложение к р</w:t>
      </w:r>
      <w:r w:rsidRPr="00483C19">
        <w:t>е</w:t>
      </w:r>
      <w:r w:rsidRPr="00483C19">
        <w:t>золюции</w:t>
      </w:r>
      <w:r w:rsidR="00BD6B26">
        <w:t> </w:t>
      </w:r>
      <w:r w:rsidRPr="00483C19">
        <w:t>№ 61 с Европейским стандартом, устанавливающим технические тр</w:t>
      </w:r>
      <w:r w:rsidRPr="00483C19">
        <w:t>е</w:t>
      </w:r>
      <w:r w:rsidRPr="00483C19">
        <w:t>бования для судов внутреннего плавания (стандарт ЕС-ТТСВП)</w:t>
      </w:r>
      <w:r w:rsidRPr="00483C19">
        <w:rPr>
          <w:sz w:val="18"/>
          <w:vertAlign w:val="superscript"/>
        </w:rPr>
        <w:footnoteReference w:id="1"/>
      </w:r>
      <w:r w:rsidRPr="00483C19">
        <w:t xml:space="preserve"> (ECE/TRANS/</w:t>
      </w:r>
      <w:r w:rsidR="00BD6B26">
        <w:t xml:space="preserve"> </w:t>
      </w:r>
      <w:r w:rsidRPr="00483C19">
        <w:t>SC.3/203, пункт 67), принятым Европейским комитетом по разработке общих стандартов в области внутреннего судоходства (КЕСНИ), SC</w:t>
      </w:r>
      <w:r w:rsidR="00BD6B26">
        <w:t>.</w:t>
      </w:r>
      <w:r w:rsidRPr="00483C19">
        <w:t>3/WP</w:t>
      </w:r>
      <w:r w:rsidR="00BD6B26">
        <w:t>.</w:t>
      </w:r>
      <w:r w:rsidRPr="00483C19">
        <w:t xml:space="preserve">3 просила секретариат продолжить пересмотр приложения к резолюции № 61 на основе </w:t>
      </w:r>
      <w:r w:rsidRPr="00483C19">
        <w:lastRenderedPageBreak/>
        <w:t>анализа, который содержи</w:t>
      </w:r>
      <w:r w:rsidR="00BD6B26">
        <w:t>тся в документе ECE/TRANS/SC.3/</w:t>
      </w:r>
      <w:r w:rsidRPr="00483C19">
        <w:t>WP.3/2017/7 (ECE/TRANS/SC.3/WP.3/100, пункт 42).</w:t>
      </w:r>
    </w:p>
    <w:p w:rsidR="00E12C5F" w:rsidRPr="00CF09E5" w:rsidRDefault="00483C19" w:rsidP="00483C19">
      <w:pPr>
        <w:pStyle w:val="SingleTxtGR"/>
      </w:pPr>
      <w:r w:rsidRPr="00483C19">
        <w:t>3.</w:t>
      </w:r>
      <w:r w:rsidRPr="00483C19">
        <w:tab/>
        <w:t xml:space="preserve">SC.3/WP.3, возможно, пожелает использовать текст положений </w:t>
      </w:r>
      <w:r w:rsidR="00CF09E5" w:rsidRPr="00CF09E5">
        <w:br/>
      </w:r>
      <w:r w:rsidRPr="00483C19">
        <w:t>ЕС-ТТСВП, воспроизведенных в приложении к настоящему документу, в кач</w:t>
      </w:r>
      <w:r w:rsidRPr="00483C19">
        <w:t>е</w:t>
      </w:r>
      <w:r w:rsidRPr="00483C19">
        <w:t xml:space="preserve">стве основы для </w:t>
      </w:r>
      <w:bookmarkStart w:id="3" w:name="_Hlk479967885"/>
      <w:r w:rsidRPr="00483C19">
        <w:t>обновления глав 7, 10 и 12 приложения к резолюции № 61 и разработки новой главы 13</w:t>
      </w:r>
      <w:bookmarkEnd w:id="3"/>
      <w:r w:rsidRPr="00483C19">
        <w:t>.</w:t>
      </w:r>
    </w:p>
    <w:p w:rsidR="00483C19" w:rsidRPr="00483C19" w:rsidRDefault="00483C19" w:rsidP="00CF09E5">
      <w:pPr>
        <w:pStyle w:val="HChGR"/>
      </w:pPr>
      <w:r w:rsidRPr="00483C19">
        <w:br w:type="page"/>
      </w:r>
      <w:r w:rsidRPr="00483C19">
        <w:lastRenderedPageBreak/>
        <w:t>Приложение</w:t>
      </w:r>
    </w:p>
    <w:p w:rsidR="00483C19" w:rsidRPr="00483C19" w:rsidRDefault="00483C19" w:rsidP="00CF09E5">
      <w:pPr>
        <w:pStyle w:val="HChGR"/>
      </w:pPr>
      <w:r w:rsidRPr="00483C19">
        <w:tab/>
      </w:r>
      <w:r w:rsidRPr="00483C19">
        <w:tab/>
        <w:t xml:space="preserve">Предложение по обновлению глав 7, 10 и 12 </w:t>
      </w:r>
      <w:r w:rsidR="00CF09E5" w:rsidRPr="00CF09E5">
        <w:br/>
      </w:r>
      <w:r w:rsidRPr="00483C19">
        <w:t xml:space="preserve">и разработке новой главы 13 приложения </w:t>
      </w:r>
      <w:r w:rsidR="00CF09E5" w:rsidRPr="00CF09E5">
        <w:br/>
      </w:r>
      <w:r w:rsidRPr="00483C19">
        <w:t>к пересмотренной резолюции № 61</w:t>
      </w:r>
    </w:p>
    <w:p w:rsidR="00483C19" w:rsidRPr="00483C19" w:rsidRDefault="00483C19" w:rsidP="00CF09E5">
      <w:pPr>
        <w:pStyle w:val="HChGR"/>
        <w:rPr>
          <w:bCs/>
        </w:rPr>
      </w:pPr>
      <w:r w:rsidRPr="00483C19">
        <w:tab/>
      </w:r>
      <w:r w:rsidRPr="00483C19">
        <w:rPr>
          <w:lang w:val="en-US"/>
        </w:rPr>
        <w:t>I</w:t>
      </w:r>
      <w:r w:rsidRPr="00483C19">
        <w:t>.</w:t>
      </w:r>
      <w:r w:rsidRPr="00483C19">
        <w:tab/>
        <w:t>Предложение по обновлению главы 7:</w:t>
      </w:r>
      <w:r w:rsidR="00CF09E5">
        <w:t xml:space="preserve"> </w:t>
      </w:r>
      <w:r w:rsidRPr="00483C19">
        <w:t>Рулевая рубка</w:t>
      </w:r>
    </w:p>
    <w:p w:rsidR="00483C19" w:rsidRPr="00483C19" w:rsidRDefault="00CF09E5" w:rsidP="00483C19">
      <w:pPr>
        <w:pStyle w:val="SingleTxtGR"/>
      </w:pPr>
      <w:bookmarkStart w:id="4" w:name="_Hlk480027814"/>
      <w:r w:rsidRPr="00CF09E5">
        <w:tab/>
      </w:r>
      <w:r w:rsidR="00483C19" w:rsidRPr="00483C19">
        <w:t>В настоящем разделе воспроизводится текст статей 7.02, 19.01.5 и 19.01.6</w:t>
      </w:r>
      <w:r>
        <w:t xml:space="preserve"> </w:t>
      </w:r>
      <w:r w:rsidR="00483C19" w:rsidRPr="00483C19">
        <w:t>ЕС-ТТСВП</w:t>
      </w:r>
      <w:bookmarkEnd w:id="4"/>
      <w:r w:rsidR="00483C19" w:rsidRPr="00483C19">
        <w:t>.</w:t>
      </w:r>
    </w:p>
    <w:p w:rsidR="00483C19" w:rsidRPr="00483C19" w:rsidRDefault="00CF09E5" w:rsidP="00187CDA">
      <w:pPr>
        <w:pStyle w:val="SingleTxtGR"/>
        <w:spacing w:before="240"/>
        <w:jc w:val="center"/>
        <w:rPr>
          <w:b/>
        </w:rPr>
      </w:pPr>
      <w:r>
        <w:t>«</w:t>
      </w:r>
      <w:r w:rsidR="00483C19" w:rsidRPr="00483C19">
        <w:rPr>
          <w:b/>
        </w:rPr>
        <w:t>Статья 7.02</w:t>
      </w:r>
      <w:bookmarkStart w:id="5" w:name="_Toc436115006"/>
      <w:r w:rsidR="00483C19" w:rsidRPr="00483C19">
        <w:rPr>
          <w:b/>
        </w:rPr>
        <w:br/>
      </w:r>
      <w:bookmarkEnd w:id="5"/>
      <w:r w:rsidR="00483C19" w:rsidRPr="00483C19">
        <w:rPr>
          <w:b/>
        </w:rPr>
        <w:t>Беспрепятственный обзор</w:t>
      </w:r>
    </w:p>
    <w:p w:rsidR="00483C19" w:rsidRPr="00483C19" w:rsidRDefault="00483C19" w:rsidP="00483C19">
      <w:pPr>
        <w:pStyle w:val="SingleTxtGR"/>
      </w:pPr>
      <w:r w:rsidRPr="00483C19">
        <w:t>1.</w:t>
      </w:r>
      <w:r w:rsidRPr="00483C19">
        <w:tab/>
        <w:t>С рулевого поста должен быть обеспечен беспрепятственный обзор во всех направлениях.</w:t>
      </w:r>
    </w:p>
    <w:p w:rsidR="00483C19" w:rsidRPr="00483C19" w:rsidRDefault="00483C19" w:rsidP="00483C19">
      <w:pPr>
        <w:pStyle w:val="SingleTxtGR"/>
      </w:pPr>
      <w:r w:rsidRPr="00483C19">
        <w:t>2.</w:t>
      </w:r>
      <w:r w:rsidRPr="00483C19">
        <w:tab/>
        <w:t>Затрудненный обзор с поста рулевого впереди судна в незагруженном с</w:t>
      </w:r>
      <w:r w:rsidRPr="00483C19">
        <w:t>о</w:t>
      </w:r>
      <w:r w:rsidRPr="00483C19">
        <w:t>стоянии с половиной запасов, но без балласта не должен превышать 250 м.</w:t>
      </w:r>
    </w:p>
    <w:p w:rsidR="00483C19" w:rsidRPr="00483C19" w:rsidRDefault="00483C19" w:rsidP="00483C19">
      <w:pPr>
        <w:pStyle w:val="SingleTxtGR"/>
      </w:pPr>
      <w:r w:rsidRPr="00483C19">
        <w:tab/>
        <w:t>Для дополнительного ограничения затрудненного обзора используются только надлежащие вспомогательные средства.</w:t>
      </w:r>
    </w:p>
    <w:p w:rsidR="00483C19" w:rsidRPr="00483C19" w:rsidRDefault="00483C19" w:rsidP="00483C19">
      <w:pPr>
        <w:pStyle w:val="SingleTxtGR"/>
      </w:pPr>
      <w:r w:rsidRPr="00483C19">
        <w:tab/>
        <w:t>В ходе освидетельствования вспомогательные средства ограничения з</w:t>
      </w:r>
      <w:r w:rsidRPr="00483C19">
        <w:t>а</w:t>
      </w:r>
      <w:r w:rsidRPr="00483C19">
        <w:t>трудненного обзора во внимание не принимаются.</w:t>
      </w:r>
    </w:p>
    <w:p w:rsidR="00483C19" w:rsidRPr="00483C19" w:rsidRDefault="00483C19" w:rsidP="00483C19">
      <w:pPr>
        <w:pStyle w:val="SingleTxtGR"/>
      </w:pPr>
      <w:r w:rsidRPr="00483C19">
        <w:t>3.</w:t>
      </w:r>
      <w:r w:rsidRPr="00483C19">
        <w:tab/>
        <w:t>Поле беспрепятственного обзора рулевого в нормальном положении должно составлять не менее 240° по горизонту и не менее 140° в пределах п</w:t>
      </w:r>
      <w:r w:rsidRPr="00483C19">
        <w:t>о</w:t>
      </w:r>
      <w:r w:rsidRPr="00483C19">
        <w:t>лукруга, расположенного впереди.</w:t>
      </w:r>
    </w:p>
    <w:p w:rsidR="00483C19" w:rsidRPr="00483C19" w:rsidRDefault="00483C19" w:rsidP="00483C19">
      <w:pPr>
        <w:pStyle w:val="SingleTxtGR"/>
      </w:pPr>
      <w:r w:rsidRPr="00483C19">
        <w:tab/>
        <w:t>На оси обычного поля обзора рулевого не должно быть иллюминаторных рам, стоек или надстройки.</w:t>
      </w:r>
    </w:p>
    <w:p w:rsidR="00483C19" w:rsidRPr="00483C19" w:rsidRDefault="00483C19" w:rsidP="00483C19">
      <w:pPr>
        <w:pStyle w:val="SingleTxtGR"/>
      </w:pPr>
      <w:r w:rsidRPr="00483C19">
        <w:tab/>
        <w:t>Даже в случае обеспечения беспрепятственного поля обзора не менее 240° по горизонту орган по освидетельствованию может потребовать принятия других мер и, в частности, установку соответствующих вспомогательных средств, если достаточное поле беспрепятственного обзора не обеспечено в направлении назад.</w:t>
      </w:r>
      <w:r w:rsidR="00CF09E5">
        <w:t xml:space="preserve"> </w:t>
      </w:r>
      <w:r w:rsidRPr="00483C19">
        <w:t>Нижний край бортовых иллюминаторов должен быть ра</w:t>
      </w:r>
      <w:r w:rsidRPr="00483C19">
        <w:t>с</w:t>
      </w:r>
      <w:r w:rsidRPr="00483C19">
        <w:t>положен как можно ниже, а верхний край бортовых и кормовых иллюминаторов должен быть как можно выше.</w:t>
      </w:r>
    </w:p>
    <w:p w:rsidR="00483C19" w:rsidRPr="00483C19" w:rsidRDefault="00CF09E5" w:rsidP="00483C19">
      <w:pPr>
        <w:pStyle w:val="SingleTxtGR"/>
      </w:pPr>
      <w:r>
        <w:tab/>
      </w:r>
      <w:r w:rsidR="00483C19" w:rsidRPr="00483C19">
        <w:t>При выяснении вопроса о том, соблюдаются ли требования настоящей статьи в отношении обзора из рулевой рубки, предполагается, что глаза рулев</w:t>
      </w:r>
      <w:r w:rsidR="00483C19" w:rsidRPr="00483C19">
        <w:t>о</w:t>
      </w:r>
      <w:r w:rsidR="00483C19" w:rsidRPr="00483C19">
        <w:t>го, находящегося на посту управления, расположены на высоте 1,65 м от уровня пола рулевой рубки.</w:t>
      </w:r>
    </w:p>
    <w:p w:rsidR="00483C19" w:rsidRPr="00483C19" w:rsidRDefault="00483C19" w:rsidP="00483C19">
      <w:pPr>
        <w:pStyle w:val="SingleTxtGR"/>
      </w:pPr>
      <w:r w:rsidRPr="00483C19">
        <w:t>4.</w:t>
      </w:r>
      <w:r w:rsidRPr="00483C19">
        <w:tab/>
        <w:t>Верхний край носовых иллюминаторов рулевой рубки должен быть ра</w:t>
      </w:r>
      <w:r w:rsidRPr="00483C19">
        <w:t>с</w:t>
      </w:r>
      <w:r w:rsidRPr="00483C19">
        <w:t>положен на высоте, достаточной для того, чтобы у лица, находящегося на посту управления, был четкий обзор в направлении вперед.</w:t>
      </w:r>
    </w:p>
    <w:p w:rsidR="00483C19" w:rsidRPr="00483C19" w:rsidRDefault="00483C19" w:rsidP="00483C19">
      <w:pPr>
        <w:pStyle w:val="SingleTxtGR"/>
      </w:pPr>
      <w:r w:rsidRPr="00483C19">
        <w:tab/>
        <w:t>Считается, что это требование выполнено, если у лица, находящегося на посту управления, у которого глаза расположены на высоте 1,80 м от уровня пола, есть четкое поле обзора не менее 10° над горизонталью, проходящей на уровне глаз.</w:t>
      </w:r>
    </w:p>
    <w:p w:rsidR="00483C19" w:rsidRPr="00483C19" w:rsidRDefault="00483C19" w:rsidP="00483C19">
      <w:pPr>
        <w:pStyle w:val="SingleTxtGR"/>
      </w:pPr>
      <w:r w:rsidRPr="00483C19">
        <w:t>5.</w:t>
      </w:r>
      <w:r w:rsidRPr="00483C19">
        <w:tab/>
        <w:t>Во всех погодных условиях должны быть предусмотрены надлежащие средства, обеспечивающие четкое поле обзора через носовые иллюминаторы.</w:t>
      </w:r>
    </w:p>
    <w:p w:rsidR="00483C19" w:rsidRPr="00483C19" w:rsidRDefault="00483C19" w:rsidP="00483C19">
      <w:pPr>
        <w:pStyle w:val="SingleTxtGR"/>
      </w:pPr>
      <w:r w:rsidRPr="00483C19">
        <w:t>6.</w:t>
      </w:r>
      <w:r w:rsidRPr="00483C19">
        <w:tab/>
        <w:t>Остекление, используемое в рулевой рубке, должно быть изготовлено из безопасного стекла, а его светопропускаемость должна составлять не менее 75%.</w:t>
      </w:r>
    </w:p>
    <w:p w:rsidR="00483C19" w:rsidRPr="00483C19" w:rsidRDefault="00CF09E5" w:rsidP="00483C19">
      <w:pPr>
        <w:pStyle w:val="SingleTxtGR"/>
      </w:pPr>
      <w:r>
        <w:tab/>
      </w:r>
      <w:r w:rsidR="00483C19" w:rsidRPr="00483C19">
        <w:t xml:space="preserve">Во избежание отражений носовые иллюминаторы рулевой рубки должны иметь противобликовую защиту или быть установлены таким образом, чтобы эффективно исключить возможность отражений. </w:t>
      </w:r>
    </w:p>
    <w:p w:rsidR="00483C19" w:rsidRPr="00483C19" w:rsidRDefault="00CF09E5" w:rsidP="00483C19">
      <w:pPr>
        <w:pStyle w:val="SingleTxtGR"/>
      </w:pPr>
      <w:r>
        <w:tab/>
      </w:r>
      <w:r w:rsidR="00483C19" w:rsidRPr="00483C19">
        <w:t>Требование, содержащееся во втором предложении, считается выполне</w:t>
      </w:r>
      <w:r w:rsidR="00483C19" w:rsidRPr="00483C19">
        <w:t>н</w:t>
      </w:r>
      <w:r w:rsidR="00483C19" w:rsidRPr="00483C19">
        <w:t>ным, если окна отклонены от вертикальной плоскости на угол не менее 10° и не более 25°.</w:t>
      </w:r>
    </w:p>
    <w:p w:rsidR="00483C19" w:rsidRPr="00483C19" w:rsidRDefault="00483C19" w:rsidP="00CF09E5">
      <w:pPr>
        <w:pStyle w:val="SingleTxtGR"/>
        <w:jc w:val="center"/>
      </w:pPr>
      <w:r w:rsidRPr="00483C19">
        <w:t>…</w:t>
      </w:r>
    </w:p>
    <w:p w:rsidR="00483C19" w:rsidRPr="00483C19" w:rsidRDefault="00483C19" w:rsidP="00CF09E5">
      <w:pPr>
        <w:pStyle w:val="SingleTxtGR"/>
        <w:jc w:val="center"/>
        <w:rPr>
          <w:b/>
        </w:rPr>
      </w:pPr>
      <w:bookmarkStart w:id="6" w:name="_Toc436115126"/>
      <w:r w:rsidRPr="00483C19">
        <w:rPr>
          <w:b/>
        </w:rPr>
        <w:t>Статья 19.01</w:t>
      </w:r>
      <w:r w:rsidRPr="00483C19">
        <w:rPr>
          <w:b/>
        </w:rPr>
        <w:br/>
        <w:t>Общие положения</w:t>
      </w:r>
      <w:bookmarkEnd w:id="6"/>
    </w:p>
    <w:p w:rsidR="00483C19" w:rsidRPr="00483C19" w:rsidRDefault="00483C19" w:rsidP="00CF09E5">
      <w:pPr>
        <w:pStyle w:val="SingleTxtGR"/>
        <w:jc w:val="center"/>
      </w:pPr>
      <w:r w:rsidRPr="00483C19">
        <w:t>…</w:t>
      </w:r>
    </w:p>
    <w:p w:rsidR="00483C19" w:rsidRPr="00483C19" w:rsidRDefault="00483C19" w:rsidP="00483C19">
      <w:pPr>
        <w:pStyle w:val="SingleTxtGR"/>
      </w:pPr>
      <w:r w:rsidRPr="00483C19">
        <w:t>5.</w:t>
      </w:r>
      <w:r w:rsidRPr="00483C19">
        <w:tab/>
        <w:t>В отступление от первого предложения пункта 2 статьи 7.02 затрудне</w:t>
      </w:r>
      <w:r w:rsidRPr="00483C19">
        <w:t>н</w:t>
      </w:r>
      <w:r w:rsidRPr="00483C19">
        <w:t>ный обзор с поста рулевого впереди судна в незагруженном состоянии с пол</w:t>
      </w:r>
      <w:r w:rsidRPr="00483C19">
        <w:t>о</w:t>
      </w:r>
      <w:r w:rsidRPr="00483C19">
        <w:t>виной запасов, но без балласта не должен превышать</w:t>
      </w:r>
      <w:r w:rsidR="00CF09E5">
        <w:t xml:space="preserve"> две длины судна или 250 </w:t>
      </w:r>
      <w:r w:rsidRPr="00483C19">
        <w:t>м в зависимости от того, какая величина меньше.</w:t>
      </w:r>
    </w:p>
    <w:p w:rsidR="00483C19" w:rsidRPr="00483C19" w:rsidRDefault="00483C19" w:rsidP="00483C19">
      <w:pPr>
        <w:pStyle w:val="SingleTxtGR"/>
      </w:pPr>
      <w:r w:rsidRPr="00483C19">
        <w:t>6.</w:t>
      </w:r>
      <w:r w:rsidRPr="00483C19">
        <w:tab/>
        <w:t>В отступление от третьего подпункта пункта 3 статьи 7.02 пассажирское судно должно быть оснащено соответствующими вспомогательными средств</w:t>
      </w:r>
      <w:r w:rsidRPr="00483C19">
        <w:t>а</w:t>
      </w:r>
      <w:r w:rsidRPr="00483C19">
        <w:t>ми, если достаточное поле беспрепятственного обзора не обеспечено в напра</w:t>
      </w:r>
      <w:r w:rsidRPr="00483C19">
        <w:t>в</w:t>
      </w:r>
      <w:r w:rsidRPr="00483C19">
        <w:t>лении назад.</w:t>
      </w:r>
      <w:r w:rsidR="00CF09E5">
        <w:t xml:space="preserve"> </w:t>
      </w:r>
      <w:r w:rsidRPr="00483C19">
        <w:t>Если эти вспомогательные средства не позволяют обеспечить бе</w:t>
      </w:r>
      <w:r w:rsidRPr="00483C19">
        <w:t>с</w:t>
      </w:r>
      <w:r w:rsidRPr="00483C19">
        <w:t>препятственный обзор в ночное время, то в графу 52 свидетельства судна вну</w:t>
      </w:r>
      <w:r w:rsidRPr="00483C19">
        <w:t>т</w:t>
      </w:r>
      <w:r w:rsidRPr="00483C19">
        <w:t>реннего плавания вносится соответствующее ограничение</w:t>
      </w:r>
      <w:r w:rsidR="00CF09E5">
        <w:t>»</w:t>
      </w:r>
      <w:r w:rsidRPr="00483C19">
        <w:t>.</w:t>
      </w:r>
    </w:p>
    <w:p w:rsidR="00483C19" w:rsidRPr="00483C19" w:rsidRDefault="00483C19" w:rsidP="00CF09E5">
      <w:pPr>
        <w:pStyle w:val="HChGR"/>
        <w:rPr>
          <w:bCs/>
        </w:rPr>
      </w:pPr>
      <w:bookmarkStart w:id="7" w:name="_Toc436115201"/>
      <w:r w:rsidRPr="00483C19">
        <w:tab/>
      </w:r>
      <w:r w:rsidRPr="00483C19">
        <w:rPr>
          <w:lang w:val="en-US"/>
        </w:rPr>
        <w:t>II</w:t>
      </w:r>
      <w:r w:rsidRPr="00483C19">
        <w:t>.</w:t>
      </w:r>
      <w:r w:rsidRPr="00483C19">
        <w:tab/>
        <w:t>Предложение по обновлению главы 10:</w:t>
      </w:r>
      <w:r w:rsidR="00CF09E5">
        <w:t xml:space="preserve"> </w:t>
      </w:r>
      <w:r w:rsidRPr="00483C19">
        <w:t>Оборудование</w:t>
      </w:r>
    </w:p>
    <w:p w:rsidR="00483C19" w:rsidRPr="00483C19" w:rsidRDefault="00CF09E5" w:rsidP="00483C19">
      <w:pPr>
        <w:pStyle w:val="SingleTxtGR"/>
      </w:pPr>
      <w:r>
        <w:tab/>
      </w:r>
      <w:r w:rsidR="00483C19" w:rsidRPr="00483C19">
        <w:t>В настоящем разделе воспроизводится текст статей 13.01.11</w:t>
      </w:r>
      <w:r>
        <w:t>–</w:t>
      </w:r>
      <w:r w:rsidR="00187CDA">
        <w:t xml:space="preserve">13.01.14, 13.02.3 </w:t>
      </w:r>
      <w:r w:rsidR="00483C19" w:rsidRPr="00483C19">
        <w:t>b), 13.04, 13.05 и 13.06 ЕС-ТТСВП.</w:t>
      </w:r>
    </w:p>
    <w:p w:rsidR="00483C19" w:rsidRPr="00483C19" w:rsidRDefault="00CF09E5" w:rsidP="00187CDA">
      <w:pPr>
        <w:pStyle w:val="SingleTxtGR"/>
        <w:spacing w:before="240"/>
        <w:jc w:val="center"/>
      </w:pPr>
      <w:bookmarkStart w:id="8" w:name="_Toc436115207"/>
      <w:bookmarkEnd w:id="7"/>
      <w:r>
        <w:t>«</w:t>
      </w:r>
      <w:r w:rsidR="00483C19" w:rsidRPr="00483C19">
        <w:rPr>
          <w:b/>
        </w:rPr>
        <w:t xml:space="preserve">Статья </w:t>
      </w:r>
      <w:bookmarkStart w:id="9" w:name="_Toc436115058"/>
      <w:bookmarkEnd w:id="8"/>
      <w:r w:rsidR="00483C19" w:rsidRPr="00483C19">
        <w:rPr>
          <w:b/>
        </w:rPr>
        <w:t>13.01</w:t>
      </w:r>
      <w:r w:rsidR="00483C19" w:rsidRPr="00483C19">
        <w:rPr>
          <w:b/>
        </w:rPr>
        <w:br/>
        <w:t>Якорное оборудование</w:t>
      </w:r>
      <w:bookmarkEnd w:id="9"/>
    </w:p>
    <w:p w:rsidR="00483C19" w:rsidRPr="00483C19" w:rsidRDefault="00483C19" w:rsidP="00CF09E5">
      <w:pPr>
        <w:pStyle w:val="SingleTxtGR"/>
        <w:jc w:val="center"/>
      </w:pPr>
      <w:r w:rsidRPr="00483C19">
        <w:t>…</w:t>
      </w:r>
    </w:p>
    <w:p w:rsidR="00483C19" w:rsidRPr="00483C19" w:rsidRDefault="00483C19" w:rsidP="00483C19">
      <w:pPr>
        <w:pStyle w:val="SingleTxtGR"/>
      </w:pPr>
      <w:r w:rsidRPr="00483C19">
        <w:t>11.</w:t>
      </w:r>
      <w:r w:rsidRPr="00483C19">
        <w:tab/>
        <w:t>Минимальное разрывное усилие</w:t>
      </w:r>
      <m:oMath>
        <m:r>
          <w:rPr>
            <w:rFonts w:ascii="Cambria Math" w:hAnsi="Cambria Math"/>
          </w:rPr>
          <m:t xml:space="preserve"> </m:t>
        </m:r>
        <m:r>
          <w:rPr>
            <w:rFonts w:ascii="Cambria Math" w:hAnsi="Cambria Math"/>
            <w:lang w:val="en-US"/>
          </w:rPr>
          <m:t>R</m:t>
        </m:r>
      </m:oMath>
      <w:r w:rsidRPr="00483C19">
        <w:t xml:space="preserve"> якорных цепей рассчитывают по сл</w:t>
      </w:r>
      <w:r w:rsidRPr="00483C19">
        <w:t>е</w:t>
      </w:r>
      <w:r w:rsidRPr="00483C19">
        <w:t>дующим формулам:</w:t>
      </w:r>
    </w:p>
    <w:p w:rsidR="00483C19" w:rsidRPr="00483C19" w:rsidRDefault="00CF09E5" w:rsidP="00483C19">
      <w:pPr>
        <w:pStyle w:val="SingleTxtGR"/>
      </w:pPr>
      <w:r>
        <w:tab/>
      </w:r>
      <w:r w:rsidR="00483C19" w:rsidRPr="00483C19">
        <w:rPr>
          <w:lang w:val="en-US"/>
        </w:rPr>
        <w:t>a</w:t>
      </w:r>
      <w:r w:rsidR="00483C19" w:rsidRPr="00483C19">
        <w:t>)</w:t>
      </w:r>
      <w:r w:rsidR="00483C19" w:rsidRPr="00483C19">
        <w:tab/>
        <w:t>якоря массой до 500 кг:</w:t>
      </w:r>
    </w:p>
    <w:p w:rsidR="00483C19" w:rsidRPr="00483C19" w:rsidRDefault="00483C19" w:rsidP="00483C19">
      <w:pPr>
        <w:pStyle w:val="SingleTxtGR"/>
        <w:rPr>
          <w:lang w:val="en-US"/>
        </w:rPr>
      </w:pPr>
      <m:oMathPara>
        <m:oMath>
          <m:r>
            <w:rPr>
              <w:rFonts w:ascii="Cambria Math" w:hAnsi="Cambria Math"/>
              <w:lang w:val="en-US"/>
            </w:rPr>
            <m:t>R=0,35 ∙</m:t>
          </m:r>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m:t>
              </m:r>
            </m:sup>
          </m:sSup>
          <m:r>
            <w:rPr>
              <w:rFonts w:ascii="Cambria Math" w:hAnsi="Cambria Math"/>
              <w:lang w:val="en-US"/>
            </w:rPr>
            <m:t>[кН]</m:t>
          </m:r>
        </m:oMath>
      </m:oMathPara>
    </w:p>
    <w:p w:rsidR="00483C19" w:rsidRPr="00483C19" w:rsidRDefault="00CF09E5" w:rsidP="00483C19">
      <w:pPr>
        <w:pStyle w:val="SingleTxtGR"/>
      </w:pPr>
      <w:r>
        <w:tab/>
      </w:r>
      <w:r w:rsidR="00483C19" w:rsidRPr="00483C19">
        <w:rPr>
          <w:lang w:val="en-US"/>
        </w:rPr>
        <w:t>b</w:t>
      </w:r>
      <w:r w:rsidR="00483C19" w:rsidRPr="00483C19">
        <w:t>)</w:t>
      </w:r>
      <w:r w:rsidR="00483C19" w:rsidRPr="00483C19">
        <w:tab/>
        <w:t>якоря массой более 500 кг, но не более 2</w:t>
      </w:r>
      <w:r w:rsidR="00187CDA">
        <w:t xml:space="preserve"> </w:t>
      </w:r>
      <w:r w:rsidR="00483C19" w:rsidRPr="00483C19">
        <w:t>000 кг:</w:t>
      </w:r>
    </w:p>
    <w:p w:rsidR="00483C19" w:rsidRPr="00483C19" w:rsidRDefault="00483C19" w:rsidP="00483C19">
      <w:pPr>
        <w:pStyle w:val="SingleTxtGR"/>
        <w:rPr>
          <w:lang w:val="en-US"/>
        </w:rPr>
      </w:pPr>
      <m:oMathPara>
        <m:oMath>
          <m:r>
            <w:rPr>
              <w:rFonts w:ascii="Cambria Math" w:hAnsi="Cambria Math"/>
              <w:lang w:val="en-US"/>
            </w:rPr>
            <m:t>R=</m:t>
          </m:r>
          <m:d>
            <m:dPr>
              <m:ctrlPr>
                <w:rPr>
                  <w:rFonts w:ascii="Cambria Math" w:hAnsi="Cambria Math"/>
                  <w:i/>
                  <w:lang w:val="en-US"/>
                </w:rPr>
              </m:ctrlPr>
            </m:dPr>
            <m:e>
              <m:r>
                <w:rPr>
                  <w:rFonts w:ascii="Cambria Math" w:hAnsi="Cambria Math"/>
                  <w:lang w:val="en-US"/>
                </w:rPr>
                <m:t xml:space="preserve">0,35- </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m:t>
                      </m:r>
                    </m:sup>
                  </m:sSup>
                  <m:r>
                    <w:rPr>
                      <w:rFonts w:ascii="Cambria Math" w:hAnsi="Cambria Math"/>
                      <w:lang w:val="en-US"/>
                    </w:rPr>
                    <m:t>-500</m:t>
                  </m:r>
                </m:num>
                <m:den>
                  <m:r>
                    <w:rPr>
                      <w:rFonts w:ascii="Cambria Math" w:hAnsi="Cambria Math"/>
                      <w:lang w:val="en-US"/>
                    </w:rPr>
                    <m:t>15 000</m:t>
                  </m:r>
                </m:den>
              </m:f>
            </m:e>
          </m:d>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m:t>
              </m:r>
            </m:sup>
          </m:sSup>
          <m:r>
            <w:rPr>
              <w:rFonts w:ascii="Cambria Math" w:hAnsi="Cambria Math"/>
              <w:lang w:val="en-US"/>
            </w:rPr>
            <m:t xml:space="preserve"> [кН]</m:t>
          </m:r>
        </m:oMath>
      </m:oMathPara>
    </w:p>
    <w:p w:rsidR="00483C19" w:rsidRPr="00483C19" w:rsidRDefault="00CF09E5" w:rsidP="00483C19">
      <w:pPr>
        <w:pStyle w:val="SingleTxtGR"/>
      </w:pPr>
      <w:r>
        <w:tab/>
      </w:r>
      <w:r w:rsidR="00483C19" w:rsidRPr="00483C19">
        <w:rPr>
          <w:lang w:val="en-US"/>
        </w:rPr>
        <w:t>c</w:t>
      </w:r>
      <w:r w:rsidR="00483C19" w:rsidRPr="00483C19">
        <w:t>)</w:t>
      </w:r>
      <w:r w:rsidR="00483C19" w:rsidRPr="00483C19">
        <w:tab/>
        <w:t>якоря массой более 2</w:t>
      </w:r>
      <w:r w:rsidR="00C040D2">
        <w:t xml:space="preserve"> </w:t>
      </w:r>
      <w:r w:rsidR="00483C19" w:rsidRPr="00483C19">
        <w:t>000 кг:</w:t>
      </w:r>
    </w:p>
    <w:p w:rsidR="00483C19" w:rsidRPr="00C040D2" w:rsidRDefault="00483C19" w:rsidP="00C040D2">
      <w:pPr>
        <w:pStyle w:val="SingleTxtGR"/>
        <w:jc w:val="center"/>
      </w:pPr>
      <m:oMath>
        <m:r>
          <w:rPr>
            <w:rFonts w:ascii="Cambria Math" w:hAnsi="Cambria Math"/>
            <w:lang w:val="en-US"/>
          </w:rPr>
          <m:t>R=0,25 ∙</m:t>
        </m:r>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m:t>
            </m:r>
          </m:sup>
        </m:sSup>
        <m:d>
          <m:dPr>
            <m:begChr m:val="["/>
            <m:endChr m:val="]"/>
            <m:ctrlPr>
              <w:rPr>
                <w:rFonts w:ascii="Cambria Math" w:hAnsi="Cambria Math"/>
                <w:i/>
                <w:lang w:val="en-US"/>
              </w:rPr>
            </m:ctrlPr>
          </m:dPr>
          <m:e>
            <m:r>
              <w:rPr>
                <w:rFonts w:ascii="Cambria Math" w:hAnsi="Cambria Math"/>
                <w:lang w:val="en-US"/>
              </w:rPr>
              <m:t>кН</m:t>
            </m:r>
          </m:e>
        </m:d>
      </m:oMath>
      <w:r w:rsidR="00C040D2">
        <w:t>,</w:t>
      </w:r>
    </w:p>
    <w:p w:rsidR="00483C19" w:rsidRPr="00483C19" w:rsidRDefault="00CF09E5" w:rsidP="00483C19">
      <w:pPr>
        <w:pStyle w:val="SingleTxtGR"/>
      </w:pPr>
      <w:r>
        <w:tab/>
      </w:r>
      <w:r w:rsidR="00483C19" w:rsidRPr="00483C19">
        <w:t xml:space="preserve">где: </w:t>
      </w:r>
    </w:p>
    <w:p w:rsidR="00483C19" w:rsidRPr="00483C19" w:rsidRDefault="00CF09E5" w:rsidP="00483C19">
      <w:pPr>
        <w:pStyle w:val="SingleTxtGR"/>
        <w:rPr>
          <w:vertAlign w:val="superscript"/>
        </w:rPr>
      </w:pPr>
      <w:r>
        <w:tab/>
      </w:r>
      <m:oMath>
        <m:r>
          <w:rPr>
            <w:rFonts w:ascii="Cambria Math" w:hAnsi="Cambria Math"/>
            <w:lang w:val="en-US"/>
          </w:rPr>
          <m:t>P</m:t>
        </m:r>
        <m:r>
          <w:rPr>
            <w:rFonts w:ascii="Cambria Math" w:hAnsi="Cambria Math"/>
          </w:rPr>
          <m:t>'</m:t>
        </m:r>
      </m:oMath>
      <w:r w:rsidR="00483C19" w:rsidRPr="00483C19">
        <w:t xml:space="preserve"> – теоретическая масса каждого якоря, определенная в соответствии с пунктами 1)</w:t>
      </w:r>
      <w:r>
        <w:t>–</w:t>
      </w:r>
      <w:r w:rsidR="00483C19" w:rsidRPr="00483C19">
        <w:t>4)</w:t>
      </w:r>
      <w:r>
        <w:t xml:space="preserve"> </w:t>
      </w:r>
      <w:r w:rsidR="00483C19" w:rsidRPr="00483C19">
        <w:t>и 6).</w:t>
      </w:r>
    </w:p>
    <w:p w:rsidR="00483C19" w:rsidRPr="00483C19" w:rsidRDefault="00CF09E5" w:rsidP="00483C19">
      <w:pPr>
        <w:pStyle w:val="SingleTxtGR"/>
      </w:pPr>
      <w:r>
        <w:tab/>
      </w:r>
      <w:r w:rsidR="00483C19" w:rsidRPr="00483C19">
        <w:t>Разрывное усилие якорных цепей указывается в соответствии с действ</w:t>
      </w:r>
      <w:r w:rsidR="00483C19" w:rsidRPr="00483C19">
        <w:t>у</w:t>
      </w:r>
      <w:r w:rsidR="00483C19" w:rsidRPr="00483C19">
        <w:t>ющим стандартом в одном из государств-членов.</w:t>
      </w:r>
    </w:p>
    <w:p w:rsidR="00483C19" w:rsidRPr="00483C19" w:rsidRDefault="00483C19" w:rsidP="00483C19">
      <w:pPr>
        <w:pStyle w:val="SingleTxtGR"/>
      </w:pPr>
      <w:r w:rsidRPr="00483C19">
        <w:t>12.</w:t>
      </w:r>
      <w:r w:rsidRPr="00483C19">
        <w:tab/>
        <w:t>В том случае, если масса якорей превышает массу, требуемую на основ</w:t>
      </w:r>
      <w:r w:rsidRPr="00483C19">
        <w:t>а</w:t>
      </w:r>
      <w:r w:rsidRPr="00483C19">
        <w:t>нии пунктов 1)</w:t>
      </w:r>
      <w:r w:rsidR="00CF09E5">
        <w:t>–</w:t>
      </w:r>
      <w:r w:rsidRPr="00483C19">
        <w:t>6), разрывная нагрузка якорной цепи определяется в зависим</w:t>
      </w:r>
      <w:r w:rsidRPr="00483C19">
        <w:t>о</w:t>
      </w:r>
      <w:r w:rsidRPr="00483C19">
        <w:t>сти от фактической массы якоря.</w:t>
      </w:r>
    </w:p>
    <w:p w:rsidR="00483C19" w:rsidRPr="00483C19" w:rsidRDefault="00CF09E5" w:rsidP="00483C19">
      <w:pPr>
        <w:pStyle w:val="SingleTxtGR"/>
      </w:pPr>
      <w:r>
        <w:tab/>
      </w:r>
      <w:r w:rsidR="00483C19" w:rsidRPr="00483C19">
        <w:t>В случаях, когда на борту судна находятся более тяжелые якоря с соо</w:t>
      </w:r>
      <w:r w:rsidR="00483C19" w:rsidRPr="00483C19">
        <w:t>т</w:t>
      </w:r>
      <w:r w:rsidR="00483C19" w:rsidRPr="00483C19">
        <w:t>ветствующими более прочными цепями, в свидетельство судна внутреннего плавания вносятся только значения минимальной массы и минимальной ра</w:t>
      </w:r>
      <w:r w:rsidR="00483C19" w:rsidRPr="00483C19">
        <w:t>з</w:t>
      </w:r>
      <w:r w:rsidR="00483C19" w:rsidRPr="00483C19">
        <w:t>рывной нагрузки в соответствии с пунктами 1)</w:t>
      </w:r>
      <w:r>
        <w:t>–</w:t>
      </w:r>
      <w:r w:rsidR="00483C19" w:rsidRPr="00483C19">
        <w:t>6) и 11).</w:t>
      </w:r>
    </w:p>
    <w:p w:rsidR="00483C19" w:rsidRPr="00483C19" w:rsidRDefault="00483C19" w:rsidP="00483C19">
      <w:pPr>
        <w:pStyle w:val="SingleTxtGR"/>
      </w:pPr>
      <w:r w:rsidRPr="00483C19">
        <w:t>13.</w:t>
      </w:r>
      <w:r w:rsidRPr="00483C19">
        <w:tab/>
        <w:t>Соединительные детали (вертлюги) между якорем и цепью должны в</w:t>
      </w:r>
      <w:r w:rsidRPr="00483C19">
        <w:t>ы</w:t>
      </w:r>
      <w:r w:rsidRPr="00483C19">
        <w:t xml:space="preserve">держивать растягивающее усилие на 20% больше, чем разрывная нагрузка </w:t>
      </w:r>
      <w:r w:rsidR="00C040D2">
        <w:br/>
      </w:r>
      <w:r w:rsidRPr="00483C19">
        <w:t>соответствующей цепи.</w:t>
      </w:r>
    </w:p>
    <w:p w:rsidR="00483C19" w:rsidRPr="00483C19" w:rsidRDefault="00483C19" w:rsidP="00483C19">
      <w:pPr>
        <w:pStyle w:val="SingleTxtGR"/>
      </w:pPr>
      <w:r w:rsidRPr="00483C19">
        <w:t>14.</w:t>
      </w:r>
      <w:r w:rsidRPr="00483C19">
        <w:tab/>
        <w:t>Вместо якорных цепей допускается использование тросов.</w:t>
      </w:r>
      <w:r w:rsidR="00CF09E5">
        <w:t xml:space="preserve"> </w:t>
      </w:r>
      <w:r w:rsidRPr="00483C19">
        <w:t>Тросы должны выдерживать ту же разрывную нагрузку, что и нагрузка, предусмотренная для цепей, но при этом они должны быть на 20% длиннее.</w:t>
      </w:r>
    </w:p>
    <w:p w:rsidR="00483C19" w:rsidRPr="00483C19" w:rsidRDefault="00483C19" w:rsidP="00C040D2">
      <w:pPr>
        <w:pStyle w:val="SingleTxtGR"/>
        <w:spacing w:before="240"/>
        <w:jc w:val="center"/>
        <w:rPr>
          <w:b/>
        </w:rPr>
      </w:pPr>
      <w:bookmarkStart w:id="10" w:name="_Toc436115059"/>
      <w:r w:rsidRPr="00483C19">
        <w:rPr>
          <w:b/>
        </w:rPr>
        <w:t>Статья 13.02</w:t>
      </w:r>
      <w:r w:rsidRPr="00483C19">
        <w:rPr>
          <w:b/>
        </w:rPr>
        <w:br/>
        <w:t>Другое оборудование</w:t>
      </w:r>
      <w:bookmarkEnd w:id="10"/>
    </w:p>
    <w:p w:rsidR="00483C19" w:rsidRPr="00483C19" w:rsidRDefault="00483C19" w:rsidP="00CF09E5">
      <w:pPr>
        <w:pStyle w:val="SingleTxtGR"/>
        <w:jc w:val="center"/>
        <w:rPr>
          <w:i/>
        </w:rPr>
      </w:pPr>
      <w:r w:rsidRPr="00483C19">
        <w:t>…</w:t>
      </w:r>
    </w:p>
    <w:p w:rsidR="00483C19" w:rsidRPr="00483C19" w:rsidRDefault="00483C19" w:rsidP="00483C19">
      <w:pPr>
        <w:pStyle w:val="SingleTxtGR"/>
      </w:pPr>
      <w:r w:rsidRPr="00483C19">
        <w:t>3.</w:t>
      </w:r>
      <w:r w:rsidRPr="00483C19">
        <w:tab/>
        <w:t>Кроме того, оборудование должно включать, как минимум:</w:t>
      </w:r>
    </w:p>
    <w:p w:rsidR="00483C19" w:rsidRPr="00483C19" w:rsidRDefault="00483C19" w:rsidP="00CF09E5">
      <w:pPr>
        <w:pStyle w:val="SingleTxtGR"/>
        <w:jc w:val="center"/>
      </w:pPr>
      <w:r w:rsidRPr="00483C19">
        <w:t>…</w:t>
      </w:r>
    </w:p>
    <w:p w:rsidR="00483C19" w:rsidRPr="00483C19" w:rsidRDefault="00CF09E5" w:rsidP="00483C19">
      <w:pPr>
        <w:pStyle w:val="SingleTxtGR"/>
      </w:pPr>
      <w:r>
        <w:tab/>
      </w:r>
      <w:r w:rsidR="00483C19" w:rsidRPr="00483C19">
        <w:rPr>
          <w:lang w:val="en-US"/>
        </w:rPr>
        <w:t>b</w:t>
      </w:r>
      <w:r w:rsidR="00483C19" w:rsidRPr="00483C19">
        <w:t>)</w:t>
      </w:r>
      <w:r w:rsidR="00483C19" w:rsidRPr="00483C19">
        <w:tab/>
        <w:t>буксирные тросы;</w:t>
      </w:r>
    </w:p>
    <w:p w:rsidR="00483C19" w:rsidRPr="00483C19" w:rsidRDefault="00CF09E5" w:rsidP="00483C19">
      <w:pPr>
        <w:pStyle w:val="SingleTxtGR"/>
      </w:pPr>
      <w:r>
        <w:tab/>
      </w:r>
      <w:r w:rsidR="00483C19" w:rsidRPr="00483C19">
        <w:t>Буксиры оснащаются соответствующим числом тросов, которое подходит для их эксплуатации.</w:t>
      </w:r>
    </w:p>
    <w:p w:rsidR="00483C19" w:rsidRPr="00483C19" w:rsidRDefault="00CF09E5" w:rsidP="00483C19">
      <w:pPr>
        <w:pStyle w:val="SingleTxtGR"/>
      </w:pPr>
      <w:r>
        <w:tab/>
      </w:r>
      <w:r w:rsidR="00483C19" w:rsidRPr="00483C19">
        <w:t>Вместе с тем основные тросы должны иметь длину не менее 100 м и в</w:t>
      </w:r>
      <w:r w:rsidR="00483C19" w:rsidRPr="00483C19">
        <w:t>ы</w:t>
      </w:r>
      <w:r w:rsidR="00483C19" w:rsidRPr="00483C19">
        <w:t>держивать разрывную нагрузку в кН, составляющую не менее одной трети от полной мощности в кВт главного(ых) двигателя(ей).</w:t>
      </w:r>
    </w:p>
    <w:p w:rsidR="00483C19" w:rsidRPr="00483C19" w:rsidRDefault="00CF09E5" w:rsidP="00483C19">
      <w:pPr>
        <w:pStyle w:val="SingleTxtGR"/>
      </w:pPr>
      <w:r>
        <w:tab/>
      </w:r>
      <w:r w:rsidR="00483C19" w:rsidRPr="00483C19">
        <w:t>Моторные суда и толкачи, которые также могут буксировать, оснащаются буксирными тросами длиной не менее 100 м и выдерживать разрывную нагру</w:t>
      </w:r>
      <w:r w:rsidR="00483C19" w:rsidRPr="00483C19">
        <w:t>з</w:t>
      </w:r>
      <w:r w:rsidR="00483C19" w:rsidRPr="00483C19">
        <w:t>ку в кН, составляющую не менее одной четвертой от полной мощности в кВт главного(ых) двигателя(ей).</w:t>
      </w:r>
    </w:p>
    <w:p w:rsidR="00483C19" w:rsidRPr="00483C19" w:rsidRDefault="00483C19" w:rsidP="00CF09E5">
      <w:pPr>
        <w:pStyle w:val="SingleTxtGR"/>
        <w:jc w:val="center"/>
      </w:pPr>
      <w:r w:rsidRPr="00483C19">
        <w:t>…</w:t>
      </w:r>
    </w:p>
    <w:p w:rsidR="00483C19" w:rsidRPr="00483C19" w:rsidRDefault="00483C19" w:rsidP="00CF09E5">
      <w:pPr>
        <w:pStyle w:val="SingleTxtGR"/>
        <w:jc w:val="center"/>
        <w:rPr>
          <w:b/>
        </w:rPr>
      </w:pPr>
      <w:bookmarkStart w:id="11" w:name="_Toc436115061"/>
      <w:r w:rsidRPr="00483C19">
        <w:rPr>
          <w:b/>
        </w:rPr>
        <w:t>Статья 13.04</w:t>
      </w:r>
      <w:r w:rsidRPr="00483C19">
        <w:rPr>
          <w:b/>
        </w:rPr>
        <w:br/>
      </w:r>
      <w:bookmarkStart w:id="12" w:name="_Hlk480039292"/>
      <w:bookmarkStart w:id="13" w:name="_Hlk480032287"/>
      <w:bookmarkEnd w:id="11"/>
      <w:r w:rsidRPr="00483C19">
        <w:rPr>
          <w:b/>
        </w:rPr>
        <w:t xml:space="preserve">Стационарные системы противопожарной защиты </w:t>
      </w:r>
      <w:bookmarkEnd w:id="12"/>
      <w:r w:rsidRPr="00483C19">
        <w:rPr>
          <w:b/>
        </w:rPr>
        <w:t xml:space="preserve">жилых помещений, </w:t>
      </w:r>
      <w:r w:rsidR="00CF09E5">
        <w:rPr>
          <w:b/>
        </w:rPr>
        <w:br/>
      </w:r>
      <w:r w:rsidRPr="00483C19">
        <w:rPr>
          <w:b/>
        </w:rPr>
        <w:t>рулевой рубки и пассажирских кают</w:t>
      </w:r>
      <w:bookmarkEnd w:id="13"/>
    </w:p>
    <w:p w:rsidR="00483C19" w:rsidRPr="00483C19" w:rsidRDefault="00483C19" w:rsidP="00483C19">
      <w:pPr>
        <w:pStyle w:val="SingleTxtGR"/>
      </w:pPr>
      <w:r w:rsidRPr="00483C19">
        <w:t>1.</w:t>
      </w:r>
      <w:r w:rsidRPr="00483C19">
        <w:tab/>
        <w:t>В качестве стационарных систем противопожарной защиты жилых пом</w:t>
      </w:r>
      <w:r w:rsidRPr="00483C19">
        <w:t>е</w:t>
      </w:r>
      <w:r w:rsidRPr="00483C19">
        <w:t>щений, рулевой рубки и пассажирских кают допускаются только автоматич</w:t>
      </w:r>
      <w:r w:rsidRPr="00483C19">
        <w:t>е</w:t>
      </w:r>
      <w:r w:rsidRPr="00483C19">
        <w:t>ские нагнетательные спринклерные системы.</w:t>
      </w:r>
    </w:p>
    <w:p w:rsidR="00483C19" w:rsidRPr="00483C19" w:rsidRDefault="00483C19" w:rsidP="00483C19">
      <w:pPr>
        <w:pStyle w:val="SingleTxtGR"/>
      </w:pPr>
      <w:r w:rsidRPr="00483C19">
        <w:t>2.</w:t>
      </w:r>
      <w:r w:rsidRPr="00483C19">
        <w:tab/>
        <w:t>Монтаж или модификация систем производится только специализирова</w:t>
      </w:r>
      <w:r w:rsidRPr="00483C19">
        <w:t>н</w:t>
      </w:r>
      <w:r w:rsidRPr="00483C19">
        <w:t>ными организациями.</w:t>
      </w:r>
    </w:p>
    <w:p w:rsidR="00483C19" w:rsidRPr="00483C19" w:rsidRDefault="00483C19" w:rsidP="00483C19">
      <w:pPr>
        <w:pStyle w:val="SingleTxtGR"/>
      </w:pPr>
      <w:r w:rsidRPr="00483C19">
        <w:t>3.</w:t>
      </w:r>
      <w:r w:rsidRPr="00483C19">
        <w:tab/>
        <w:t>Системы изготовляются из стали или равноценных негорючих матери</w:t>
      </w:r>
      <w:r w:rsidRPr="00483C19">
        <w:t>а</w:t>
      </w:r>
      <w:r w:rsidRPr="00483C19">
        <w:t>лов.</w:t>
      </w:r>
    </w:p>
    <w:p w:rsidR="00483C19" w:rsidRPr="00483C19" w:rsidRDefault="00483C19" w:rsidP="00483C19">
      <w:pPr>
        <w:pStyle w:val="SingleTxtGR"/>
      </w:pPr>
      <w:r w:rsidRPr="00483C19">
        <w:t>4.</w:t>
      </w:r>
      <w:r w:rsidRPr="00483C19">
        <w:tab/>
        <w:t>Системы должны быть в состоянии распылять воду под напором не менее 5л/м</w:t>
      </w:r>
      <w:r w:rsidRPr="00483C19">
        <w:rPr>
          <w:vertAlign w:val="superscript"/>
        </w:rPr>
        <w:t>2</w:t>
      </w:r>
      <w:r w:rsidRPr="00483C19">
        <w:t xml:space="preserve"> в минуту по всей площади наибольшего помещения, подлежащего защ</w:t>
      </w:r>
      <w:r w:rsidRPr="00483C19">
        <w:t>и</w:t>
      </w:r>
      <w:r w:rsidRPr="00483C19">
        <w:t>те.</w:t>
      </w:r>
    </w:p>
    <w:p w:rsidR="00483C19" w:rsidRPr="00483C19" w:rsidRDefault="00483C19" w:rsidP="00483C19">
      <w:pPr>
        <w:pStyle w:val="SingleTxtGR"/>
      </w:pPr>
      <w:r w:rsidRPr="00483C19">
        <w:t>5.</w:t>
      </w:r>
      <w:r w:rsidRPr="00483C19">
        <w:tab/>
        <w:t>Системы, распыляющие меньшее количество воды, должны быть одобр</w:t>
      </w:r>
      <w:r w:rsidRPr="00483C19">
        <w:t>е</w:t>
      </w:r>
      <w:r w:rsidRPr="00483C19">
        <w:t xml:space="preserve">ны по типу конструкции на основании резолюции ИМО </w:t>
      </w:r>
      <w:r w:rsidRPr="00483C19">
        <w:rPr>
          <w:lang w:val="en-US"/>
        </w:rPr>
        <w:t>A</w:t>
      </w:r>
      <w:r w:rsidRPr="00483C19">
        <w:t>.800 (19)</w:t>
      </w:r>
      <w:r w:rsidRPr="00CF09E5">
        <w:rPr>
          <w:sz w:val="18"/>
          <w:vertAlign w:val="superscript"/>
          <w:lang w:val="en-US"/>
        </w:rPr>
        <w:footnoteReference w:id="2"/>
      </w:r>
      <w:r w:rsidRPr="00483C19">
        <w:t xml:space="preserve"> или иного стандарта, признанного одним из государств-членов.</w:t>
      </w:r>
      <w:r w:rsidR="00CF09E5">
        <w:t xml:space="preserve"> </w:t>
      </w:r>
      <w:r w:rsidRPr="00483C19">
        <w:t>Одобрение типа произв</w:t>
      </w:r>
      <w:r w:rsidRPr="00483C19">
        <w:t>о</w:t>
      </w:r>
      <w:r w:rsidRPr="00483C19">
        <w:t>дится признанным классификационным обществом или аккредитованным и</w:t>
      </w:r>
      <w:r w:rsidRPr="00483C19">
        <w:t>с</w:t>
      </w:r>
      <w:r w:rsidRPr="00483C19">
        <w:t xml:space="preserve">пытательным учреждением. Это аккредитованное испытательное учреждение должно соответствовать Европейскому стандарту в отношении общих </w:t>
      </w:r>
      <w:r w:rsidR="00C040D2">
        <w:br/>
      </w:r>
      <w:r w:rsidRPr="00483C19">
        <w:t xml:space="preserve">требований к компетентности испытательных и калибровочных лабораторий </w:t>
      </w:r>
      <w:bookmarkStart w:id="14" w:name="_Hlk480036424"/>
      <w:r w:rsidR="00C040D2">
        <w:t>(EN </w:t>
      </w:r>
      <w:r w:rsidRPr="00483C19">
        <w:t>ISO/IEC 17025 : 2005).</w:t>
      </w:r>
      <w:bookmarkEnd w:id="14"/>
    </w:p>
    <w:p w:rsidR="00483C19" w:rsidRPr="00483C19" w:rsidRDefault="00483C19" w:rsidP="00483C19">
      <w:pPr>
        <w:pStyle w:val="SingleTxtGR"/>
      </w:pPr>
      <w:r w:rsidRPr="00483C19">
        <w:t>6.</w:t>
      </w:r>
      <w:r w:rsidRPr="00483C19">
        <w:tab/>
        <w:t>Системы проверяет соответствующий эксперт:</w:t>
      </w:r>
    </w:p>
    <w:p w:rsidR="00483C19" w:rsidRPr="00483C19" w:rsidRDefault="00483C19" w:rsidP="00483C19">
      <w:pPr>
        <w:pStyle w:val="SingleTxtGR"/>
      </w:pPr>
      <w:r w:rsidRPr="00483C19">
        <w:tab/>
      </w:r>
      <w:r w:rsidRPr="00483C19">
        <w:rPr>
          <w:lang w:val="en-US"/>
        </w:rPr>
        <w:t>a</w:t>
      </w:r>
      <w:r w:rsidRPr="00483C19">
        <w:t>)</w:t>
      </w:r>
      <w:r w:rsidRPr="00483C19">
        <w:tab/>
        <w:t>до их сдачи в эксплуатацию в первый раз;</w:t>
      </w:r>
    </w:p>
    <w:p w:rsidR="00483C19" w:rsidRPr="00483C19" w:rsidRDefault="00483C19" w:rsidP="00483C19">
      <w:pPr>
        <w:pStyle w:val="SingleTxtGR"/>
      </w:pPr>
      <w:r w:rsidRPr="00483C19">
        <w:tab/>
      </w:r>
      <w:r w:rsidRPr="00483C19">
        <w:rPr>
          <w:lang w:val="en-US"/>
        </w:rPr>
        <w:t>b</w:t>
      </w:r>
      <w:r w:rsidRPr="00483C19">
        <w:t>)</w:t>
      </w:r>
      <w:r w:rsidRPr="00483C19">
        <w:tab/>
      </w:r>
      <w:bookmarkStart w:id="15" w:name="_Hlk480037724"/>
      <w:r w:rsidRPr="00483C19">
        <w:t xml:space="preserve">до их повторной сдачи в эксплуатацию после </w:t>
      </w:r>
      <w:bookmarkEnd w:id="15"/>
      <w:r w:rsidRPr="00483C19">
        <w:t>их введения в де</w:t>
      </w:r>
      <w:r w:rsidRPr="00483C19">
        <w:t>й</w:t>
      </w:r>
      <w:r w:rsidRPr="00483C19">
        <w:t>ствие;</w:t>
      </w:r>
    </w:p>
    <w:p w:rsidR="00483C19" w:rsidRPr="00483C19" w:rsidRDefault="00483C19" w:rsidP="00483C19">
      <w:pPr>
        <w:pStyle w:val="SingleTxtGR"/>
      </w:pPr>
      <w:r w:rsidRPr="00483C19">
        <w:tab/>
      </w:r>
      <w:r w:rsidRPr="00483C19">
        <w:rPr>
          <w:lang w:val="en-US"/>
        </w:rPr>
        <w:t>c</w:t>
      </w:r>
      <w:r w:rsidRPr="00483C19">
        <w:t>)</w:t>
      </w:r>
      <w:r w:rsidRPr="00483C19">
        <w:tab/>
        <w:t>до их повторной сдачи в эксплуатацию после их существенной м</w:t>
      </w:r>
      <w:r w:rsidRPr="00483C19">
        <w:t>о</w:t>
      </w:r>
      <w:r w:rsidRPr="00483C19">
        <w:t>дификации или ремонта; и</w:t>
      </w:r>
    </w:p>
    <w:p w:rsidR="00483C19" w:rsidRPr="00483C19" w:rsidRDefault="00483C19" w:rsidP="00483C19">
      <w:pPr>
        <w:pStyle w:val="SingleTxtGR"/>
      </w:pPr>
      <w:r w:rsidRPr="00483C19">
        <w:tab/>
      </w:r>
      <w:r w:rsidRPr="00483C19">
        <w:rPr>
          <w:lang w:val="en-US"/>
        </w:rPr>
        <w:t>d</w:t>
      </w:r>
      <w:r w:rsidRPr="00483C19">
        <w:t>)</w:t>
      </w:r>
      <w:r w:rsidRPr="00483C19">
        <w:tab/>
        <w:t>на регулярной основе, по крайней мере один раз в два года.</w:t>
      </w:r>
    </w:p>
    <w:p w:rsidR="00483C19" w:rsidRPr="00483C19" w:rsidRDefault="00483C19" w:rsidP="00483C19">
      <w:pPr>
        <w:pStyle w:val="SingleTxtGR"/>
      </w:pPr>
      <w:r w:rsidRPr="00483C19">
        <w:tab/>
        <w:t xml:space="preserve">Освидетельствование, указанное в пункте </w:t>
      </w:r>
      <w:r w:rsidRPr="00483C19">
        <w:rPr>
          <w:lang w:val="en-US"/>
        </w:rPr>
        <w:t>d</w:t>
      </w:r>
      <w:r w:rsidRPr="00483C19">
        <w:t>), может также быть произв</w:t>
      </w:r>
      <w:r w:rsidRPr="00483C19">
        <w:t>е</w:t>
      </w:r>
      <w:r w:rsidRPr="00483C19">
        <w:t>дено соответствующим компетентным лицом из компетентной организации, специализирующейся на системах пожаротушения.</w:t>
      </w:r>
    </w:p>
    <w:p w:rsidR="00483C19" w:rsidRPr="00483C19" w:rsidRDefault="00483C19" w:rsidP="00483C19">
      <w:pPr>
        <w:pStyle w:val="SingleTxtGR"/>
      </w:pPr>
      <w:r w:rsidRPr="00483C19">
        <w:t>7.</w:t>
      </w:r>
      <w:r w:rsidRPr="00483C19">
        <w:tab/>
        <w:t>В ходе проверки в соответствии с пунктом 6) эксперт или компетентное лицо проверяет, соответствуют ли данные системы требованиям настоящей ст</w:t>
      </w:r>
      <w:r w:rsidRPr="00483C19">
        <w:t>а</w:t>
      </w:r>
      <w:r w:rsidRPr="00483C19">
        <w:t>тьи.</w:t>
      </w:r>
    </w:p>
    <w:p w:rsidR="00483C19" w:rsidRPr="00483C19" w:rsidRDefault="00CF09E5" w:rsidP="00483C19">
      <w:pPr>
        <w:pStyle w:val="SingleTxtGR"/>
      </w:pPr>
      <w:r>
        <w:tab/>
      </w:r>
      <w:r w:rsidR="00131A01">
        <w:t>Эта проверка включает как минимум</w:t>
      </w:r>
      <w:r w:rsidR="00483C19" w:rsidRPr="00483C19">
        <w:t xml:space="preserve"> следующее:</w:t>
      </w:r>
    </w:p>
    <w:p w:rsidR="00483C19" w:rsidRPr="00483C19" w:rsidRDefault="00483C19" w:rsidP="00483C19">
      <w:pPr>
        <w:pStyle w:val="SingleTxtGR"/>
      </w:pPr>
      <w:r w:rsidRPr="00483C19">
        <w:tab/>
      </w:r>
      <w:r w:rsidRPr="00483C19">
        <w:rPr>
          <w:lang w:val="en-US"/>
        </w:rPr>
        <w:t>a</w:t>
      </w:r>
      <w:r w:rsidRPr="00483C19">
        <w:t>)</w:t>
      </w:r>
      <w:r w:rsidRPr="00483C19">
        <w:tab/>
        <w:t>внешний осмотр всей системы;</w:t>
      </w:r>
    </w:p>
    <w:p w:rsidR="00483C19" w:rsidRPr="00483C19" w:rsidRDefault="00483C19" w:rsidP="00483C19">
      <w:pPr>
        <w:pStyle w:val="SingleTxtGR"/>
      </w:pPr>
      <w:r w:rsidRPr="00483C19">
        <w:tab/>
      </w:r>
      <w:r w:rsidRPr="00483C19">
        <w:rPr>
          <w:lang w:val="en-US"/>
        </w:rPr>
        <w:t>b</w:t>
      </w:r>
      <w:r w:rsidRPr="00483C19">
        <w:t>)</w:t>
      </w:r>
      <w:r w:rsidRPr="00483C19">
        <w:tab/>
        <w:t>функциональное испытание систем безопасности и жиклеров;</w:t>
      </w:r>
    </w:p>
    <w:p w:rsidR="00483C19" w:rsidRPr="00483C19" w:rsidRDefault="00483C19" w:rsidP="00483C19">
      <w:pPr>
        <w:pStyle w:val="SingleTxtGR"/>
      </w:pPr>
      <w:r w:rsidRPr="00483C19">
        <w:tab/>
      </w:r>
      <w:r w:rsidRPr="00483C19">
        <w:rPr>
          <w:lang w:val="en-US"/>
        </w:rPr>
        <w:t>c</w:t>
      </w:r>
      <w:r w:rsidRPr="00483C19">
        <w:t>)</w:t>
      </w:r>
      <w:r w:rsidRPr="00483C19">
        <w:tab/>
        <w:t>функциональное испытание цистерн высокого давления и насосной системы.</w:t>
      </w:r>
    </w:p>
    <w:p w:rsidR="00483C19" w:rsidRPr="00483C19" w:rsidRDefault="00483C19" w:rsidP="00483C19">
      <w:pPr>
        <w:pStyle w:val="SingleTxtGR"/>
      </w:pPr>
      <w:r w:rsidRPr="00483C19">
        <w:t>8.</w:t>
      </w:r>
      <w:r w:rsidRPr="00483C19">
        <w:tab/>
        <w:t>Выдается свидетельство, подписанное экспертом или компетентным л</w:t>
      </w:r>
      <w:r w:rsidRPr="00483C19">
        <w:t>и</w:t>
      </w:r>
      <w:r w:rsidRPr="00483C19">
        <w:t>цом, с указанием даты освидетельствования.</w:t>
      </w:r>
    </w:p>
    <w:p w:rsidR="00483C19" w:rsidRPr="00483C19" w:rsidRDefault="00483C19" w:rsidP="00483C19">
      <w:pPr>
        <w:pStyle w:val="SingleTxtGR"/>
      </w:pPr>
      <w:r w:rsidRPr="00483C19">
        <w:t>9.</w:t>
      </w:r>
      <w:r w:rsidRPr="00483C19">
        <w:tab/>
        <w:t>В свидетельство судна внутреннего плавания вносят число установле</w:t>
      </w:r>
      <w:r w:rsidRPr="00483C19">
        <w:t>н</w:t>
      </w:r>
      <w:r w:rsidRPr="00483C19">
        <w:t>ных систем.</w:t>
      </w:r>
    </w:p>
    <w:p w:rsidR="00483C19" w:rsidRPr="00483C19" w:rsidRDefault="00483C19" w:rsidP="00131A01">
      <w:pPr>
        <w:pStyle w:val="SingleTxtGR"/>
        <w:spacing w:before="240"/>
        <w:jc w:val="center"/>
        <w:rPr>
          <w:b/>
        </w:rPr>
      </w:pPr>
      <w:bookmarkStart w:id="16" w:name="_Toc436115062"/>
      <w:r w:rsidRPr="00483C19">
        <w:rPr>
          <w:b/>
        </w:rPr>
        <w:t>Статья 13.05</w:t>
      </w:r>
      <w:r w:rsidRPr="00483C19">
        <w:rPr>
          <w:b/>
        </w:rPr>
        <w:br/>
      </w:r>
      <w:bookmarkStart w:id="17" w:name="_Hlk480045572"/>
      <w:r w:rsidRPr="00483C19">
        <w:rPr>
          <w:b/>
        </w:rPr>
        <w:t xml:space="preserve">Стационарные системы противопожарной защиты </w:t>
      </w:r>
      <w:bookmarkStart w:id="18" w:name="_Hlk480045474"/>
      <w:r w:rsidRPr="00483C19">
        <w:rPr>
          <w:b/>
        </w:rPr>
        <w:t xml:space="preserve">машинных </w:t>
      </w:r>
      <w:r w:rsidR="00131A01">
        <w:rPr>
          <w:b/>
        </w:rPr>
        <w:br/>
      </w:r>
      <w:r w:rsidRPr="00483C19">
        <w:rPr>
          <w:b/>
        </w:rPr>
        <w:t>и котельных отделений и насосных помещений</w:t>
      </w:r>
      <w:bookmarkEnd w:id="16"/>
      <w:bookmarkEnd w:id="17"/>
      <w:bookmarkEnd w:id="18"/>
    </w:p>
    <w:p w:rsidR="00483C19" w:rsidRPr="00483C19" w:rsidRDefault="00483C19" w:rsidP="00483C19">
      <w:pPr>
        <w:pStyle w:val="SingleTxtGR"/>
      </w:pPr>
      <w:r w:rsidRPr="00483C19">
        <w:t>1.</w:t>
      </w:r>
      <w:r w:rsidRPr="00483C19">
        <w:tab/>
        <w:t>Огнетушительные составы</w:t>
      </w:r>
    </w:p>
    <w:p w:rsidR="00483C19" w:rsidRPr="00483C19" w:rsidRDefault="00CF09E5" w:rsidP="00483C19">
      <w:pPr>
        <w:pStyle w:val="SingleTxtGR"/>
      </w:pPr>
      <w:r>
        <w:tab/>
      </w:r>
      <w:r w:rsidR="00483C19" w:rsidRPr="00483C19">
        <w:t>В стационарных системах противопожарной защиты машинных и котел</w:t>
      </w:r>
      <w:r w:rsidR="00483C19" w:rsidRPr="00483C19">
        <w:t>ь</w:t>
      </w:r>
      <w:r w:rsidR="00483C19" w:rsidRPr="00483C19">
        <w:t>ных отделений и насосных помещений можно использовать следующие огн</w:t>
      </w:r>
      <w:r w:rsidR="00483C19" w:rsidRPr="00483C19">
        <w:t>е</w:t>
      </w:r>
      <w:r w:rsidR="00483C19" w:rsidRPr="00483C19">
        <w:t>тушительные составы:</w:t>
      </w:r>
    </w:p>
    <w:p w:rsidR="00483C19" w:rsidRPr="00483C19" w:rsidRDefault="00483C19" w:rsidP="00483C19">
      <w:pPr>
        <w:pStyle w:val="SingleTxtGR"/>
      </w:pPr>
      <w:r w:rsidRPr="00483C19">
        <w:tab/>
      </w:r>
      <w:r w:rsidRPr="00483C19">
        <w:rPr>
          <w:lang w:val="en-US"/>
        </w:rPr>
        <w:t>a</w:t>
      </w:r>
      <w:r w:rsidRPr="00483C19">
        <w:t>)</w:t>
      </w:r>
      <w:r w:rsidRPr="00483C19">
        <w:tab/>
      </w:r>
      <w:r w:rsidRPr="00483C19">
        <w:rPr>
          <w:lang w:val="en-US"/>
        </w:rPr>
        <w:t>CO</w:t>
      </w:r>
      <w:r w:rsidRPr="00483C19">
        <w:rPr>
          <w:vertAlign w:val="subscript"/>
        </w:rPr>
        <w:t xml:space="preserve">2 </w:t>
      </w:r>
      <w:r w:rsidRPr="00483C19">
        <w:t>(диоксид углерода);</w:t>
      </w:r>
    </w:p>
    <w:p w:rsidR="00483C19" w:rsidRPr="00483C19" w:rsidRDefault="00483C19" w:rsidP="00483C19">
      <w:pPr>
        <w:pStyle w:val="SingleTxtGR"/>
      </w:pPr>
      <w:r w:rsidRPr="00483C19">
        <w:tab/>
      </w:r>
      <w:r w:rsidRPr="00483C19">
        <w:rPr>
          <w:lang w:val="en-US"/>
        </w:rPr>
        <w:t>b</w:t>
      </w:r>
      <w:r w:rsidRPr="00483C19">
        <w:t>)</w:t>
      </w:r>
      <w:r w:rsidRPr="00483C19">
        <w:tab/>
      </w:r>
      <w:r w:rsidRPr="00483C19">
        <w:rPr>
          <w:lang w:val="en-US"/>
        </w:rPr>
        <w:t>HFC</w:t>
      </w:r>
      <w:r w:rsidRPr="00483C19">
        <w:t xml:space="preserve"> 227 </w:t>
      </w:r>
      <w:r w:rsidRPr="00483C19">
        <w:rPr>
          <w:lang w:val="en-US"/>
        </w:rPr>
        <w:t>ea</w:t>
      </w:r>
      <w:r w:rsidRPr="00483C19">
        <w:t xml:space="preserve"> (гептафторпропан);</w:t>
      </w:r>
    </w:p>
    <w:p w:rsidR="00483C19" w:rsidRPr="00483C19" w:rsidRDefault="00483C19" w:rsidP="00483C19">
      <w:pPr>
        <w:pStyle w:val="SingleTxtGR"/>
        <w:rPr>
          <w:lang w:val="nl-NL"/>
        </w:rPr>
      </w:pPr>
      <w:r w:rsidRPr="00483C19">
        <w:rPr>
          <w:lang w:val="nl-NL"/>
        </w:rPr>
        <w:tab/>
        <w:t>c)</w:t>
      </w:r>
      <w:r w:rsidRPr="00483C19">
        <w:rPr>
          <w:lang w:val="nl-NL"/>
        </w:rPr>
        <w:tab/>
        <w:t xml:space="preserve">IG-541 (52% </w:t>
      </w:r>
      <w:r w:rsidRPr="00483C19">
        <w:t>азота</w:t>
      </w:r>
      <w:r w:rsidRPr="00483C19">
        <w:rPr>
          <w:lang w:val="nl-NL"/>
        </w:rPr>
        <w:t xml:space="preserve">, 40% </w:t>
      </w:r>
      <w:r w:rsidRPr="00483C19">
        <w:t>аргона</w:t>
      </w:r>
      <w:r w:rsidRPr="00483C19">
        <w:rPr>
          <w:lang w:val="nl-NL"/>
        </w:rPr>
        <w:t xml:space="preserve">, 8% </w:t>
      </w:r>
      <w:r w:rsidRPr="00483C19">
        <w:t>диоксида углерода</w:t>
      </w:r>
      <w:r w:rsidRPr="00483C19">
        <w:rPr>
          <w:lang w:val="nl-NL"/>
        </w:rPr>
        <w:t>);</w:t>
      </w:r>
    </w:p>
    <w:p w:rsidR="00483C19" w:rsidRPr="00483C19" w:rsidRDefault="00483C19" w:rsidP="00483C19">
      <w:pPr>
        <w:pStyle w:val="SingleTxtGR"/>
        <w:rPr>
          <w:lang w:val="nl-NL"/>
        </w:rPr>
      </w:pPr>
      <w:r w:rsidRPr="00483C19">
        <w:rPr>
          <w:lang w:val="nl-NL"/>
        </w:rPr>
        <w:tab/>
        <w:t>d)</w:t>
      </w:r>
      <w:r w:rsidRPr="00483C19">
        <w:rPr>
          <w:lang w:val="nl-NL"/>
        </w:rPr>
        <w:tab/>
        <w:t>FK-5-1-12 (додекафтор-2-метилпентан-3-он).</w:t>
      </w:r>
    </w:p>
    <w:p w:rsidR="00483C19" w:rsidRPr="00483C19" w:rsidRDefault="00483C19" w:rsidP="00483C19">
      <w:pPr>
        <w:pStyle w:val="SingleTxtGR"/>
      </w:pPr>
      <w:r w:rsidRPr="00483C19">
        <w:t>2.</w:t>
      </w:r>
      <w:r w:rsidRPr="00483C19">
        <w:tab/>
        <w:t>Вентиляция, забор воздуха</w:t>
      </w:r>
    </w:p>
    <w:p w:rsidR="00483C19" w:rsidRPr="00483C19" w:rsidRDefault="00483C19" w:rsidP="00483C19">
      <w:pPr>
        <w:pStyle w:val="SingleTxtGR"/>
      </w:pPr>
      <w:r w:rsidRPr="00483C19">
        <w:tab/>
      </w:r>
      <w:r w:rsidRPr="00483C19">
        <w:rPr>
          <w:lang w:val="en-US"/>
        </w:rPr>
        <w:t>a</w:t>
      </w:r>
      <w:r w:rsidRPr="00483C19">
        <w:t>)</w:t>
      </w:r>
      <w:r w:rsidRPr="00483C19">
        <w:tab/>
        <w:t>Забор воздуха, поступающего в камеру сгорания двигателей, обе</w:t>
      </w:r>
      <w:r w:rsidRPr="00483C19">
        <w:t>с</w:t>
      </w:r>
      <w:r w:rsidRPr="00483C19">
        <w:t>печивающих движение, не должен производиться из помещений, которые по</w:t>
      </w:r>
      <w:r w:rsidRPr="00483C19">
        <w:t>д</w:t>
      </w:r>
      <w:r w:rsidRPr="00483C19">
        <w:t>лежат предохранению с помощью стационарных систем противопожарной з</w:t>
      </w:r>
      <w:r w:rsidRPr="00483C19">
        <w:t>а</w:t>
      </w:r>
      <w:r w:rsidRPr="00483C19">
        <w:t>щиты.</w:t>
      </w:r>
      <w:r w:rsidR="00CF09E5">
        <w:t xml:space="preserve"> </w:t>
      </w:r>
      <w:r w:rsidRPr="00483C19">
        <w:t>Это положение не применяется в том случае, если есть два взаимонез</w:t>
      </w:r>
      <w:r w:rsidRPr="00483C19">
        <w:t>а</w:t>
      </w:r>
      <w:r w:rsidR="00131A01">
        <w:t>висимых</w:t>
      </w:r>
      <w:r w:rsidRPr="00483C19">
        <w:t xml:space="preserve"> и герметически разделенны</w:t>
      </w:r>
      <w:r w:rsidR="00131A01">
        <w:t>х</w:t>
      </w:r>
      <w:r w:rsidRPr="00483C19">
        <w:t xml:space="preserve"> главны</w:t>
      </w:r>
      <w:r w:rsidR="00131A01">
        <w:t>х</w:t>
      </w:r>
      <w:r w:rsidRPr="00483C19">
        <w:t xml:space="preserve"> машинн</w:t>
      </w:r>
      <w:r w:rsidR="00131A01">
        <w:t>ых</w:t>
      </w:r>
      <w:r w:rsidRPr="00483C19">
        <w:t xml:space="preserve"> отделения или если рядом с главным машинным отделением есть отдельное машинное отделение с носовым подруливающим устройством, позволяющим судну идти своим ходом в случае пожара в главном машинном отделении.</w:t>
      </w:r>
    </w:p>
    <w:p w:rsidR="00483C19" w:rsidRPr="00483C19" w:rsidRDefault="00483C19" w:rsidP="00483C19">
      <w:pPr>
        <w:pStyle w:val="SingleTxtGR"/>
      </w:pPr>
      <w:r w:rsidRPr="00483C19">
        <w:tab/>
      </w:r>
      <w:r w:rsidRPr="00483C19">
        <w:rPr>
          <w:lang w:val="en-US"/>
        </w:rPr>
        <w:t>b</w:t>
      </w:r>
      <w:r w:rsidRPr="00483C19">
        <w:t>)</w:t>
      </w:r>
      <w:r w:rsidRPr="00483C19">
        <w:tab/>
        <w:t>Любая принудительная вентиляция, установленная в отделении, должна отключаться автоматически в случае срабатывания системы пожарот</w:t>
      </w:r>
      <w:r w:rsidRPr="00483C19">
        <w:t>у</w:t>
      </w:r>
      <w:r w:rsidRPr="00483C19">
        <w:t>шения.</w:t>
      </w:r>
    </w:p>
    <w:p w:rsidR="00483C19" w:rsidRPr="00483C19" w:rsidRDefault="00483C19" w:rsidP="00483C19">
      <w:pPr>
        <w:pStyle w:val="SingleTxtGR"/>
      </w:pPr>
      <w:r w:rsidRPr="00483C19">
        <w:tab/>
      </w:r>
      <w:r w:rsidRPr="00483C19">
        <w:rPr>
          <w:lang w:val="en-US"/>
        </w:rPr>
        <w:t>c</w:t>
      </w:r>
      <w:r w:rsidRPr="00483C19">
        <w:t>)</w:t>
      </w:r>
      <w:r w:rsidRPr="00483C19">
        <w:tab/>
        <w:t>Должны быть предусмотрены устройства, с помощью которых можно быстро закрыть все отверстия, через которые поступает воздух или в</w:t>
      </w:r>
      <w:r w:rsidRPr="00483C19">
        <w:t>ы</w:t>
      </w:r>
      <w:r w:rsidRPr="00483C19">
        <w:t>ходит газ из защищаемого помещения. Необходимо предусмотреть возможность четко распознавать, открыты они или закрыты.</w:t>
      </w:r>
    </w:p>
    <w:p w:rsidR="00483C19" w:rsidRPr="00483C19" w:rsidRDefault="00483C19" w:rsidP="00483C19">
      <w:pPr>
        <w:pStyle w:val="SingleTxtGR"/>
      </w:pPr>
      <w:r w:rsidRPr="00483C19">
        <w:tab/>
      </w:r>
      <w:r w:rsidRPr="00483C19">
        <w:rPr>
          <w:lang w:val="en-US"/>
        </w:rPr>
        <w:t>d</w:t>
      </w:r>
      <w:r w:rsidRPr="00483C19">
        <w:t>)</w:t>
      </w:r>
      <w:r w:rsidRPr="00483C19">
        <w:tab/>
        <w:t>Воздух, который выходит через клапаны для сброса давления в е</w:t>
      </w:r>
      <w:r w:rsidRPr="00483C19">
        <w:t>м</w:t>
      </w:r>
      <w:r w:rsidRPr="00483C19">
        <w:t>костях для сжатого воздуха, установленных в машинных отделениях, выводится в атмосферу.</w:t>
      </w:r>
      <w:r w:rsidR="00CF09E5">
        <w:t xml:space="preserve"> </w:t>
      </w:r>
    </w:p>
    <w:p w:rsidR="00483C19" w:rsidRPr="00483C19" w:rsidRDefault="00483C19" w:rsidP="00483C19">
      <w:pPr>
        <w:pStyle w:val="SingleTxtGR"/>
      </w:pPr>
      <w:r w:rsidRPr="00483C19">
        <w:tab/>
      </w:r>
      <w:r w:rsidRPr="00483C19">
        <w:rPr>
          <w:lang w:val="en-US"/>
        </w:rPr>
        <w:t>e</w:t>
      </w:r>
      <w:r w:rsidRPr="00483C19">
        <w:t>)</w:t>
      </w:r>
      <w:r w:rsidRPr="00483C19">
        <w:tab/>
        <w:t>Избыточное или недостаточное давление, обусловленное притоком огнетушительного состава, не должно разрушать компоненты окружающих п</w:t>
      </w:r>
      <w:r w:rsidRPr="00483C19">
        <w:t>е</w:t>
      </w:r>
      <w:r w:rsidRPr="00483C19">
        <w:t>реборок защищаемого помещения. Необходимо предусмотреть возможность выравнивания давления безопасным образом.</w:t>
      </w:r>
    </w:p>
    <w:p w:rsidR="00483C19" w:rsidRPr="00483C19" w:rsidRDefault="00483C19" w:rsidP="00483C19">
      <w:pPr>
        <w:pStyle w:val="SingleTxtGR"/>
      </w:pPr>
      <w:r w:rsidRPr="00483C19">
        <w:tab/>
      </w:r>
      <w:r w:rsidRPr="00483C19">
        <w:rPr>
          <w:lang w:val="en-US"/>
        </w:rPr>
        <w:t>f</w:t>
      </w:r>
      <w:r w:rsidRPr="00483C19">
        <w:t>)</w:t>
      </w:r>
      <w:r w:rsidRPr="00483C19">
        <w:tab/>
        <w:t>Защищаемые помещения должны быть оснащены оборудованием для извлечения огнетушительного состава и горючих газов. Необходимо пред</w:t>
      </w:r>
      <w:r w:rsidRPr="00483C19">
        <w:t>у</w:t>
      </w:r>
      <w:r w:rsidRPr="00483C19">
        <w:t>смотреть возможность управления таким оборудованием из мест, которые ра</w:t>
      </w:r>
      <w:r w:rsidRPr="00483C19">
        <w:t>с</w:t>
      </w:r>
      <w:r w:rsidRPr="00483C19">
        <w:t>положены вне защищаемых помещений и которые не должны оказаться нед</w:t>
      </w:r>
      <w:r w:rsidRPr="00483C19">
        <w:t>о</w:t>
      </w:r>
      <w:r w:rsidRPr="00483C19">
        <w:t>ступными вследствие пожара в таких местах.</w:t>
      </w:r>
      <w:r w:rsidR="00CF09E5">
        <w:t xml:space="preserve"> </w:t>
      </w:r>
      <w:r w:rsidRPr="00483C19">
        <w:t>В случае наличия стационарных вытяжных устройств необходимо исключить возможность их включения во время тушения пожара.</w:t>
      </w:r>
    </w:p>
    <w:p w:rsidR="00483C19" w:rsidRPr="00483C19" w:rsidRDefault="00483C19" w:rsidP="00483C19">
      <w:pPr>
        <w:pStyle w:val="SingleTxtGR"/>
      </w:pPr>
      <w:r w:rsidRPr="00483C19">
        <w:t xml:space="preserve">3. </w:t>
      </w:r>
      <w:r w:rsidRPr="00483C19">
        <w:tab/>
        <w:t>Система пожарной сигнализации</w:t>
      </w:r>
    </w:p>
    <w:p w:rsidR="00483C19" w:rsidRPr="00483C19" w:rsidRDefault="00CF09E5" w:rsidP="00483C19">
      <w:pPr>
        <w:pStyle w:val="SingleTxtGR"/>
      </w:pPr>
      <w:r>
        <w:tab/>
      </w:r>
      <w:r w:rsidR="00483C19" w:rsidRPr="00483C19">
        <w:t>Защищаемое помещение должно контролироваться с помощью соотве</w:t>
      </w:r>
      <w:r w:rsidR="00483C19" w:rsidRPr="00483C19">
        <w:t>т</w:t>
      </w:r>
      <w:r w:rsidR="00483C19" w:rsidRPr="00483C19">
        <w:t>ствующей системы пожарной сигнализации.</w:t>
      </w:r>
      <w:r>
        <w:t xml:space="preserve"> </w:t>
      </w:r>
      <w:r w:rsidR="00483C19" w:rsidRPr="00483C19">
        <w:t>Эта сигнализация должна быть видна в рулевой рубке, жилых помещениях и защищаемом помещении.</w:t>
      </w:r>
    </w:p>
    <w:p w:rsidR="00483C19" w:rsidRPr="00483C19" w:rsidRDefault="00483C19" w:rsidP="00483C19">
      <w:pPr>
        <w:pStyle w:val="SingleTxtGR"/>
      </w:pPr>
      <w:r w:rsidRPr="00483C19">
        <w:t>4.</w:t>
      </w:r>
      <w:r w:rsidRPr="00483C19">
        <w:tab/>
        <w:t>Система трубопроводов</w:t>
      </w:r>
    </w:p>
    <w:p w:rsidR="00483C19" w:rsidRPr="00483C19" w:rsidRDefault="00483C19" w:rsidP="00483C19">
      <w:pPr>
        <w:pStyle w:val="SingleTxtGR"/>
      </w:pPr>
      <w:r w:rsidRPr="00483C19">
        <w:tab/>
      </w:r>
      <w:r w:rsidRPr="00483C19">
        <w:rPr>
          <w:lang w:val="en-US"/>
        </w:rPr>
        <w:t>a</w:t>
      </w:r>
      <w:r w:rsidRPr="00483C19">
        <w:t>)</w:t>
      </w:r>
      <w:r w:rsidRPr="00483C19">
        <w:tab/>
        <w:t>Огнетушительный состав подается в защищаемое помещение и распределяется там с помощью стационарной системы трубопроводов.</w:t>
      </w:r>
      <w:r w:rsidR="00CF09E5">
        <w:t xml:space="preserve"> </w:t>
      </w:r>
      <w:r w:rsidRPr="00483C19">
        <w:t>Внутри защищаемого помещения трубопроводы и соответствующая арматура должны быть изготовлены из стали.</w:t>
      </w:r>
      <w:r w:rsidR="00CF09E5">
        <w:t xml:space="preserve"> </w:t>
      </w:r>
      <w:r w:rsidRPr="00483C19">
        <w:t>Эти требования не распространяются на трубопр</w:t>
      </w:r>
      <w:r w:rsidRPr="00483C19">
        <w:t>о</w:t>
      </w:r>
      <w:r w:rsidRPr="00483C19">
        <w:t>воды, соединяющие цистерны, и подвижные соединения, при условии что и</w:t>
      </w:r>
      <w:r w:rsidRPr="00483C19">
        <w:t>с</w:t>
      </w:r>
      <w:r w:rsidRPr="00483C19">
        <w:t>пользуемые материалы обладают равноценными противопожарными свойств</w:t>
      </w:r>
      <w:r w:rsidRPr="00483C19">
        <w:t>а</w:t>
      </w:r>
      <w:r w:rsidRPr="00483C19">
        <w:t>ми.</w:t>
      </w:r>
      <w:r w:rsidR="00CF09E5">
        <w:t xml:space="preserve"> </w:t>
      </w:r>
      <w:r w:rsidRPr="00483C19">
        <w:t>Трубопроводы должны быть предохранены от коррозии внутри и снаружи.</w:t>
      </w:r>
    </w:p>
    <w:p w:rsidR="00483C19" w:rsidRPr="00483C19" w:rsidRDefault="00483C19" w:rsidP="00483C19">
      <w:pPr>
        <w:pStyle w:val="SingleTxtGR"/>
      </w:pPr>
      <w:r w:rsidRPr="00483C19">
        <w:tab/>
      </w:r>
      <w:r w:rsidRPr="00483C19">
        <w:rPr>
          <w:lang w:val="en-US"/>
        </w:rPr>
        <w:t>b</w:t>
      </w:r>
      <w:r w:rsidRPr="00483C19">
        <w:t>)</w:t>
      </w:r>
      <w:r w:rsidRPr="00483C19">
        <w:tab/>
        <w:t>выпускные отверстия должны иметь такие размеры и быть уст</w:t>
      </w:r>
      <w:r w:rsidRPr="00483C19">
        <w:t>а</w:t>
      </w:r>
      <w:r w:rsidRPr="00483C19">
        <w:t>новлены таким образом, чтобы огнегасящий агент распределялся равномерно. В частности, огнегасящий агент должен также действовать под настилом.</w:t>
      </w:r>
    </w:p>
    <w:p w:rsidR="00483C19" w:rsidRPr="00483C19" w:rsidRDefault="00483C19" w:rsidP="00483C19">
      <w:pPr>
        <w:pStyle w:val="SingleTxtGR"/>
      </w:pPr>
      <w:r w:rsidRPr="00483C19">
        <w:t>5.</w:t>
      </w:r>
      <w:r w:rsidRPr="00483C19">
        <w:tab/>
        <w:t>Устройство включения</w:t>
      </w:r>
    </w:p>
    <w:p w:rsidR="00483C19" w:rsidRPr="00483C19" w:rsidRDefault="00483C19" w:rsidP="00483C19">
      <w:pPr>
        <w:pStyle w:val="SingleTxtGR"/>
      </w:pPr>
      <w:r w:rsidRPr="00483C19">
        <w:tab/>
      </w:r>
      <w:r w:rsidRPr="00483C19">
        <w:rPr>
          <w:lang w:val="en-US"/>
        </w:rPr>
        <w:t>a</w:t>
      </w:r>
      <w:r w:rsidRPr="00483C19">
        <w:t>)</w:t>
      </w:r>
      <w:r w:rsidRPr="00483C19">
        <w:tab/>
        <w:t>Системы пожаротушения с автоматическим включением не допу</w:t>
      </w:r>
      <w:r w:rsidRPr="00483C19">
        <w:t>с</w:t>
      </w:r>
      <w:r w:rsidRPr="00483C19">
        <w:t>каются.</w:t>
      </w:r>
    </w:p>
    <w:p w:rsidR="00483C19" w:rsidRPr="00483C19" w:rsidRDefault="00483C19" w:rsidP="00483C19">
      <w:pPr>
        <w:pStyle w:val="SingleTxtGR"/>
      </w:pPr>
      <w:r w:rsidRPr="00483C19">
        <w:tab/>
      </w:r>
      <w:r w:rsidRPr="00483C19">
        <w:rPr>
          <w:lang w:val="en-US"/>
        </w:rPr>
        <w:t>b</w:t>
      </w:r>
      <w:r w:rsidRPr="00483C19">
        <w:t>)</w:t>
      </w:r>
      <w:r w:rsidRPr="00483C19">
        <w:tab/>
        <w:t>Необходимо предусмотреть возможность включения системы п</w:t>
      </w:r>
      <w:r w:rsidRPr="00483C19">
        <w:t>о</w:t>
      </w:r>
      <w:r w:rsidRPr="00483C19">
        <w:t>жаротушения из подходящего места вне защищаемого помещения.</w:t>
      </w:r>
    </w:p>
    <w:p w:rsidR="00483C19" w:rsidRPr="00483C19" w:rsidRDefault="00483C19" w:rsidP="00483C19">
      <w:pPr>
        <w:pStyle w:val="SingleTxtGR"/>
      </w:pPr>
      <w:r w:rsidRPr="00483C19">
        <w:tab/>
      </w:r>
      <w:r w:rsidRPr="00483C19">
        <w:rPr>
          <w:lang w:val="en-US"/>
        </w:rPr>
        <w:t>c</w:t>
      </w:r>
      <w:r w:rsidRPr="00483C19">
        <w:t>)</w:t>
      </w:r>
      <w:r w:rsidRPr="00483C19">
        <w:tab/>
        <w:t>Устройства включения устанавливают таким образом, чтобы их можно было привести в действие даже в случае пожара и чтобы в случае уще</w:t>
      </w:r>
      <w:r w:rsidRPr="00483C19">
        <w:t>р</w:t>
      </w:r>
      <w:r w:rsidRPr="00483C19">
        <w:t>ба, вызванного пожаром или взрывом в защищаемом помещении, можно было подавать необходимое количество огнетушительного состава.</w:t>
      </w:r>
    </w:p>
    <w:p w:rsidR="00483C19" w:rsidRPr="00483C19" w:rsidRDefault="00CF09E5" w:rsidP="00483C19">
      <w:pPr>
        <w:pStyle w:val="SingleTxtGR"/>
      </w:pPr>
      <w:r>
        <w:tab/>
      </w:r>
      <w:r w:rsidR="00483C19" w:rsidRPr="00483C19">
        <w:t>Напряжение на немеханические устройства включения должно подават</w:t>
      </w:r>
      <w:r w:rsidR="00483C19" w:rsidRPr="00483C19">
        <w:t>ь</w:t>
      </w:r>
      <w:r w:rsidR="00483C19" w:rsidRPr="00483C19">
        <w:t>ся из двух различных взаимонезависимых источников электроэнергии.</w:t>
      </w:r>
      <w:r>
        <w:t xml:space="preserve"> </w:t>
      </w:r>
      <w:r w:rsidR="00483C19" w:rsidRPr="00483C19">
        <w:t>Эти и</w:t>
      </w:r>
      <w:r w:rsidR="00483C19" w:rsidRPr="00483C19">
        <w:t>с</w:t>
      </w:r>
      <w:r w:rsidR="00483C19" w:rsidRPr="00483C19">
        <w:t>точники электроэнергии должны быть расположены вне защищаемого помещ</w:t>
      </w:r>
      <w:r w:rsidR="00483C19" w:rsidRPr="00483C19">
        <w:t>е</w:t>
      </w:r>
      <w:r w:rsidR="00483C19" w:rsidRPr="00483C19">
        <w:t>ния.</w:t>
      </w:r>
      <w:r>
        <w:t xml:space="preserve"> </w:t>
      </w:r>
      <w:r w:rsidR="00483C19" w:rsidRPr="00483C19">
        <w:t>Линии передачи сигналов управления в защищаемом помещении должны быть выполнены таким образом, чтобы в случае пожара они могли работать в течение не менее 30 минут.</w:t>
      </w:r>
      <w:r>
        <w:t xml:space="preserve"> </w:t>
      </w:r>
      <w:r w:rsidR="00483C19" w:rsidRPr="00483C19">
        <w:t xml:space="preserve">Это требование должно соблюдаться в случае </w:t>
      </w:r>
      <w:r w:rsidR="00140E0C">
        <w:br/>
      </w:r>
      <w:r w:rsidR="00483C19" w:rsidRPr="00483C19">
        <w:t xml:space="preserve">электропроводки, если она соответствует международному стандарту </w:t>
      </w:r>
      <w:r w:rsidR="00483C19" w:rsidRPr="00483C19">
        <w:rPr>
          <w:lang w:val="en-US"/>
        </w:rPr>
        <w:t>IEC </w:t>
      </w:r>
      <w:r w:rsidR="00483C19" w:rsidRPr="00483C19">
        <w:t>60331­21</w:t>
      </w:r>
      <w:r w:rsidR="00483C19" w:rsidRPr="00483C19">
        <w:rPr>
          <w:lang w:val="en-US"/>
        </w:rPr>
        <w:t> </w:t>
      </w:r>
      <w:r w:rsidR="00483C19" w:rsidRPr="00483C19">
        <w:t>:</w:t>
      </w:r>
      <w:r w:rsidR="00483C19" w:rsidRPr="00483C19">
        <w:rPr>
          <w:lang w:val="en-US"/>
        </w:rPr>
        <w:t> </w:t>
      </w:r>
      <w:r w:rsidR="00483C19" w:rsidRPr="00483C19">
        <w:t>1999.</w:t>
      </w:r>
    </w:p>
    <w:p w:rsidR="00483C19" w:rsidRPr="00483C19" w:rsidRDefault="00CF09E5" w:rsidP="00483C19">
      <w:pPr>
        <w:pStyle w:val="SingleTxtGR"/>
      </w:pPr>
      <w:r>
        <w:tab/>
      </w:r>
      <w:r w:rsidR="00433A81" w:rsidRPr="00483C19">
        <w:t>Если устройства включения установлены таким образом, что они не ви</w:t>
      </w:r>
      <w:r w:rsidR="00433A81" w:rsidRPr="00483C19">
        <w:t>д</w:t>
      </w:r>
      <w:r w:rsidR="00433A81" w:rsidRPr="00483C19">
        <w:t>ны, то на закрывающей их панели должен быть нанесен символ (система п</w:t>
      </w:r>
      <w:r w:rsidR="00433A81">
        <w:t>о</w:t>
      </w:r>
      <w:r w:rsidR="00433A81" w:rsidRPr="00483C19">
        <w:t>ж</w:t>
      </w:r>
      <w:r w:rsidR="00433A81" w:rsidRPr="00483C19">
        <w:t>а</w:t>
      </w:r>
      <w:r w:rsidR="00433A81" w:rsidRPr="00483C19">
        <w:t>ротушения), показанный на рис. 6 в приложении 4,</w:t>
      </w:r>
      <w:r w:rsidR="00433A81">
        <w:t xml:space="preserve"> </w:t>
      </w:r>
      <w:r w:rsidR="00433A81" w:rsidRPr="00483C19">
        <w:t>с длиной стороны не менее 10 см и следующим текстом, нанесенным красными буквами на белом фоне:</w:t>
      </w:r>
    </w:p>
    <w:p w:rsidR="00483C19" w:rsidRPr="00483C19" w:rsidRDefault="00131A01" w:rsidP="00CF09E5">
      <w:pPr>
        <w:pStyle w:val="SingleTxtGR"/>
        <w:jc w:val="center"/>
      </w:pPr>
      <w:r>
        <w:t>"</w:t>
      </w:r>
      <w:r w:rsidR="00483C19" w:rsidRPr="00483C19">
        <w:rPr>
          <w:lang w:val="en-US"/>
        </w:rPr>
        <w:t>Feuerl</w:t>
      </w:r>
      <w:r w:rsidR="00483C19" w:rsidRPr="00483C19">
        <w:t>ö</w:t>
      </w:r>
      <w:r w:rsidR="00483C19" w:rsidRPr="00483C19">
        <w:rPr>
          <w:lang w:val="en-US"/>
        </w:rPr>
        <w:t>scheinrichtung</w:t>
      </w:r>
    </w:p>
    <w:p w:rsidR="00483C19" w:rsidRPr="00483C19" w:rsidRDefault="00483C19" w:rsidP="00CF09E5">
      <w:pPr>
        <w:pStyle w:val="SingleTxtGR"/>
        <w:jc w:val="center"/>
      </w:pPr>
      <w:r w:rsidRPr="00483C19">
        <w:rPr>
          <w:lang w:val="en-US"/>
        </w:rPr>
        <w:t>Installation</w:t>
      </w:r>
      <w:r w:rsidRPr="00483C19">
        <w:t xml:space="preserve"> </w:t>
      </w:r>
      <w:r w:rsidRPr="00483C19">
        <w:rPr>
          <w:lang w:val="en-US"/>
        </w:rPr>
        <w:t>d</w:t>
      </w:r>
      <w:r w:rsidRPr="00483C19">
        <w:t>'</w:t>
      </w:r>
      <w:r w:rsidRPr="00483C19">
        <w:rPr>
          <w:lang w:val="en-US"/>
        </w:rPr>
        <w:t>extinction</w:t>
      </w:r>
    </w:p>
    <w:p w:rsidR="00483C19" w:rsidRPr="00483C19" w:rsidRDefault="00483C19" w:rsidP="00CF09E5">
      <w:pPr>
        <w:pStyle w:val="SingleTxtGR"/>
        <w:jc w:val="center"/>
      </w:pPr>
      <w:r w:rsidRPr="00483C19">
        <w:rPr>
          <w:lang w:val="en-US"/>
        </w:rPr>
        <w:t>Brandblusinstallatie</w:t>
      </w:r>
    </w:p>
    <w:p w:rsidR="00483C19" w:rsidRPr="00131A01" w:rsidRDefault="00483C19" w:rsidP="00CF09E5">
      <w:pPr>
        <w:pStyle w:val="SingleTxtGR"/>
        <w:jc w:val="center"/>
        <w:rPr>
          <w:lang w:val="en-US"/>
        </w:rPr>
      </w:pPr>
      <w:r w:rsidRPr="00483C19">
        <w:rPr>
          <w:lang w:val="en-US"/>
        </w:rPr>
        <w:t>Fire</w:t>
      </w:r>
      <w:r w:rsidRPr="00131A01">
        <w:rPr>
          <w:lang w:val="en-US"/>
        </w:rPr>
        <w:t>-</w:t>
      </w:r>
      <w:r w:rsidRPr="00483C19">
        <w:rPr>
          <w:lang w:val="en-US"/>
        </w:rPr>
        <w:t>fighting</w:t>
      </w:r>
      <w:r w:rsidRPr="00131A01">
        <w:rPr>
          <w:lang w:val="en-US"/>
        </w:rPr>
        <w:t xml:space="preserve"> </w:t>
      </w:r>
      <w:r w:rsidRPr="00483C19">
        <w:rPr>
          <w:lang w:val="en-US"/>
        </w:rPr>
        <w:t>installation</w:t>
      </w:r>
    </w:p>
    <w:p w:rsidR="00483C19" w:rsidRPr="00131A01" w:rsidRDefault="00483C19" w:rsidP="00CF09E5">
      <w:pPr>
        <w:pStyle w:val="SingleTxtGR"/>
        <w:jc w:val="center"/>
        <w:rPr>
          <w:lang w:val="en-US"/>
        </w:rPr>
      </w:pPr>
      <w:r w:rsidRPr="00483C19">
        <w:t>Система</w:t>
      </w:r>
      <w:r w:rsidRPr="00131A01">
        <w:rPr>
          <w:lang w:val="en-US"/>
        </w:rPr>
        <w:t xml:space="preserve"> </w:t>
      </w:r>
      <w:r w:rsidRPr="00483C19">
        <w:t>пожаротушения</w:t>
      </w:r>
      <w:r w:rsidR="00131A01" w:rsidRPr="00131A01">
        <w:rPr>
          <w:lang w:val="en-US"/>
        </w:rPr>
        <w:t>"</w:t>
      </w:r>
      <w:r w:rsidRPr="00131A01">
        <w:rPr>
          <w:lang w:val="en-US"/>
        </w:rPr>
        <w:t>.</w:t>
      </w:r>
    </w:p>
    <w:p w:rsidR="00483C19" w:rsidRPr="00483C19" w:rsidRDefault="00483C19" w:rsidP="00483C19">
      <w:pPr>
        <w:pStyle w:val="SingleTxtGR"/>
      </w:pPr>
      <w:r w:rsidRPr="00131A01">
        <w:rPr>
          <w:lang w:val="en-US"/>
        </w:rPr>
        <w:tab/>
      </w:r>
      <w:r w:rsidRPr="00483C19">
        <w:rPr>
          <w:lang w:val="en-US"/>
        </w:rPr>
        <w:t>d</w:t>
      </w:r>
      <w:r w:rsidRPr="00483C19">
        <w:t>)</w:t>
      </w:r>
      <w:r w:rsidRPr="00483C19">
        <w:tab/>
        <w:t>Если система пожаротушения предназначена для защиты нескол</w:t>
      </w:r>
      <w:r w:rsidRPr="00483C19">
        <w:t>ь</w:t>
      </w:r>
      <w:r w:rsidRPr="00483C19">
        <w:t>ких помещений, то устройства включения для каждого помещения должны быть отдельными и легко распознаваемыми.</w:t>
      </w:r>
    </w:p>
    <w:p w:rsidR="00483C19" w:rsidRPr="00483C19" w:rsidRDefault="00CF09E5" w:rsidP="00483C19">
      <w:pPr>
        <w:pStyle w:val="SingleTxtGR"/>
      </w:pPr>
      <w:r>
        <w:tab/>
      </w:r>
      <w:r w:rsidR="00483C19" w:rsidRPr="00483C19">
        <w:rPr>
          <w:lang w:val="en-US"/>
        </w:rPr>
        <w:t>e</w:t>
      </w:r>
      <w:r w:rsidR="00483C19" w:rsidRPr="00483C19">
        <w:t>)</w:t>
      </w:r>
      <w:r w:rsidR="00483C19" w:rsidRPr="00483C19">
        <w:tab/>
        <w:t>Рядом с каждым устройством вывешиваются на видном месте н</w:t>
      </w:r>
      <w:r w:rsidR="00483C19" w:rsidRPr="00483C19">
        <w:t>е</w:t>
      </w:r>
      <w:r w:rsidR="00483C19" w:rsidRPr="00483C19">
        <w:t>стираемые инструкции по использованию на одном из языков государств-членов. Они должны, в частности, содержать инструкции, касающиеся:</w:t>
      </w:r>
    </w:p>
    <w:p w:rsidR="00483C19" w:rsidRPr="00483C19" w:rsidRDefault="00483C19" w:rsidP="00CF09E5">
      <w:pPr>
        <w:pStyle w:val="SingleTxtGR"/>
        <w:ind w:left="2835" w:hanging="1701"/>
      </w:pPr>
      <w:r w:rsidRPr="00483C19">
        <w:tab/>
      </w:r>
      <w:r w:rsidRPr="00483C19">
        <w:tab/>
      </w:r>
      <w:r w:rsidRPr="00483C19">
        <w:rPr>
          <w:lang w:val="en-US"/>
        </w:rPr>
        <w:t>aa</w:t>
      </w:r>
      <w:r w:rsidRPr="00483C19">
        <w:t>)</w:t>
      </w:r>
      <w:r w:rsidRPr="00483C19">
        <w:tab/>
        <w:t>включения системы пожаротушения;</w:t>
      </w:r>
    </w:p>
    <w:p w:rsidR="00483C19" w:rsidRPr="00483C19" w:rsidRDefault="00CF09E5" w:rsidP="00CF09E5">
      <w:pPr>
        <w:pStyle w:val="SingleTxtGR"/>
        <w:ind w:left="2835" w:hanging="1701"/>
      </w:pPr>
      <w:r>
        <w:tab/>
      </w:r>
      <w:r>
        <w:tab/>
      </w:r>
      <w:r w:rsidR="00483C19" w:rsidRPr="00483C19">
        <w:rPr>
          <w:lang w:val="en-US"/>
        </w:rPr>
        <w:t>bb</w:t>
      </w:r>
      <w:r w:rsidR="00483C19" w:rsidRPr="00483C19">
        <w:t>)</w:t>
      </w:r>
      <w:r w:rsidR="00483C19" w:rsidRPr="00483C19">
        <w:tab/>
        <w:t>необходимости проверки с целью убедиться в том, что все лица покинули защищаемое помещение;</w:t>
      </w:r>
    </w:p>
    <w:p w:rsidR="00483C19" w:rsidRPr="00483C19" w:rsidRDefault="00CF09E5" w:rsidP="00CF09E5">
      <w:pPr>
        <w:pStyle w:val="SingleTxtGR"/>
        <w:ind w:left="2835" w:hanging="1701"/>
      </w:pPr>
      <w:r>
        <w:tab/>
      </w:r>
      <w:r>
        <w:tab/>
      </w:r>
      <w:r w:rsidR="00483C19" w:rsidRPr="00483C19">
        <w:rPr>
          <w:lang w:val="en-US"/>
        </w:rPr>
        <w:t>cc</w:t>
      </w:r>
      <w:r w:rsidR="00483C19" w:rsidRPr="00483C19">
        <w:t>)</w:t>
      </w:r>
      <w:r w:rsidR="00483C19" w:rsidRPr="00483C19">
        <w:tab/>
        <w:t>мер, подлежащи</w:t>
      </w:r>
      <w:r w:rsidR="00131A01">
        <w:t>х</w:t>
      </w:r>
      <w:r w:rsidR="00483C19" w:rsidRPr="00483C19">
        <w:t xml:space="preserve"> принятию экипажем в связи с включением системы пожаротушения и доступа в защищаемое помещ</w:t>
      </w:r>
      <w:r w:rsidR="00483C19" w:rsidRPr="00483C19">
        <w:t>е</w:t>
      </w:r>
      <w:r w:rsidR="00483C19" w:rsidRPr="00483C19">
        <w:t>ние после включения системы или затопления, в частности, в связи с возможным наличием опасных веществ;</w:t>
      </w:r>
    </w:p>
    <w:p w:rsidR="00483C19" w:rsidRPr="00483C19" w:rsidRDefault="00CF09E5" w:rsidP="00CF09E5">
      <w:pPr>
        <w:pStyle w:val="SingleTxtGR"/>
        <w:ind w:left="2835" w:hanging="1701"/>
      </w:pPr>
      <w:r>
        <w:tab/>
      </w:r>
      <w:r>
        <w:tab/>
      </w:r>
      <w:r w:rsidR="00483C19" w:rsidRPr="00483C19">
        <w:rPr>
          <w:lang w:val="en-US"/>
        </w:rPr>
        <w:t>dd</w:t>
      </w:r>
      <w:r w:rsidR="00131A01">
        <w:t>)</w:t>
      </w:r>
      <w:r w:rsidR="00131A01">
        <w:tab/>
        <w:t>мер, подлежащих</w:t>
      </w:r>
      <w:r w:rsidR="00483C19" w:rsidRPr="00483C19">
        <w:t xml:space="preserve"> принятию в случае сбоя в работе системы пожаротушения.</w:t>
      </w:r>
    </w:p>
    <w:p w:rsidR="00483C19" w:rsidRPr="00483C19" w:rsidRDefault="00483C19" w:rsidP="00483C19">
      <w:pPr>
        <w:pStyle w:val="SingleTxtGR"/>
      </w:pPr>
      <w:r w:rsidRPr="00483C19">
        <w:tab/>
      </w:r>
      <w:r w:rsidRPr="00483C19">
        <w:rPr>
          <w:lang w:val="en-US"/>
        </w:rPr>
        <w:t>f</w:t>
      </w:r>
      <w:r w:rsidRPr="00483C19">
        <w:t>)</w:t>
      </w:r>
      <w:r w:rsidRPr="00483C19">
        <w:tab/>
        <w:t>Инструкции по использованию должны содержать указание на предмет того, что до включения системы пожаротушения двигатели внутренн</w:t>
      </w:r>
      <w:r w:rsidRPr="00483C19">
        <w:t>е</w:t>
      </w:r>
      <w:r w:rsidRPr="00483C19">
        <w:t>го сгорания, засасывающие воздух из защищаемого помещения, должны быть выключены.</w:t>
      </w:r>
    </w:p>
    <w:p w:rsidR="00483C19" w:rsidRPr="00483C19" w:rsidRDefault="00483C19" w:rsidP="00483C19">
      <w:pPr>
        <w:pStyle w:val="SingleTxtGR"/>
      </w:pPr>
      <w:r w:rsidRPr="00483C19">
        <w:t>6.</w:t>
      </w:r>
      <w:r w:rsidRPr="00483C19">
        <w:tab/>
        <w:t>Система сигнализации</w:t>
      </w:r>
    </w:p>
    <w:p w:rsidR="00483C19" w:rsidRPr="00483C19" w:rsidRDefault="00483C19" w:rsidP="00483C19">
      <w:pPr>
        <w:pStyle w:val="SingleTxtGR"/>
      </w:pPr>
      <w:r w:rsidRPr="00483C19">
        <w:tab/>
      </w:r>
      <w:r w:rsidRPr="00483C19">
        <w:rPr>
          <w:lang w:val="en-US"/>
        </w:rPr>
        <w:t>a</w:t>
      </w:r>
      <w:r w:rsidRPr="00483C19">
        <w:t>)</w:t>
      </w:r>
      <w:r w:rsidRPr="00483C19">
        <w:tab/>
        <w:t>Стационарные системы пожаротушения должны быть оснащены системами визуально-звуковой сигнализации.</w:t>
      </w:r>
    </w:p>
    <w:p w:rsidR="00483C19" w:rsidRPr="00483C19" w:rsidRDefault="00483C19" w:rsidP="00483C19">
      <w:pPr>
        <w:pStyle w:val="SingleTxtGR"/>
      </w:pPr>
      <w:r w:rsidRPr="00483C19">
        <w:tab/>
      </w:r>
      <w:r w:rsidRPr="00483C19">
        <w:rPr>
          <w:lang w:val="en-US"/>
        </w:rPr>
        <w:t>b</w:t>
      </w:r>
      <w:r w:rsidRPr="00483C19">
        <w:t>)</w:t>
      </w:r>
      <w:r w:rsidRPr="00483C19">
        <w:tab/>
        <w:t>Система сигнализации должна включаться автоматически сразу же после первоначального включения системы пожаротушения.</w:t>
      </w:r>
      <w:r w:rsidR="00CF09E5">
        <w:t xml:space="preserve"> </w:t>
      </w:r>
      <w:r w:rsidR="00A41A56" w:rsidRPr="00483C19">
        <w:t>Предупредител</w:t>
      </w:r>
      <w:r w:rsidR="00A41A56" w:rsidRPr="00483C19">
        <w:t>ь</w:t>
      </w:r>
      <w:r w:rsidR="00A41A56" w:rsidRPr="00483C19">
        <w:t>ный сигнал должен раздаваться в течение соответствующего периода времени до подачи огнетушительного состава, притом что возможность его выключения должна быть исключена.</w:t>
      </w:r>
    </w:p>
    <w:p w:rsidR="00483C19" w:rsidRPr="00483C19" w:rsidRDefault="00CF09E5" w:rsidP="00483C19">
      <w:pPr>
        <w:pStyle w:val="SingleTxtGR"/>
      </w:pPr>
      <w:r>
        <w:tab/>
      </w:r>
      <w:r w:rsidR="00483C19" w:rsidRPr="00483C19">
        <w:rPr>
          <w:lang w:val="en-US"/>
        </w:rPr>
        <w:t>c</w:t>
      </w:r>
      <w:r w:rsidR="00483C19" w:rsidRPr="00483C19">
        <w:t>)</w:t>
      </w:r>
      <w:r w:rsidR="00483C19" w:rsidRPr="00483C19">
        <w:tab/>
        <w:t>Предупредительные сигналы должны быть ясно видны в защища</w:t>
      </w:r>
      <w:r w:rsidR="00483C19" w:rsidRPr="00483C19">
        <w:t>е</w:t>
      </w:r>
      <w:r w:rsidR="00483C19" w:rsidRPr="00483C19">
        <w:t>мых помещениях и с наружной стороны доступа к ним и ясно слышны даже в условиях работы, создающ</w:t>
      </w:r>
      <w:r w:rsidR="00FF1F5B">
        <w:t>е</w:t>
      </w:r>
      <w:r w:rsidR="00483C19" w:rsidRPr="00483C19">
        <w:t>й самый высокий присущий ей уровень шума.</w:t>
      </w:r>
      <w:r>
        <w:t xml:space="preserve"> </w:t>
      </w:r>
      <w:r w:rsidR="00483C19" w:rsidRPr="00483C19">
        <w:t>Они должны четко отличаться от всех других визуально-звуковых сигналов в защ</w:t>
      </w:r>
      <w:r w:rsidR="00483C19" w:rsidRPr="00483C19">
        <w:t>и</w:t>
      </w:r>
      <w:r w:rsidR="00483C19" w:rsidRPr="00483C19">
        <w:t>щаемом помещении.</w:t>
      </w:r>
    </w:p>
    <w:p w:rsidR="00483C19" w:rsidRPr="00483C19" w:rsidRDefault="00483C19" w:rsidP="00483C19">
      <w:pPr>
        <w:pStyle w:val="SingleTxtGR"/>
      </w:pPr>
      <w:r w:rsidRPr="00483C19">
        <w:tab/>
      </w:r>
      <w:r w:rsidRPr="00483C19">
        <w:rPr>
          <w:lang w:val="en-US"/>
        </w:rPr>
        <w:t>d</w:t>
      </w:r>
      <w:r w:rsidRPr="00483C19">
        <w:t>)</w:t>
      </w:r>
      <w:r w:rsidRPr="00483C19">
        <w:tab/>
        <w:t>Звуковые предупредительные сигналы должны быть хорошо слы</w:t>
      </w:r>
      <w:r w:rsidRPr="00483C19">
        <w:t>ш</w:t>
      </w:r>
      <w:r w:rsidRPr="00483C19">
        <w:t>ны в смежных помещениях даже при закрытых дверях между ними в условиях работы, создающ</w:t>
      </w:r>
      <w:r w:rsidR="00FF1F5B">
        <w:t>е</w:t>
      </w:r>
      <w:r w:rsidRPr="00483C19">
        <w:t>й самый высокий присущий ей уровень шума.</w:t>
      </w:r>
    </w:p>
    <w:p w:rsidR="00483C19" w:rsidRPr="00483C19" w:rsidRDefault="00483C19" w:rsidP="00483C19">
      <w:pPr>
        <w:pStyle w:val="SingleTxtGR"/>
      </w:pPr>
      <w:r w:rsidRPr="00483C19">
        <w:tab/>
      </w:r>
      <w:r w:rsidRPr="00483C19">
        <w:rPr>
          <w:lang w:val="en-US"/>
        </w:rPr>
        <w:t>e</w:t>
      </w:r>
      <w:r w:rsidRPr="00483C19">
        <w:t>)</w:t>
      </w:r>
      <w:r w:rsidRPr="00483C19">
        <w:tab/>
        <w:t>Если система предупреждения не оснащена функцией сам</w:t>
      </w:r>
      <w:r w:rsidRPr="00483C19">
        <w:t>о</w:t>
      </w:r>
      <w:r w:rsidRPr="00483C19">
        <w:t>контроля в части коротких замыканий, разрыва электропроводки и падения напряжения, то необходимо предусмотреть возможность ее проверки с целью убедиться в том, что она работает надлежащим образом.</w:t>
      </w:r>
    </w:p>
    <w:p w:rsidR="00483C19" w:rsidRPr="00483C19" w:rsidRDefault="00483C19" w:rsidP="00483C19">
      <w:pPr>
        <w:pStyle w:val="SingleTxtGR"/>
      </w:pPr>
      <w:r w:rsidRPr="00483C19">
        <w:tab/>
      </w:r>
      <w:r w:rsidRPr="00483C19">
        <w:rPr>
          <w:lang w:val="en-US"/>
        </w:rPr>
        <w:t>f</w:t>
      </w:r>
      <w:r w:rsidRPr="00483C19">
        <w:t>)</w:t>
      </w:r>
      <w:r w:rsidRPr="00483C19">
        <w:tab/>
        <w:t>На каждом входе в помещение, в которое можно подавать огнет</w:t>
      </w:r>
      <w:r w:rsidRPr="00483C19">
        <w:t>у</w:t>
      </w:r>
      <w:r w:rsidRPr="00483C19">
        <w:t>шительный состав, необходимо поместить сообщение, содержащее следующий текст, выполненный красным шрифтом на белом фоне:</w:t>
      </w:r>
    </w:p>
    <w:p w:rsidR="00483C19" w:rsidRPr="00483C19" w:rsidRDefault="00FF1F5B" w:rsidP="00CF09E5">
      <w:pPr>
        <w:pStyle w:val="SingleTxtGR"/>
        <w:jc w:val="center"/>
        <w:rPr>
          <w:lang w:val="de-DE"/>
        </w:rPr>
      </w:pPr>
      <w:r>
        <w:t>"</w:t>
      </w:r>
      <w:r w:rsidR="00483C19" w:rsidRPr="00483C19">
        <w:rPr>
          <w:lang w:val="de-DE"/>
        </w:rPr>
        <w:t>Vorsicht, Feuerlöscheinrichtung!</w:t>
      </w:r>
    </w:p>
    <w:p w:rsidR="00483C19" w:rsidRPr="00483C19" w:rsidRDefault="00483C19" w:rsidP="00CF09E5">
      <w:pPr>
        <w:pStyle w:val="SingleTxtGR"/>
        <w:jc w:val="center"/>
        <w:rPr>
          <w:lang w:val="de-DE"/>
        </w:rPr>
      </w:pPr>
      <w:r w:rsidRPr="00483C19">
        <w:rPr>
          <w:lang w:val="de-DE"/>
        </w:rPr>
        <w:t>Bei Ertönen des Warnsignals (Beschreibung des Signals) den Raum sofort verlassen!</w:t>
      </w:r>
    </w:p>
    <w:p w:rsidR="00483C19" w:rsidRPr="00483C19" w:rsidRDefault="00483C19" w:rsidP="00CF09E5">
      <w:pPr>
        <w:pStyle w:val="SingleTxtGR"/>
        <w:jc w:val="center"/>
        <w:rPr>
          <w:lang w:val="fr-CH"/>
        </w:rPr>
      </w:pPr>
      <w:r w:rsidRPr="00483C19">
        <w:rPr>
          <w:lang w:val="fr-CH"/>
        </w:rPr>
        <w:t>Attention, installation d'extinction d'incendie !</w:t>
      </w:r>
    </w:p>
    <w:p w:rsidR="00483C19" w:rsidRPr="00483C19" w:rsidRDefault="00483C19" w:rsidP="00CF09E5">
      <w:pPr>
        <w:pStyle w:val="SingleTxtGR"/>
        <w:jc w:val="center"/>
        <w:rPr>
          <w:lang w:val="fr-CH"/>
        </w:rPr>
      </w:pPr>
      <w:r w:rsidRPr="00483C19">
        <w:rPr>
          <w:lang w:val="fr-CH"/>
        </w:rPr>
        <w:t>Quitter immédiatement ce local au signal (description du signal) !</w:t>
      </w:r>
    </w:p>
    <w:p w:rsidR="00483C19" w:rsidRPr="00483C19" w:rsidRDefault="00483C19" w:rsidP="00CF09E5">
      <w:pPr>
        <w:pStyle w:val="SingleTxtGR"/>
        <w:jc w:val="center"/>
        <w:rPr>
          <w:lang w:val="nl-NL"/>
        </w:rPr>
      </w:pPr>
      <w:r w:rsidRPr="00483C19">
        <w:rPr>
          <w:lang w:val="nl-NL"/>
        </w:rPr>
        <w:t>Let op, brandblusinstallatie!</w:t>
      </w:r>
    </w:p>
    <w:p w:rsidR="00483C19" w:rsidRPr="00483C19" w:rsidRDefault="00483C19" w:rsidP="00CF09E5">
      <w:pPr>
        <w:pStyle w:val="SingleTxtGR"/>
        <w:jc w:val="center"/>
        <w:rPr>
          <w:lang w:val="nl-NL"/>
        </w:rPr>
      </w:pPr>
      <w:r w:rsidRPr="00483C19">
        <w:rPr>
          <w:lang w:val="nl-NL"/>
        </w:rPr>
        <w:t>Bij het in werking treden van het alarmsignaal (omschrijving van het signaal) deze ruimte onmiddellijk verlaten!</w:t>
      </w:r>
    </w:p>
    <w:p w:rsidR="00483C19" w:rsidRPr="00483C19" w:rsidRDefault="00483C19" w:rsidP="00CF09E5">
      <w:pPr>
        <w:pStyle w:val="SingleTxtGR"/>
        <w:jc w:val="center"/>
        <w:rPr>
          <w:lang w:val="en-US"/>
        </w:rPr>
      </w:pPr>
      <w:r w:rsidRPr="00483C19">
        <w:rPr>
          <w:lang w:val="en-US"/>
        </w:rPr>
        <w:t>Warning, fire-fighting installation!</w:t>
      </w:r>
    </w:p>
    <w:p w:rsidR="00483C19" w:rsidRPr="00FF1F5B" w:rsidRDefault="00483C19" w:rsidP="00CF09E5">
      <w:pPr>
        <w:pStyle w:val="SingleTxtGR"/>
        <w:jc w:val="center"/>
        <w:rPr>
          <w:lang w:val="en-US"/>
        </w:rPr>
      </w:pPr>
      <w:r w:rsidRPr="00483C19">
        <w:rPr>
          <w:lang w:val="en-US"/>
        </w:rPr>
        <w:t xml:space="preserve">Leave the room as soon as the warning signal </w:t>
      </w:r>
      <w:r w:rsidR="00FF1F5B">
        <w:rPr>
          <w:lang w:val="en-US"/>
        </w:rPr>
        <w:t>sounds (description of signal)!</w:t>
      </w:r>
    </w:p>
    <w:p w:rsidR="00483C19" w:rsidRPr="00483C19" w:rsidRDefault="00483C19" w:rsidP="00CF09E5">
      <w:pPr>
        <w:pStyle w:val="SingleTxtGR"/>
        <w:jc w:val="center"/>
      </w:pPr>
      <w:r w:rsidRPr="00483C19">
        <w:t>Внимание! Система пожаротушения!</w:t>
      </w:r>
      <w:r w:rsidR="00FF1F5B">
        <w:t>"</w:t>
      </w:r>
    </w:p>
    <w:p w:rsidR="00483C19" w:rsidRPr="00483C19" w:rsidRDefault="00483C19" w:rsidP="00CF09E5">
      <w:pPr>
        <w:pStyle w:val="SingleTxtGR"/>
        <w:jc w:val="center"/>
      </w:pPr>
      <w:r w:rsidRPr="00483C19">
        <w:t>Если прозвучал предупредительный сигнал (описание сигнала), немедленно покинуть помещение</w:t>
      </w:r>
      <w:r w:rsidR="00D25582">
        <w:t>"</w:t>
      </w:r>
      <w:r w:rsidRPr="00483C19">
        <w:t>.</w:t>
      </w:r>
    </w:p>
    <w:p w:rsidR="00483C19" w:rsidRPr="00483C19" w:rsidRDefault="00483C19" w:rsidP="00483C19">
      <w:pPr>
        <w:pStyle w:val="SingleTxtGR"/>
      </w:pPr>
      <w:r w:rsidRPr="00483C19">
        <w:t>7.</w:t>
      </w:r>
      <w:r w:rsidRPr="00483C19">
        <w:tab/>
        <w:t xml:space="preserve">Резервуары высокого давления, арматура и трубопроводы, находящиеся под давлением </w:t>
      </w:r>
    </w:p>
    <w:p w:rsidR="00483C19" w:rsidRPr="00483C19" w:rsidRDefault="00483C19" w:rsidP="00483C19">
      <w:pPr>
        <w:pStyle w:val="SingleTxtGR"/>
      </w:pPr>
      <w:r w:rsidRPr="00483C19">
        <w:tab/>
      </w:r>
      <w:r w:rsidRPr="00483C19">
        <w:rPr>
          <w:lang w:val="en-US"/>
        </w:rPr>
        <w:t>a</w:t>
      </w:r>
      <w:r w:rsidRPr="00483C19">
        <w:t>)</w:t>
      </w:r>
      <w:r w:rsidRPr="00483C19">
        <w:tab/>
        <w:t>Резервуары высокого давления, а также арматура и трубопроводы, находящиеся под давлением, должны соответствовать действующим положен</w:t>
      </w:r>
      <w:r w:rsidRPr="00483C19">
        <w:t>и</w:t>
      </w:r>
      <w:r w:rsidRPr="00483C19">
        <w:t>ям в одном из государств</w:t>
      </w:r>
      <w:r w:rsidR="00FF1F5B">
        <w:t>-</w:t>
      </w:r>
      <w:r w:rsidRPr="00483C19">
        <w:t>членов.</w:t>
      </w:r>
    </w:p>
    <w:p w:rsidR="00483C19" w:rsidRPr="00483C19" w:rsidRDefault="00483C19" w:rsidP="00483C19">
      <w:pPr>
        <w:pStyle w:val="SingleTxtGR"/>
      </w:pPr>
      <w:r w:rsidRPr="00483C19">
        <w:tab/>
      </w:r>
      <w:r w:rsidRPr="00483C19">
        <w:rPr>
          <w:lang w:val="en-US"/>
        </w:rPr>
        <w:t>b</w:t>
      </w:r>
      <w:r w:rsidRPr="00483C19">
        <w:t>)</w:t>
      </w:r>
      <w:r w:rsidRPr="00483C19">
        <w:tab/>
        <w:t>Резервуары высокого давления устанавливаются в соответствии с инструкциями изготовителя.</w:t>
      </w:r>
    </w:p>
    <w:p w:rsidR="00483C19" w:rsidRPr="00483C19" w:rsidRDefault="00483C19" w:rsidP="00483C19">
      <w:pPr>
        <w:pStyle w:val="SingleTxtGR"/>
      </w:pPr>
      <w:r w:rsidRPr="00483C19">
        <w:tab/>
      </w:r>
      <w:r w:rsidRPr="00483C19">
        <w:rPr>
          <w:lang w:val="en-US"/>
        </w:rPr>
        <w:t>c</w:t>
      </w:r>
      <w:r w:rsidRPr="00483C19">
        <w:t>)</w:t>
      </w:r>
      <w:r w:rsidRPr="00483C19">
        <w:tab/>
        <w:t>Установка резервуаров высокого давления, арматуры и трубопров</w:t>
      </w:r>
      <w:r w:rsidRPr="00483C19">
        <w:t>о</w:t>
      </w:r>
      <w:r w:rsidRPr="00483C19">
        <w:t>дов под давлением в жилых помещениях не допускается.</w:t>
      </w:r>
    </w:p>
    <w:p w:rsidR="00483C19" w:rsidRPr="00483C19" w:rsidRDefault="00483C19" w:rsidP="00483C19">
      <w:pPr>
        <w:pStyle w:val="SingleTxtGR"/>
      </w:pPr>
      <w:r w:rsidRPr="00483C19">
        <w:tab/>
      </w:r>
      <w:r w:rsidRPr="00483C19">
        <w:rPr>
          <w:lang w:val="en-US"/>
        </w:rPr>
        <w:t>d</w:t>
      </w:r>
      <w:r w:rsidRPr="00483C19">
        <w:t>)</w:t>
      </w:r>
      <w:r w:rsidRPr="00483C19">
        <w:tab/>
        <w:t>Температура в шкафах и помещениях для хранения емкостей под давлением не должна превышать 50 °</w:t>
      </w:r>
      <w:r w:rsidRPr="00483C19">
        <w:rPr>
          <w:lang w:val="en-US"/>
        </w:rPr>
        <w:t>C</w:t>
      </w:r>
      <w:r w:rsidRPr="00483C19">
        <w:t>.</w:t>
      </w:r>
    </w:p>
    <w:p w:rsidR="00483C19" w:rsidRPr="00483C19" w:rsidRDefault="00CF09E5" w:rsidP="00483C19">
      <w:pPr>
        <w:pStyle w:val="SingleTxtGR"/>
      </w:pPr>
      <w:r>
        <w:tab/>
      </w:r>
      <w:r w:rsidR="00483C19" w:rsidRPr="00483C19">
        <w:rPr>
          <w:lang w:val="en-US"/>
        </w:rPr>
        <w:t>e</w:t>
      </w:r>
      <w:r w:rsidR="00483C19" w:rsidRPr="00483C19">
        <w:t>)</w:t>
      </w:r>
      <w:r w:rsidR="00483C19" w:rsidRPr="00483C19">
        <w:tab/>
        <w:t>Шкафы или помещения на палубах должны прочно крепиться на месте установки и должны быть снабжены вентиляционными отверстиями</w:t>
      </w:r>
      <w:r w:rsidR="00FF1F5B">
        <w:t>,</w:t>
      </w:r>
      <w:r w:rsidR="00483C19" w:rsidRPr="00483C19">
        <w:t xml:space="preserve"> расположенными таким образом, чтобы в случае нарушения герметичности р</w:t>
      </w:r>
      <w:r w:rsidR="00483C19" w:rsidRPr="00483C19">
        <w:t>е</w:t>
      </w:r>
      <w:r w:rsidR="00483C19" w:rsidRPr="00483C19">
        <w:t>зервуара высокого давления выходящий газ не мог проникнуть внутрь судна.</w:t>
      </w:r>
      <w:r>
        <w:t xml:space="preserve"> </w:t>
      </w:r>
      <w:r w:rsidR="00483C19" w:rsidRPr="00483C19">
        <w:t>Наличие прямого сообщения с другими помещениями не допускается.</w:t>
      </w:r>
    </w:p>
    <w:p w:rsidR="00483C19" w:rsidRPr="00483C19" w:rsidRDefault="00483C19" w:rsidP="00483C19">
      <w:pPr>
        <w:pStyle w:val="SingleTxtGR"/>
      </w:pPr>
      <w:r w:rsidRPr="00483C19">
        <w:t>8.</w:t>
      </w:r>
      <w:r w:rsidRPr="00483C19">
        <w:tab/>
        <w:t>Количество огнетушительного состава</w:t>
      </w:r>
    </w:p>
    <w:p w:rsidR="00483C19" w:rsidRPr="00483C19" w:rsidRDefault="00CF09E5" w:rsidP="00483C19">
      <w:pPr>
        <w:pStyle w:val="SingleTxtGR"/>
      </w:pPr>
      <w:r>
        <w:tab/>
      </w:r>
      <w:r w:rsidR="00483C19" w:rsidRPr="00483C19">
        <w:t>Если количество огнетушительного состава предназначено для защиты более чем одного помещения, то в этом случае нет необходимости, чтобы общее количество имеющегося огнетушительного состава было больше того колич</w:t>
      </w:r>
      <w:r w:rsidR="00483C19" w:rsidRPr="00483C19">
        <w:t>е</w:t>
      </w:r>
      <w:r w:rsidR="00483C19" w:rsidRPr="00483C19">
        <w:t xml:space="preserve">ства, которое требуется для самого большого из </w:t>
      </w:r>
      <w:r w:rsidR="00A41A56" w:rsidRPr="00483C19">
        <w:t>защищаемых</w:t>
      </w:r>
      <w:r w:rsidR="00483C19" w:rsidRPr="00483C19">
        <w:t xml:space="preserve"> помещений.</w:t>
      </w:r>
    </w:p>
    <w:p w:rsidR="00483C19" w:rsidRPr="00483C19" w:rsidRDefault="00483C19" w:rsidP="00483C19">
      <w:pPr>
        <w:pStyle w:val="SingleTxtGR"/>
      </w:pPr>
      <w:r w:rsidRPr="00483C19">
        <w:t>9.</w:t>
      </w:r>
      <w:r w:rsidRPr="00483C19">
        <w:tab/>
        <w:t>Монтаж, освидетельствование и документация</w:t>
      </w:r>
    </w:p>
    <w:p w:rsidR="00483C19" w:rsidRPr="00483C19" w:rsidRDefault="00483C19" w:rsidP="00483C19">
      <w:pPr>
        <w:pStyle w:val="SingleTxtGR"/>
      </w:pPr>
      <w:r w:rsidRPr="00483C19">
        <w:tab/>
      </w:r>
      <w:r w:rsidRPr="00483C19">
        <w:rPr>
          <w:lang w:val="en-US"/>
        </w:rPr>
        <w:t>a</w:t>
      </w:r>
      <w:r w:rsidRPr="00483C19">
        <w:t>)</w:t>
      </w:r>
      <w:r w:rsidRPr="00483C19">
        <w:tab/>
        <w:t>Система должна устанавливаться или подвергаться модификации только организацией, специализирующейся на системах пожаротушения.</w:t>
      </w:r>
      <w:r w:rsidR="00CF09E5">
        <w:t xml:space="preserve"> </w:t>
      </w:r>
      <w:r w:rsidRPr="00483C19">
        <w:t>Должны соблюдаться требования, установленные изготовителем огнетушител</w:t>
      </w:r>
      <w:r w:rsidRPr="00483C19">
        <w:t>ь</w:t>
      </w:r>
      <w:r w:rsidRPr="00483C19">
        <w:t>ного состава и изготовителем системы (карточка с техническими данными на продукт, памятка по технике безопасности).</w:t>
      </w:r>
    </w:p>
    <w:p w:rsidR="00483C19" w:rsidRPr="00483C19" w:rsidRDefault="00483C19" w:rsidP="00483C19">
      <w:pPr>
        <w:pStyle w:val="SingleTxtGR"/>
      </w:pPr>
      <w:r w:rsidRPr="00483C19">
        <w:tab/>
      </w:r>
      <w:r w:rsidRPr="00483C19">
        <w:rPr>
          <w:lang w:val="en-US"/>
        </w:rPr>
        <w:t>b</w:t>
      </w:r>
      <w:r w:rsidRPr="00483C19">
        <w:t>)</w:t>
      </w:r>
      <w:r w:rsidRPr="00483C19">
        <w:tab/>
        <w:t>Система должна проверяться экспертом:</w:t>
      </w:r>
    </w:p>
    <w:p w:rsidR="00483C19" w:rsidRPr="00483C19" w:rsidRDefault="00483C19" w:rsidP="00CF09E5">
      <w:pPr>
        <w:pStyle w:val="SingleTxtGR"/>
        <w:ind w:left="2835" w:hanging="1701"/>
      </w:pPr>
      <w:r w:rsidRPr="00483C19">
        <w:tab/>
      </w:r>
      <w:r w:rsidRPr="00483C19">
        <w:tab/>
      </w:r>
      <w:r w:rsidRPr="00483C19">
        <w:rPr>
          <w:lang w:val="en-US"/>
        </w:rPr>
        <w:t>aa</w:t>
      </w:r>
      <w:r w:rsidRPr="00483C19">
        <w:t>)</w:t>
      </w:r>
      <w:r w:rsidRPr="00483C19">
        <w:tab/>
        <w:t>перед вводом в эксплуатацию в первый раз;</w:t>
      </w:r>
    </w:p>
    <w:p w:rsidR="00483C19" w:rsidRPr="00483C19" w:rsidRDefault="00483C19" w:rsidP="00CF09E5">
      <w:pPr>
        <w:pStyle w:val="SingleTxtGR"/>
        <w:ind w:left="2835" w:hanging="1701"/>
      </w:pPr>
      <w:r w:rsidRPr="00483C19">
        <w:tab/>
      </w:r>
      <w:r w:rsidRPr="00483C19">
        <w:tab/>
      </w:r>
      <w:r w:rsidRPr="00483C19">
        <w:rPr>
          <w:lang w:val="en-US"/>
        </w:rPr>
        <w:t>bb</w:t>
      </w:r>
      <w:r w:rsidRPr="00483C19">
        <w:t>)</w:t>
      </w:r>
      <w:r w:rsidRPr="00483C19">
        <w:tab/>
        <w:t>перед каждым новым приведением в действие после ее включения;</w:t>
      </w:r>
    </w:p>
    <w:p w:rsidR="00483C19" w:rsidRPr="00483C19" w:rsidRDefault="00FF1F5B" w:rsidP="00CF09E5">
      <w:pPr>
        <w:pStyle w:val="SingleTxtGR"/>
        <w:ind w:left="2835" w:hanging="1701"/>
      </w:pPr>
      <w:r>
        <w:tab/>
      </w:r>
      <w:r>
        <w:tab/>
      </w:r>
      <w:r w:rsidR="00483C19" w:rsidRPr="00483C19">
        <w:rPr>
          <w:lang w:val="en-US"/>
        </w:rPr>
        <w:t>cc</w:t>
      </w:r>
      <w:r w:rsidR="00483C19" w:rsidRPr="00483C19">
        <w:t>)</w:t>
      </w:r>
      <w:r w:rsidR="00483C19" w:rsidRPr="00483C19">
        <w:tab/>
        <w:t>перед каждым новым приведением в действие после любой модификации или любого ремонта; и</w:t>
      </w:r>
    </w:p>
    <w:p w:rsidR="00483C19" w:rsidRPr="00483C19" w:rsidRDefault="00483C19" w:rsidP="00CF09E5">
      <w:pPr>
        <w:pStyle w:val="SingleTxtGR"/>
        <w:ind w:left="2835" w:hanging="1701"/>
      </w:pPr>
      <w:r w:rsidRPr="00483C19">
        <w:tab/>
      </w:r>
      <w:r w:rsidRPr="00483C19">
        <w:tab/>
      </w:r>
      <w:r w:rsidRPr="00483C19">
        <w:rPr>
          <w:lang w:val="en-US"/>
        </w:rPr>
        <w:t>dd</w:t>
      </w:r>
      <w:r w:rsidRPr="00483C19">
        <w:t>)</w:t>
      </w:r>
      <w:r w:rsidRPr="00483C19">
        <w:tab/>
        <w:t>через регулярные промежутки времени, но не реже одного раза в два года.</w:t>
      </w:r>
    </w:p>
    <w:p w:rsidR="00483C19" w:rsidRPr="00483C19" w:rsidRDefault="00CF09E5" w:rsidP="00483C19">
      <w:pPr>
        <w:pStyle w:val="SingleTxtGR"/>
      </w:pPr>
      <w:r>
        <w:tab/>
      </w:r>
      <w:r w:rsidR="00483C19" w:rsidRPr="00483C19">
        <w:t xml:space="preserve">Освидетельствование, указанное в пункте </w:t>
      </w:r>
      <w:r w:rsidR="00483C19" w:rsidRPr="00483C19">
        <w:rPr>
          <w:lang w:val="en-US"/>
        </w:rPr>
        <w:t>dd</w:t>
      </w:r>
      <w:r w:rsidR="00483C19" w:rsidRPr="00483C19">
        <w:t>), может быть также пров</w:t>
      </w:r>
      <w:r w:rsidR="00483C19" w:rsidRPr="00483C19">
        <w:t>е</w:t>
      </w:r>
      <w:r w:rsidR="00483C19" w:rsidRPr="00483C19">
        <w:t>дено компетентным сотрудником организации, специализирующейся на сист</w:t>
      </w:r>
      <w:r w:rsidR="00483C19" w:rsidRPr="00483C19">
        <w:t>е</w:t>
      </w:r>
      <w:r w:rsidR="00483C19" w:rsidRPr="00483C19">
        <w:t>мах пожаротушения.</w:t>
      </w:r>
    </w:p>
    <w:p w:rsidR="00483C19" w:rsidRPr="00483C19" w:rsidRDefault="00483C19" w:rsidP="00483C19">
      <w:pPr>
        <w:pStyle w:val="SingleTxtGR"/>
      </w:pPr>
      <w:r w:rsidRPr="00483C19">
        <w:tab/>
      </w:r>
      <w:r w:rsidRPr="00483C19">
        <w:rPr>
          <w:lang w:val="en-US"/>
        </w:rPr>
        <w:t>c</w:t>
      </w:r>
      <w:r w:rsidRPr="00483C19">
        <w:t>)</w:t>
      </w:r>
      <w:r w:rsidRPr="00483C19">
        <w:tab/>
        <w:t>В ходе освидетельствования эксперт или компетентный сотрудник проводит проверку с целью установить соответствие этой системы требованиям настоящей статьи.</w:t>
      </w:r>
    </w:p>
    <w:p w:rsidR="00483C19" w:rsidRPr="00483C19" w:rsidRDefault="00483C19" w:rsidP="00483C19">
      <w:pPr>
        <w:pStyle w:val="SingleTxtGR"/>
      </w:pPr>
      <w:r w:rsidRPr="00483C19">
        <w:tab/>
      </w:r>
      <w:r w:rsidRPr="00483C19">
        <w:rPr>
          <w:lang w:val="en-US"/>
        </w:rPr>
        <w:t>d</w:t>
      </w:r>
      <w:r w:rsidRPr="00483C19">
        <w:t>)</w:t>
      </w:r>
      <w:r w:rsidRPr="00483C19">
        <w:tab/>
        <w:t>Проверка включает</w:t>
      </w:r>
      <w:r w:rsidR="00140E0C">
        <w:t xml:space="preserve"> как минимум</w:t>
      </w:r>
      <w:r w:rsidRPr="00483C19">
        <w:t xml:space="preserve"> следующее:</w:t>
      </w:r>
    </w:p>
    <w:p w:rsidR="00483C19" w:rsidRPr="00483C19" w:rsidRDefault="00483C19" w:rsidP="00CF09E5">
      <w:pPr>
        <w:pStyle w:val="SingleTxtGR"/>
        <w:ind w:left="2835" w:hanging="1701"/>
      </w:pPr>
      <w:r w:rsidRPr="00483C19">
        <w:tab/>
      </w:r>
      <w:r w:rsidRPr="00483C19">
        <w:tab/>
      </w:r>
      <w:r w:rsidRPr="00483C19">
        <w:rPr>
          <w:lang w:val="en-US"/>
        </w:rPr>
        <w:t>aa</w:t>
      </w:r>
      <w:r w:rsidRPr="00483C19">
        <w:t>)</w:t>
      </w:r>
      <w:r w:rsidRPr="00483C19">
        <w:tab/>
        <w:t>внешний осмотр всей системы;</w:t>
      </w:r>
    </w:p>
    <w:p w:rsidR="00483C19" w:rsidRPr="00483C19" w:rsidRDefault="00483C19" w:rsidP="00CF09E5">
      <w:pPr>
        <w:pStyle w:val="SingleTxtGR"/>
        <w:ind w:left="2835" w:hanging="1701"/>
      </w:pPr>
      <w:r w:rsidRPr="00483C19">
        <w:tab/>
      </w:r>
      <w:r w:rsidRPr="00483C19">
        <w:tab/>
      </w:r>
      <w:r w:rsidRPr="00483C19">
        <w:rPr>
          <w:lang w:val="en-US"/>
        </w:rPr>
        <w:t>bb</w:t>
      </w:r>
      <w:r w:rsidRPr="00483C19">
        <w:t>)</w:t>
      </w:r>
      <w:r w:rsidRPr="00483C19">
        <w:tab/>
        <w:t>проверку герметичности трубопроводов;</w:t>
      </w:r>
    </w:p>
    <w:p w:rsidR="00483C19" w:rsidRPr="00483C19" w:rsidRDefault="00483C19" w:rsidP="00CF09E5">
      <w:pPr>
        <w:pStyle w:val="SingleTxtGR"/>
        <w:ind w:left="2835" w:hanging="1701"/>
      </w:pPr>
      <w:r w:rsidRPr="00483C19">
        <w:tab/>
      </w:r>
      <w:r w:rsidRPr="00483C19">
        <w:tab/>
      </w:r>
      <w:r w:rsidRPr="00483C19">
        <w:rPr>
          <w:lang w:val="en-US"/>
        </w:rPr>
        <w:t>cc</w:t>
      </w:r>
      <w:r w:rsidRPr="00483C19">
        <w:t>)</w:t>
      </w:r>
      <w:r w:rsidRPr="00483C19">
        <w:tab/>
        <w:t>проверку работоспособности систем контроля и приведения в действие;</w:t>
      </w:r>
    </w:p>
    <w:p w:rsidR="00483C19" w:rsidRPr="00483C19" w:rsidRDefault="00483C19" w:rsidP="00CF09E5">
      <w:pPr>
        <w:pStyle w:val="SingleTxtGR"/>
        <w:ind w:left="2835" w:hanging="1701"/>
      </w:pPr>
      <w:r w:rsidRPr="00483C19">
        <w:tab/>
      </w:r>
      <w:r w:rsidRPr="00483C19">
        <w:tab/>
      </w:r>
      <w:r w:rsidRPr="00483C19">
        <w:rPr>
          <w:lang w:val="en-US"/>
        </w:rPr>
        <w:t>dd</w:t>
      </w:r>
      <w:r w:rsidRPr="00483C19">
        <w:t>)</w:t>
      </w:r>
      <w:r w:rsidRPr="00483C19">
        <w:tab/>
        <w:t>проверку давления в резервуарах и их содержимого;</w:t>
      </w:r>
    </w:p>
    <w:p w:rsidR="00483C19" w:rsidRPr="00483C19" w:rsidRDefault="00CF09E5" w:rsidP="00CF09E5">
      <w:pPr>
        <w:pStyle w:val="SingleTxtGR"/>
        <w:ind w:left="2835" w:hanging="1701"/>
      </w:pPr>
      <w:r>
        <w:tab/>
      </w:r>
      <w:r>
        <w:tab/>
      </w:r>
      <w:r w:rsidR="00483C19" w:rsidRPr="00483C19">
        <w:rPr>
          <w:lang w:val="en-US"/>
        </w:rPr>
        <w:t>ee</w:t>
      </w:r>
      <w:r w:rsidR="00483C19" w:rsidRPr="00483C19">
        <w:t>)</w:t>
      </w:r>
      <w:r w:rsidR="00483C19" w:rsidRPr="00483C19">
        <w:tab/>
        <w:t>проверку герметичности и механизмов закрытия защищаем</w:t>
      </w:r>
      <w:r w:rsidR="00483C19" w:rsidRPr="00483C19">
        <w:t>о</w:t>
      </w:r>
      <w:r w:rsidR="00483C19" w:rsidRPr="00483C19">
        <w:t>го помещения;</w:t>
      </w:r>
    </w:p>
    <w:p w:rsidR="00483C19" w:rsidRPr="00483C19" w:rsidRDefault="00483C19" w:rsidP="00CF09E5">
      <w:pPr>
        <w:pStyle w:val="SingleTxtGR"/>
        <w:ind w:left="2835" w:hanging="1701"/>
      </w:pPr>
      <w:r w:rsidRPr="00483C19">
        <w:tab/>
      </w:r>
      <w:r w:rsidRPr="00483C19">
        <w:tab/>
      </w:r>
      <w:r w:rsidRPr="00483C19">
        <w:rPr>
          <w:lang w:val="en-US"/>
        </w:rPr>
        <w:t>ff</w:t>
      </w:r>
      <w:r w:rsidRPr="00483C19">
        <w:t>)</w:t>
      </w:r>
      <w:r w:rsidRPr="00483C19">
        <w:tab/>
        <w:t>проверку системы пожарной сигнализации;</w:t>
      </w:r>
    </w:p>
    <w:p w:rsidR="00483C19" w:rsidRPr="00483C19" w:rsidRDefault="00483C19" w:rsidP="00CF09E5">
      <w:pPr>
        <w:pStyle w:val="SingleTxtGR"/>
        <w:ind w:left="2835" w:hanging="1701"/>
      </w:pPr>
      <w:r w:rsidRPr="00483C19">
        <w:tab/>
      </w:r>
      <w:r w:rsidRPr="00483C19">
        <w:tab/>
      </w:r>
      <w:r w:rsidRPr="00483C19">
        <w:rPr>
          <w:lang w:val="en-US"/>
        </w:rPr>
        <w:t>gg</w:t>
      </w:r>
      <w:r w:rsidRPr="00483C19">
        <w:t>)</w:t>
      </w:r>
      <w:r w:rsidRPr="00483C19">
        <w:tab/>
        <w:t>проверку системы предупреждения.</w:t>
      </w:r>
    </w:p>
    <w:p w:rsidR="00483C19" w:rsidRPr="00483C19" w:rsidRDefault="00483C19" w:rsidP="00483C19">
      <w:pPr>
        <w:pStyle w:val="SingleTxtGR"/>
      </w:pPr>
      <w:r w:rsidRPr="00483C19">
        <w:tab/>
      </w:r>
      <w:r w:rsidRPr="00483C19">
        <w:rPr>
          <w:lang w:val="en-US"/>
        </w:rPr>
        <w:t>e</w:t>
      </w:r>
      <w:r w:rsidRPr="00483C19">
        <w:t>)</w:t>
      </w:r>
      <w:r w:rsidRPr="00483C19">
        <w:tab/>
        <w:t>Выдается свидетельство о проверке, подписанное экспертом, с ук</w:t>
      </w:r>
      <w:r w:rsidRPr="00483C19">
        <w:t>а</w:t>
      </w:r>
      <w:r w:rsidRPr="00483C19">
        <w:t>занием даты проверки.</w:t>
      </w:r>
    </w:p>
    <w:p w:rsidR="00483C19" w:rsidRPr="00483C19" w:rsidRDefault="00483C19" w:rsidP="00483C19">
      <w:pPr>
        <w:pStyle w:val="SingleTxtGR"/>
      </w:pPr>
      <w:r w:rsidRPr="00483C19">
        <w:tab/>
      </w:r>
      <w:r w:rsidRPr="00483C19">
        <w:rPr>
          <w:lang w:val="en-US"/>
        </w:rPr>
        <w:t>f</w:t>
      </w:r>
      <w:r w:rsidRPr="00483C19">
        <w:t>)</w:t>
      </w:r>
      <w:r w:rsidRPr="00483C19">
        <w:tab/>
        <w:t>В свидетельстве о проверке судна внутреннего плавания должно быть указано число стационарных систем пожаротушения.</w:t>
      </w:r>
    </w:p>
    <w:p w:rsidR="00CF09E5" w:rsidRDefault="00483C19" w:rsidP="00483C19">
      <w:pPr>
        <w:pStyle w:val="SingleTxtGR"/>
      </w:pPr>
      <w:r w:rsidRPr="00483C19">
        <w:t>10.</w:t>
      </w:r>
      <w:r w:rsidRPr="00483C19">
        <w:tab/>
        <w:t xml:space="preserve">Системы пожаротушения, использующие </w:t>
      </w:r>
      <w:r w:rsidRPr="00483C19">
        <w:rPr>
          <w:lang w:val="en-US"/>
        </w:rPr>
        <w:t>CO</w:t>
      </w:r>
      <w:r w:rsidRPr="00483C19">
        <w:rPr>
          <w:vertAlign w:val="subscript"/>
        </w:rPr>
        <w:t>2</w:t>
      </w:r>
    </w:p>
    <w:p w:rsidR="00483C19" w:rsidRPr="00483C19" w:rsidRDefault="00140E0C" w:rsidP="00483C19">
      <w:pPr>
        <w:pStyle w:val="SingleTxtGR"/>
      </w:pPr>
      <w:r>
        <w:tab/>
      </w:r>
      <w:r w:rsidR="00483C19" w:rsidRPr="00483C19">
        <w:t>В дополнение к требованиям, содержащимся в пунктах 1)</w:t>
      </w:r>
      <w:r w:rsidR="00CF09E5">
        <w:t>–</w:t>
      </w:r>
      <w:r w:rsidR="00483C19" w:rsidRPr="00483C19">
        <w:t xml:space="preserve">9), системы пожаротушения, использующие </w:t>
      </w:r>
      <w:r w:rsidR="00483C19" w:rsidRPr="00483C19">
        <w:rPr>
          <w:lang w:val="en-US"/>
        </w:rPr>
        <w:t>CO</w:t>
      </w:r>
      <w:r w:rsidR="00483C19" w:rsidRPr="00483C19">
        <w:rPr>
          <w:vertAlign w:val="subscript"/>
        </w:rPr>
        <w:t>2</w:t>
      </w:r>
      <w:r w:rsidR="00483C19" w:rsidRPr="00483C19">
        <w:t xml:space="preserve"> в качестве огнетушительного состава, должны также отвечать нижеследующим положениям:</w:t>
      </w:r>
    </w:p>
    <w:p w:rsidR="00483C19" w:rsidRPr="00483C19" w:rsidRDefault="00483C19" w:rsidP="00483C19">
      <w:pPr>
        <w:pStyle w:val="SingleTxtGR"/>
      </w:pPr>
      <w:r w:rsidRPr="00483C19">
        <w:tab/>
      </w:r>
      <w:r w:rsidRPr="00483C19">
        <w:rPr>
          <w:lang w:val="en-US"/>
        </w:rPr>
        <w:t>a</w:t>
      </w:r>
      <w:r w:rsidRPr="00483C19">
        <w:t>)</w:t>
      </w:r>
      <w:r w:rsidRPr="00483C19">
        <w:tab/>
        <w:t xml:space="preserve">Резервуары с </w:t>
      </w:r>
      <w:r w:rsidRPr="00483C19">
        <w:rPr>
          <w:lang w:val="en-US"/>
        </w:rPr>
        <w:t>CO</w:t>
      </w:r>
      <w:r w:rsidRPr="00483C19">
        <w:rPr>
          <w:vertAlign w:val="subscript"/>
        </w:rPr>
        <w:t>2</w:t>
      </w:r>
      <w:r w:rsidRPr="00483C19">
        <w:t xml:space="preserve"> хранят вне защищаемого помещения в месте или шкафу, герметически </w:t>
      </w:r>
      <w:r w:rsidR="00A41A56" w:rsidRPr="00483C19">
        <w:t>отдел</w:t>
      </w:r>
      <w:r w:rsidR="00140E0C">
        <w:t>е</w:t>
      </w:r>
      <w:r w:rsidR="00A41A56" w:rsidRPr="00483C19">
        <w:t>нном</w:t>
      </w:r>
      <w:r w:rsidRPr="00483C19">
        <w:t xml:space="preserve"> от других помещений.</w:t>
      </w:r>
      <w:r w:rsidR="00CF09E5">
        <w:t xml:space="preserve"> </w:t>
      </w:r>
      <w:r w:rsidRPr="00483C19">
        <w:t xml:space="preserve">Двери этих помещений и шкафов для хранения должны открываться наружу, запираться на ключ и иметь с наружной стороны знак </w:t>
      </w:r>
      <w:r w:rsidR="00A41A56">
        <w:t>"</w:t>
      </w:r>
      <w:r w:rsidRPr="00483C19">
        <w:t>Предупреждение: общая опасность</w:t>
      </w:r>
      <w:r w:rsidR="00A41A56">
        <w:t>"</w:t>
      </w:r>
      <w:r w:rsidRPr="00483C19">
        <w:t xml:space="preserve"> в соо</w:t>
      </w:r>
      <w:r w:rsidRPr="00483C19">
        <w:t>т</w:t>
      </w:r>
      <w:r w:rsidRPr="00483C19">
        <w:t xml:space="preserve">ветствии с рис. 4 в приложении 4, высотой не менее 5 см, а также надпись </w:t>
      </w:r>
      <w:r w:rsidR="00A41A56">
        <w:t>"</w:t>
      </w:r>
      <w:r w:rsidRPr="00483C19">
        <w:t>СО</w:t>
      </w:r>
      <w:r w:rsidRPr="00483C19">
        <w:rPr>
          <w:vertAlign w:val="subscript"/>
        </w:rPr>
        <w:t>2</w:t>
      </w:r>
      <w:r w:rsidR="00A41A56">
        <w:t>"</w:t>
      </w:r>
      <w:r w:rsidRPr="00483C19">
        <w:t xml:space="preserve"> того же цвета и той же высоты.</w:t>
      </w:r>
      <w:r w:rsidR="00CF09E5">
        <w:t xml:space="preserve"> </w:t>
      </w:r>
    </w:p>
    <w:p w:rsidR="00483C19" w:rsidRPr="00483C19" w:rsidRDefault="00483C19" w:rsidP="00483C19">
      <w:pPr>
        <w:pStyle w:val="SingleTxtGR"/>
      </w:pPr>
      <w:r w:rsidRPr="00483C19">
        <w:tab/>
      </w:r>
      <w:r w:rsidRPr="00483C19">
        <w:rPr>
          <w:lang w:val="en-US"/>
        </w:rPr>
        <w:t>b</w:t>
      </w:r>
      <w:r w:rsidRPr="00483C19">
        <w:t>)</w:t>
      </w:r>
      <w:r w:rsidRPr="00483C19">
        <w:tab/>
        <w:t xml:space="preserve">Помещения для хранения резервуаров с </w:t>
      </w:r>
      <w:r w:rsidRPr="00483C19">
        <w:rPr>
          <w:lang w:val="en-US"/>
        </w:rPr>
        <w:t>CO</w:t>
      </w:r>
      <w:r w:rsidRPr="00483C19">
        <w:rPr>
          <w:vertAlign w:val="subscript"/>
        </w:rPr>
        <w:t>2</w:t>
      </w:r>
      <w:r w:rsidRPr="00483C19">
        <w:t>, расположенные под палубой, должны быть доступны только снаружи.</w:t>
      </w:r>
      <w:r w:rsidR="00CF09E5">
        <w:t xml:space="preserve"> </w:t>
      </w:r>
      <w:r w:rsidRPr="00483C19">
        <w:t>Эти помещения должны быть оборудованы системой принудительной вентиляции с вытяжными колпаками и должны быть полностью независимыми от других находящихся на борту с</w:t>
      </w:r>
      <w:r w:rsidRPr="00483C19">
        <w:t>и</w:t>
      </w:r>
      <w:r w:rsidRPr="00483C19">
        <w:t>стем вентиляции.</w:t>
      </w:r>
    </w:p>
    <w:p w:rsidR="00483C19" w:rsidRPr="00483C19" w:rsidRDefault="00483C19" w:rsidP="00483C19">
      <w:pPr>
        <w:pStyle w:val="SingleTxtGR"/>
      </w:pPr>
      <w:r w:rsidRPr="00483C19">
        <w:tab/>
      </w:r>
      <w:r w:rsidRPr="00483C19">
        <w:rPr>
          <w:lang w:val="en-US"/>
        </w:rPr>
        <w:t>c</w:t>
      </w:r>
      <w:r w:rsidRPr="00483C19">
        <w:t>)</w:t>
      </w:r>
      <w:r w:rsidRPr="00483C19">
        <w:tab/>
        <w:t xml:space="preserve">Резервуары с </w:t>
      </w:r>
      <w:r w:rsidRPr="00483C19">
        <w:rPr>
          <w:lang w:val="en-US"/>
        </w:rPr>
        <w:t>CO</w:t>
      </w:r>
      <w:r w:rsidRPr="00483C19">
        <w:rPr>
          <w:vertAlign w:val="subscript"/>
        </w:rPr>
        <w:t xml:space="preserve">2 </w:t>
      </w:r>
      <w:r w:rsidRPr="00483C19">
        <w:t>заполняются не более чем на 0,75 кг/л. За удел</w:t>
      </w:r>
      <w:r w:rsidRPr="00483C19">
        <w:t>ь</w:t>
      </w:r>
      <w:r w:rsidRPr="00483C19">
        <w:t>ный объем СО</w:t>
      </w:r>
      <w:r w:rsidRPr="00483C19">
        <w:rPr>
          <w:vertAlign w:val="subscript"/>
        </w:rPr>
        <w:t>2</w:t>
      </w:r>
      <w:r w:rsidRPr="00483C19">
        <w:t xml:space="preserve"> не под давлением принимается величина, равная 0,56 м</w:t>
      </w:r>
      <w:r w:rsidRPr="00483C19">
        <w:rPr>
          <w:vertAlign w:val="superscript"/>
        </w:rPr>
        <w:t>3</w:t>
      </w:r>
      <w:r w:rsidRPr="00483C19">
        <w:t>/кг.</w:t>
      </w:r>
    </w:p>
    <w:p w:rsidR="00483C19" w:rsidRPr="00483C19" w:rsidRDefault="00483C19" w:rsidP="00483C19">
      <w:pPr>
        <w:pStyle w:val="SingleTxtGR"/>
      </w:pPr>
      <w:r w:rsidRPr="00483C19">
        <w:tab/>
      </w:r>
      <w:r w:rsidRPr="00483C19">
        <w:rPr>
          <w:lang w:val="en-US"/>
        </w:rPr>
        <w:t>d</w:t>
      </w:r>
      <w:r w:rsidRPr="00483C19">
        <w:t>)</w:t>
      </w:r>
      <w:r w:rsidRPr="00483C19">
        <w:tab/>
        <w:t>Объем СО</w:t>
      </w:r>
      <w:r w:rsidRPr="00483C19">
        <w:rPr>
          <w:vertAlign w:val="subscript"/>
        </w:rPr>
        <w:t>2</w:t>
      </w:r>
      <w:r w:rsidRPr="00483C19">
        <w:t xml:space="preserve"> в защищаемом помещении должен составлять не менее 40% от его общего объема.</w:t>
      </w:r>
      <w:r w:rsidR="00CF09E5">
        <w:t xml:space="preserve"> </w:t>
      </w:r>
      <w:r w:rsidRPr="00483C19">
        <w:t>Необходимо предусмотреть возможность вытесн</w:t>
      </w:r>
      <w:r w:rsidRPr="00483C19">
        <w:t>е</w:t>
      </w:r>
      <w:r w:rsidRPr="00483C19">
        <w:t>ния этого объема газа за 120 секунд и проверить, что эта операция завершена успешно.</w:t>
      </w:r>
    </w:p>
    <w:p w:rsidR="00483C19" w:rsidRPr="00483C19" w:rsidRDefault="00483C19" w:rsidP="00483C19">
      <w:pPr>
        <w:pStyle w:val="SingleTxtGR"/>
      </w:pPr>
      <w:r w:rsidRPr="00483C19">
        <w:tab/>
      </w:r>
      <w:r w:rsidRPr="00483C19">
        <w:rPr>
          <w:lang w:val="en-US"/>
        </w:rPr>
        <w:t>e</w:t>
      </w:r>
      <w:r w:rsidRPr="00483C19">
        <w:t>)</w:t>
      </w:r>
      <w:r w:rsidRPr="00483C19">
        <w:tab/>
        <w:t>Открытие клапанов резервуара и управление клапаном затопления должны представлять собой две отдельные операции.</w:t>
      </w:r>
    </w:p>
    <w:p w:rsidR="00483C19" w:rsidRPr="00483C19" w:rsidRDefault="00483C19" w:rsidP="00483C19">
      <w:pPr>
        <w:pStyle w:val="SingleTxtGR"/>
      </w:pPr>
      <w:r w:rsidRPr="00483C19">
        <w:tab/>
      </w:r>
      <w:r w:rsidRPr="00483C19">
        <w:rPr>
          <w:lang w:val="en-US"/>
        </w:rPr>
        <w:t>f</w:t>
      </w:r>
      <w:r w:rsidRPr="00483C19">
        <w:t>)</w:t>
      </w:r>
      <w:r w:rsidRPr="00483C19">
        <w:tab/>
        <w:t>Надлежащий период времени, упомянутый в пункте 6 b), составл</w:t>
      </w:r>
      <w:r w:rsidRPr="00483C19">
        <w:t>я</w:t>
      </w:r>
      <w:r w:rsidRPr="00483C19">
        <w:t>ет не менее 20 секунд.</w:t>
      </w:r>
      <w:r w:rsidR="00CF09E5">
        <w:t xml:space="preserve"> </w:t>
      </w:r>
      <w:r w:rsidRPr="00483C19">
        <w:t xml:space="preserve">Регулировка времени вытеснения газа </w:t>
      </w:r>
      <w:r w:rsidRPr="00483C19">
        <w:rPr>
          <w:lang w:val="en-US"/>
        </w:rPr>
        <w:t>CO</w:t>
      </w:r>
      <w:r w:rsidRPr="00483C19">
        <w:rPr>
          <w:vertAlign w:val="subscript"/>
        </w:rPr>
        <w:t>2</w:t>
      </w:r>
      <w:r w:rsidRPr="00483C19">
        <w:t xml:space="preserve"> должна обе</w:t>
      </w:r>
      <w:r w:rsidRPr="00483C19">
        <w:t>с</w:t>
      </w:r>
      <w:r w:rsidRPr="00483C19">
        <w:t>печиваться с помощью надежного устройства.</w:t>
      </w:r>
    </w:p>
    <w:p w:rsidR="00483C19" w:rsidRPr="00483C19" w:rsidRDefault="00483C19" w:rsidP="00483C19">
      <w:pPr>
        <w:pStyle w:val="SingleTxtGR"/>
      </w:pPr>
      <w:r w:rsidRPr="00483C19">
        <w:t>11.</w:t>
      </w:r>
      <w:r w:rsidRPr="00483C19">
        <w:tab/>
        <w:t xml:space="preserve">Системы пожаротушения, использующие </w:t>
      </w:r>
      <w:r w:rsidRPr="00483C19">
        <w:rPr>
          <w:lang w:val="en-US"/>
        </w:rPr>
        <w:t>HFC</w:t>
      </w:r>
      <w:r w:rsidRPr="00483C19">
        <w:t>-227</w:t>
      </w:r>
      <w:r w:rsidRPr="00483C19">
        <w:rPr>
          <w:lang w:val="en-US"/>
        </w:rPr>
        <w:t>ea</w:t>
      </w:r>
    </w:p>
    <w:p w:rsidR="00483C19" w:rsidRPr="00483C19" w:rsidRDefault="00CF09E5" w:rsidP="00483C19">
      <w:pPr>
        <w:pStyle w:val="SingleTxtGR"/>
      </w:pPr>
      <w:r>
        <w:tab/>
      </w:r>
      <w:r w:rsidR="00483C19" w:rsidRPr="00483C19">
        <w:t xml:space="preserve">Системы пожаротушения, использующие в качестве огнетушительного состава </w:t>
      </w:r>
      <w:r w:rsidR="00483C19" w:rsidRPr="00483C19">
        <w:rPr>
          <w:lang w:val="en-US"/>
        </w:rPr>
        <w:t>HFC</w:t>
      </w:r>
      <w:r w:rsidR="00483C19" w:rsidRPr="00483C19">
        <w:t>-227</w:t>
      </w:r>
      <w:r w:rsidR="00483C19" w:rsidRPr="00483C19">
        <w:rPr>
          <w:lang w:val="en-US"/>
        </w:rPr>
        <w:t>ea</w:t>
      </w:r>
      <w:r w:rsidR="00483C19" w:rsidRPr="00483C19">
        <w:t>, должны соответствовать нижеследующим предписаниям в дополнение к требованиям пунктов 1)–9):</w:t>
      </w:r>
    </w:p>
    <w:p w:rsidR="00483C19" w:rsidRPr="00483C19" w:rsidRDefault="00483C19" w:rsidP="00483C19">
      <w:pPr>
        <w:pStyle w:val="SingleTxtGR"/>
      </w:pPr>
      <w:r w:rsidRPr="00483C19">
        <w:tab/>
      </w:r>
      <w:r w:rsidRPr="00483C19">
        <w:rPr>
          <w:lang w:val="en-US"/>
        </w:rPr>
        <w:t>a</w:t>
      </w:r>
      <w:r w:rsidRPr="00483C19">
        <w:t>)</w:t>
      </w:r>
      <w:r w:rsidRPr="00483C19">
        <w:tab/>
      </w:r>
      <w:bookmarkStart w:id="19" w:name="_Hlk480193775"/>
      <w:r w:rsidRPr="00483C19">
        <w:t>При наличии нескольких защищаемых помещений, имеющих ра</w:t>
      </w:r>
      <w:r w:rsidRPr="00483C19">
        <w:t>з</w:t>
      </w:r>
      <w:r w:rsidRPr="00483C19">
        <w:t>личный общий объем, каждое помещение должно быть оборудовано собстве</w:t>
      </w:r>
      <w:r w:rsidRPr="00483C19">
        <w:t>н</w:t>
      </w:r>
      <w:r w:rsidRPr="00483C19">
        <w:t>ной системой пожаротушения</w:t>
      </w:r>
      <w:bookmarkEnd w:id="19"/>
      <w:r w:rsidRPr="00483C19">
        <w:t>.</w:t>
      </w:r>
    </w:p>
    <w:p w:rsidR="00483C19" w:rsidRPr="00483C19" w:rsidRDefault="00483C19" w:rsidP="00483C19">
      <w:pPr>
        <w:pStyle w:val="SingleTxtGR"/>
      </w:pPr>
      <w:r w:rsidRPr="00483C19">
        <w:tab/>
      </w:r>
      <w:r w:rsidRPr="00483C19">
        <w:rPr>
          <w:lang w:val="en-US"/>
        </w:rPr>
        <w:t>b</w:t>
      </w:r>
      <w:r w:rsidRPr="00483C19">
        <w:t>)</w:t>
      </w:r>
      <w:r w:rsidRPr="00483C19">
        <w:tab/>
        <w:t xml:space="preserve">Каждый резервуар с </w:t>
      </w:r>
      <w:r w:rsidRPr="00483C19">
        <w:rPr>
          <w:lang w:val="en-US"/>
        </w:rPr>
        <w:t>HFC</w:t>
      </w:r>
      <w:r w:rsidRPr="00483C19">
        <w:t>-227</w:t>
      </w:r>
      <w:r w:rsidRPr="00483C19">
        <w:rPr>
          <w:lang w:val="en-US"/>
        </w:rPr>
        <w:t>ea</w:t>
      </w:r>
      <w:r w:rsidRPr="00483C19">
        <w:t>, расположенный в защищаемом помещении, должен быть оборудован клапаном сброса давления.</w:t>
      </w:r>
      <w:r w:rsidR="00CF09E5">
        <w:t xml:space="preserve"> </w:t>
      </w:r>
      <w:r w:rsidRPr="00483C19">
        <w:t>Этот клапан должен безопасным образом сбрасывать содержимое резервуара в защищаемом помещении в случае, если указанный резервуар подвергся воздействию огня и если система пожаротушения не приведена в действие.</w:t>
      </w:r>
    </w:p>
    <w:p w:rsidR="00483C19" w:rsidRPr="00483C19" w:rsidRDefault="00483C19" w:rsidP="00483C19">
      <w:pPr>
        <w:pStyle w:val="SingleTxtGR"/>
      </w:pPr>
      <w:r w:rsidRPr="00483C19">
        <w:tab/>
      </w:r>
      <w:r w:rsidRPr="00483C19">
        <w:rPr>
          <w:lang w:val="en-US"/>
        </w:rPr>
        <w:t>c</w:t>
      </w:r>
      <w:r w:rsidRPr="00483C19">
        <w:t>)</w:t>
      </w:r>
      <w:r w:rsidRPr="00483C19">
        <w:tab/>
        <w:t>Каждый резервуар должен быть оборудован устройством, позвол</w:t>
      </w:r>
      <w:r w:rsidRPr="00483C19">
        <w:t>я</w:t>
      </w:r>
      <w:r w:rsidRPr="00483C19">
        <w:t>ющим контролировать давление газа.</w:t>
      </w:r>
    </w:p>
    <w:p w:rsidR="00483C19" w:rsidRPr="00483C19" w:rsidRDefault="00483C19" w:rsidP="00483C19">
      <w:pPr>
        <w:pStyle w:val="SingleTxtGR"/>
      </w:pPr>
      <w:r w:rsidRPr="00483C19">
        <w:tab/>
      </w:r>
      <w:r w:rsidRPr="00483C19">
        <w:rPr>
          <w:lang w:val="en-US"/>
        </w:rPr>
        <w:t>d</w:t>
      </w:r>
      <w:r w:rsidRPr="00483C19">
        <w:t>)</w:t>
      </w:r>
      <w:r w:rsidRPr="00483C19">
        <w:tab/>
        <w:t>Степень наполнения резервуаров не должна превышать 1,15 кг/л. За удельный объем HFC-227ea не под давлением принимается величина, равная 0,1374 м</w:t>
      </w:r>
      <w:r w:rsidRPr="00483C19">
        <w:rPr>
          <w:vertAlign w:val="superscript"/>
        </w:rPr>
        <w:t>3</w:t>
      </w:r>
      <w:r w:rsidRPr="00483C19">
        <w:t>/кг.</w:t>
      </w:r>
    </w:p>
    <w:p w:rsidR="00483C19" w:rsidRPr="00483C19" w:rsidRDefault="00483C19" w:rsidP="00483C19">
      <w:pPr>
        <w:pStyle w:val="SingleTxtGR"/>
      </w:pPr>
      <w:r w:rsidRPr="00483C19">
        <w:tab/>
      </w:r>
      <w:r w:rsidRPr="00483C19">
        <w:rPr>
          <w:lang w:val="en-US"/>
        </w:rPr>
        <w:t>e</w:t>
      </w:r>
      <w:r w:rsidRPr="00483C19">
        <w:t>)</w:t>
      </w:r>
      <w:r w:rsidRPr="00483C19">
        <w:tab/>
        <w:t>Объем HFC-227ea в защищаемом помещении должен составлять по меньшей мере 8% общего объема данного помещения.</w:t>
      </w:r>
      <w:r w:rsidR="00CF09E5">
        <w:t xml:space="preserve"> </w:t>
      </w:r>
      <w:r w:rsidRPr="00483C19">
        <w:t>Вытеснение этого кол</w:t>
      </w:r>
      <w:r w:rsidRPr="00483C19">
        <w:t>и</w:t>
      </w:r>
      <w:r w:rsidRPr="00483C19">
        <w:t>чества должно производиться за 10 секунд.</w:t>
      </w:r>
    </w:p>
    <w:p w:rsidR="00483C19" w:rsidRPr="00483C19" w:rsidRDefault="00483C19" w:rsidP="00483C19">
      <w:pPr>
        <w:pStyle w:val="SingleTxtGR"/>
      </w:pPr>
      <w:r w:rsidRPr="00483C19">
        <w:tab/>
      </w:r>
      <w:r w:rsidRPr="00483C19">
        <w:rPr>
          <w:lang w:val="en-US"/>
        </w:rPr>
        <w:t>f</w:t>
      </w:r>
      <w:r w:rsidRPr="00483C19">
        <w:t>)</w:t>
      </w:r>
      <w:r w:rsidRPr="00483C19">
        <w:tab/>
      </w:r>
      <w:bookmarkStart w:id="20" w:name="_Hlk480196561"/>
      <w:r w:rsidRPr="00483C19">
        <w:t>Резервуары с HFC-227ea должны быть оборудованы устройством контроля за давлением, подающим визуально-звуковой аварийный сигнал в р</w:t>
      </w:r>
      <w:r w:rsidRPr="00483C19">
        <w:t>у</w:t>
      </w:r>
      <w:r w:rsidRPr="00483C19">
        <w:t>левой рубке в случае ненормальной потери газа-вытеснителя.</w:t>
      </w:r>
      <w:r w:rsidR="00CF09E5">
        <w:t xml:space="preserve"> </w:t>
      </w:r>
      <w:r w:rsidRPr="00483C19">
        <w:t>При отсутствии рулевой рубки этот аварийный сигнал должен подаваться снаружи защищаем</w:t>
      </w:r>
      <w:r w:rsidRPr="00483C19">
        <w:t>о</w:t>
      </w:r>
      <w:r w:rsidRPr="00483C19">
        <w:t>го помещения</w:t>
      </w:r>
      <w:bookmarkEnd w:id="20"/>
      <w:r w:rsidRPr="00483C19">
        <w:t>.</w:t>
      </w:r>
    </w:p>
    <w:p w:rsidR="00483C19" w:rsidRPr="00483C19" w:rsidRDefault="00483C19" w:rsidP="00483C19">
      <w:pPr>
        <w:pStyle w:val="SingleTxtGR"/>
      </w:pPr>
      <w:r w:rsidRPr="00483C19">
        <w:tab/>
      </w:r>
      <w:r w:rsidRPr="00483C19">
        <w:rPr>
          <w:lang w:val="en-US"/>
        </w:rPr>
        <w:t>g</w:t>
      </w:r>
      <w:r w:rsidRPr="00483C19">
        <w:t>)</w:t>
      </w:r>
      <w:r w:rsidRPr="00483C19">
        <w:tab/>
        <w:t>После вытеснения концентрация в защищаемом помещении не должна превышать 10,5%.</w:t>
      </w:r>
    </w:p>
    <w:p w:rsidR="00483C19" w:rsidRPr="00483C19" w:rsidRDefault="00483C19" w:rsidP="00483C19">
      <w:pPr>
        <w:pStyle w:val="SingleTxtGR"/>
      </w:pPr>
      <w:r w:rsidRPr="00483C19">
        <w:tab/>
      </w:r>
      <w:r w:rsidRPr="00483C19">
        <w:rPr>
          <w:lang w:val="en-US"/>
        </w:rPr>
        <w:t>h</w:t>
      </w:r>
      <w:r w:rsidRPr="00483C19">
        <w:t>)</w:t>
      </w:r>
      <w:r w:rsidRPr="00483C19">
        <w:tab/>
        <w:t>Системы пожаротушения не должны иметь деталей из алюминия.</w:t>
      </w:r>
    </w:p>
    <w:p w:rsidR="00483C19" w:rsidRPr="00483C19" w:rsidRDefault="00483C19" w:rsidP="00483C19">
      <w:pPr>
        <w:pStyle w:val="SingleTxtGR"/>
      </w:pPr>
      <w:r w:rsidRPr="00483C19">
        <w:t>12.</w:t>
      </w:r>
      <w:r w:rsidRPr="00483C19">
        <w:tab/>
        <w:t xml:space="preserve">Системы пожаротушения, использующие </w:t>
      </w:r>
      <w:r w:rsidRPr="00483C19">
        <w:rPr>
          <w:lang w:val="en-US"/>
        </w:rPr>
        <w:t>IG</w:t>
      </w:r>
      <w:r w:rsidRPr="00483C19">
        <w:t>-541</w:t>
      </w:r>
    </w:p>
    <w:p w:rsidR="00483C19" w:rsidRPr="00483C19" w:rsidRDefault="00CF09E5" w:rsidP="00483C19">
      <w:pPr>
        <w:pStyle w:val="SingleTxtGR"/>
      </w:pPr>
      <w:r>
        <w:tab/>
      </w:r>
      <w:r w:rsidR="00483C19" w:rsidRPr="00483C19">
        <w:t xml:space="preserve">Системы пожаротушения, использующие в качестве огнетушительного состава </w:t>
      </w:r>
      <w:r w:rsidR="00483C19" w:rsidRPr="00483C19">
        <w:rPr>
          <w:lang w:val="en-US"/>
        </w:rPr>
        <w:t>IG</w:t>
      </w:r>
      <w:r w:rsidR="00483C19" w:rsidRPr="00483C19">
        <w:t>-541, должны соответствовать нижеследующим предписаниям в д</w:t>
      </w:r>
      <w:r w:rsidR="00483C19" w:rsidRPr="00483C19">
        <w:t>о</w:t>
      </w:r>
      <w:r w:rsidR="00483C19" w:rsidRPr="00483C19">
        <w:t>по</w:t>
      </w:r>
      <w:r w:rsidR="00A41A56">
        <w:t>лнение к требованиям пунктов 1)–</w:t>
      </w:r>
      <w:r w:rsidR="00483C19" w:rsidRPr="00483C19">
        <w:t>9):</w:t>
      </w:r>
    </w:p>
    <w:p w:rsidR="00483C19" w:rsidRPr="00483C19" w:rsidRDefault="00483C19" w:rsidP="00483C19">
      <w:pPr>
        <w:pStyle w:val="SingleTxtGR"/>
      </w:pPr>
      <w:r w:rsidRPr="00483C19">
        <w:tab/>
      </w:r>
      <w:r w:rsidRPr="00483C19">
        <w:rPr>
          <w:lang w:val="en-US"/>
        </w:rPr>
        <w:t>a</w:t>
      </w:r>
      <w:r w:rsidRPr="00483C19">
        <w:t>)</w:t>
      </w:r>
      <w:r w:rsidRPr="00483C19">
        <w:tab/>
      </w:r>
      <w:bookmarkStart w:id="21" w:name="_Hlk480195949"/>
      <w:r w:rsidRPr="00483C19">
        <w:t>При наличии нескольких защищаемых помещений, имеющих ра</w:t>
      </w:r>
      <w:r w:rsidRPr="00483C19">
        <w:t>з</w:t>
      </w:r>
      <w:r w:rsidRPr="00483C19">
        <w:t>личный общий объем, каждое помещение должно быть оборудовано собстве</w:t>
      </w:r>
      <w:r w:rsidRPr="00483C19">
        <w:t>н</w:t>
      </w:r>
      <w:r w:rsidRPr="00483C19">
        <w:t>ной системой пожаротушения</w:t>
      </w:r>
      <w:bookmarkEnd w:id="21"/>
      <w:r w:rsidRPr="00483C19">
        <w:t>.</w:t>
      </w:r>
    </w:p>
    <w:p w:rsidR="00483C19" w:rsidRPr="00483C19" w:rsidRDefault="00483C19" w:rsidP="00483C19">
      <w:pPr>
        <w:pStyle w:val="SingleTxtGR"/>
      </w:pPr>
      <w:r w:rsidRPr="00483C19">
        <w:tab/>
      </w:r>
      <w:r w:rsidRPr="00483C19">
        <w:rPr>
          <w:lang w:val="en-US"/>
        </w:rPr>
        <w:t>b</w:t>
      </w:r>
      <w:r w:rsidRPr="00483C19">
        <w:t>)</w:t>
      </w:r>
      <w:r w:rsidRPr="00483C19">
        <w:tab/>
        <w:t xml:space="preserve">Каждый резервуар с </w:t>
      </w:r>
      <w:r w:rsidRPr="00483C19">
        <w:rPr>
          <w:lang w:val="en-US"/>
        </w:rPr>
        <w:t>IG</w:t>
      </w:r>
      <w:r w:rsidRPr="00483C19">
        <w:t>-541, расположенный в защищаемом пом</w:t>
      </w:r>
      <w:r w:rsidRPr="00483C19">
        <w:t>е</w:t>
      </w:r>
      <w:r w:rsidRPr="00483C19">
        <w:t>щении, должен быть оборудован клапаном сброса давления.</w:t>
      </w:r>
      <w:r w:rsidR="00CF09E5">
        <w:t xml:space="preserve"> </w:t>
      </w:r>
      <w:r w:rsidRPr="00483C19">
        <w:t>Этот клапан до</w:t>
      </w:r>
      <w:r w:rsidRPr="00483C19">
        <w:t>л</w:t>
      </w:r>
      <w:r w:rsidRPr="00483C19">
        <w:t>жен безопасным образом сбрасывать содержимое резервуара в защищаемом помещении в случае, если указанный резервуар подвергся воздействию огня и если система пожаротушения не приведена в действие.</w:t>
      </w:r>
    </w:p>
    <w:p w:rsidR="00483C19" w:rsidRPr="00483C19" w:rsidRDefault="00483C19" w:rsidP="00483C19">
      <w:pPr>
        <w:pStyle w:val="SingleTxtGR"/>
      </w:pPr>
      <w:r w:rsidRPr="00483C19">
        <w:tab/>
      </w:r>
      <w:r w:rsidRPr="00483C19">
        <w:rPr>
          <w:lang w:val="en-US"/>
        </w:rPr>
        <w:t>c</w:t>
      </w:r>
      <w:r w:rsidRPr="00483C19">
        <w:t>)</w:t>
      </w:r>
      <w:r w:rsidRPr="00483C19">
        <w:tab/>
        <w:t>Каждый резервуар должен быть оборудован устройством, позвол</w:t>
      </w:r>
      <w:r w:rsidRPr="00483C19">
        <w:t>я</w:t>
      </w:r>
      <w:r w:rsidRPr="00483C19">
        <w:t>ющим контролировать содержимое.</w:t>
      </w:r>
    </w:p>
    <w:p w:rsidR="00483C19" w:rsidRPr="00483C19" w:rsidRDefault="00483C19" w:rsidP="00483C19">
      <w:pPr>
        <w:pStyle w:val="SingleTxtGR"/>
      </w:pPr>
      <w:r w:rsidRPr="00483C19">
        <w:tab/>
      </w:r>
      <w:r w:rsidRPr="00483C19">
        <w:rPr>
          <w:lang w:val="en-US"/>
        </w:rPr>
        <w:t>d</w:t>
      </w:r>
      <w:r w:rsidRPr="00483C19">
        <w:t>)</w:t>
      </w:r>
      <w:r w:rsidRPr="00483C19">
        <w:tab/>
        <w:t>Давление наполнения резервуаров не должно превышать 200 бар при температуре +15 °С.</w:t>
      </w:r>
    </w:p>
    <w:p w:rsidR="00483C19" w:rsidRPr="00483C19" w:rsidRDefault="00483C19" w:rsidP="00483C19">
      <w:pPr>
        <w:pStyle w:val="SingleTxtGR"/>
      </w:pPr>
      <w:r w:rsidRPr="00483C19">
        <w:tab/>
      </w:r>
      <w:r w:rsidRPr="00483C19">
        <w:rPr>
          <w:lang w:val="en-US"/>
        </w:rPr>
        <w:t>e</w:t>
      </w:r>
      <w:r w:rsidRPr="00483C19">
        <w:t>)</w:t>
      </w:r>
      <w:r w:rsidRPr="00483C19">
        <w:tab/>
        <w:t xml:space="preserve">Объем </w:t>
      </w:r>
      <w:r w:rsidRPr="00483C19">
        <w:rPr>
          <w:lang w:val="en-US"/>
        </w:rPr>
        <w:t>IG</w:t>
      </w:r>
      <w:r w:rsidRPr="00483C19">
        <w:t>-541 в защищаемом помещении должен составлять по меньшей мере 44% и не более 50% от общего объема данного помещения. Сброс этого количества должен производиться за 120 секунд.</w:t>
      </w:r>
    </w:p>
    <w:p w:rsidR="00483C19" w:rsidRPr="00483C19" w:rsidRDefault="00483C19" w:rsidP="00483C19">
      <w:pPr>
        <w:pStyle w:val="SingleTxtGR"/>
      </w:pPr>
      <w:r w:rsidRPr="00483C19">
        <w:t>13.</w:t>
      </w:r>
      <w:r w:rsidRPr="00483C19">
        <w:tab/>
        <w:t xml:space="preserve">Системы пожаротушения, использующие в качестве огнетушительного состава </w:t>
      </w:r>
      <w:r w:rsidRPr="00483C19">
        <w:rPr>
          <w:lang w:val="en-US"/>
        </w:rPr>
        <w:t>FK</w:t>
      </w:r>
      <w:r w:rsidRPr="00483C19">
        <w:t>-5-1-12</w:t>
      </w:r>
    </w:p>
    <w:p w:rsidR="00483C19" w:rsidRPr="00483C19" w:rsidRDefault="00483C19" w:rsidP="00483C19">
      <w:pPr>
        <w:pStyle w:val="SingleTxtGR"/>
      </w:pPr>
      <w:r w:rsidRPr="00483C19">
        <w:tab/>
        <w:t xml:space="preserve">Системы пожаротушения, использующие в качестве огнетушительного состава </w:t>
      </w:r>
      <w:r w:rsidRPr="00483C19">
        <w:rPr>
          <w:lang w:val="en-US"/>
        </w:rPr>
        <w:t>FK</w:t>
      </w:r>
      <w:r w:rsidRPr="00483C19">
        <w:t>-5-1-12, должны соответствовать нижеследующим предписаниям в допо</w:t>
      </w:r>
      <w:r w:rsidR="00140E0C">
        <w:t>лнение к требованиям пунктов 1)–</w:t>
      </w:r>
      <w:r w:rsidRPr="00483C19">
        <w:t>9):</w:t>
      </w:r>
    </w:p>
    <w:p w:rsidR="00483C19" w:rsidRPr="00483C19" w:rsidRDefault="00483C19" w:rsidP="00483C19">
      <w:pPr>
        <w:pStyle w:val="SingleTxtGR"/>
      </w:pPr>
      <w:r w:rsidRPr="00483C19">
        <w:tab/>
      </w:r>
      <w:r w:rsidRPr="00483C19">
        <w:rPr>
          <w:lang w:val="en-US"/>
        </w:rPr>
        <w:t>a</w:t>
      </w:r>
      <w:r w:rsidRPr="00483C19">
        <w:t>)</w:t>
      </w:r>
      <w:r w:rsidRPr="00483C19">
        <w:tab/>
        <w:t>При наличии нескольких защищаемых помещений, имеющих ра</w:t>
      </w:r>
      <w:r w:rsidRPr="00483C19">
        <w:t>з</w:t>
      </w:r>
      <w:r w:rsidRPr="00483C19">
        <w:t>личный общий объем, каждое помещение должно быть оборудовано собстве</w:t>
      </w:r>
      <w:r w:rsidRPr="00483C19">
        <w:t>н</w:t>
      </w:r>
      <w:r w:rsidRPr="00483C19">
        <w:t>ной системой пожаротушения.</w:t>
      </w:r>
    </w:p>
    <w:p w:rsidR="00483C19" w:rsidRPr="00483C19" w:rsidRDefault="00483C19" w:rsidP="00483C19">
      <w:pPr>
        <w:pStyle w:val="SingleTxtGR"/>
      </w:pPr>
      <w:r w:rsidRPr="00483C19">
        <w:tab/>
      </w:r>
      <w:r w:rsidRPr="00483C19">
        <w:rPr>
          <w:lang w:val="en-US"/>
        </w:rPr>
        <w:t>b</w:t>
      </w:r>
      <w:r w:rsidRPr="00483C19">
        <w:t>)</w:t>
      </w:r>
      <w:r w:rsidRPr="00483C19">
        <w:tab/>
        <w:t xml:space="preserve">Каждый резервуар с </w:t>
      </w:r>
      <w:r w:rsidRPr="00483C19">
        <w:rPr>
          <w:lang w:val="en-US"/>
        </w:rPr>
        <w:t>FK</w:t>
      </w:r>
      <w:r w:rsidRPr="00483C19">
        <w:t>-5-1-12, расположенный в защищаемом п</w:t>
      </w:r>
      <w:r w:rsidRPr="00483C19">
        <w:t>о</w:t>
      </w:r>
      <w:r w:rsidRPr="00483C19">
        <w:t>мещении, должен быть оборудован клапаном сброса давления.</w:t>
      </w:r>
      <w:r w:rsidR="00CF09E5">
        <w:t xml:space="preserve"> </w:t>
      </w:r>
      <w:r w:rsidRPr="00483C19">
        <w:t>Этот клапан должен безопасным образом сбрасывать содержимое резервуара в защищаемом помещении в случае, если указанный резервуар подвергся воздействию огня и если система пожаротушения не приведена в действие.</w:t>
      </w:r>
    </w:p>
    <w:p w:rsidR="00483C19" w:rsidRPr="00483C19" w:rsidRDefault="00483C19" w:rsidP="00483C19">
      <w:pPr>
        <w:pStyle w:val="SingleTxtGR"/>
      </w:pPr>
      <w:r w:rsidRPr="00483C19">
        <w:tab/>
      </w:r>
      <w:r w:rsidRPr="00483C19">
        <w:rPr>
          <w:lang w:val="en-US"/>
        </w:rPr>
        <w:t>c</w:t>
      </w:r>
      <w:r w:rsidRPr="00483C19">
        <w:t>)</w:t>
      </w:r>
      <w:r w:rsidRPr="00483C19">
        <w:tab/>
        <w:t>Каждый резервуар должен быть оборудован устройством, позвол</w:t>
      </w:r>
      <w:r w:rsidRPr="00483C19">
        <w:t>я</w:t>
      </w:r>
      <w:r w:rsidRPr="00483C19">
        <w:t>ющим контролировать давление газа.</w:t>
      </w:r>
    </w:p>
    <w:p w:rsidR="00483C19" w:rsidRPr="00483C19" w:rsidRDefault="00483C19" w:rsidP="00483C19">
      <w:pPr>
        <w:pStyle w:val="SingleTxtGR"/>
      </w:pPr>
      <w:r w:rsidRPr="00483C19">
        <w:tab/>
      </w:r>
      <w:r w:rsidRPr="00483C19">
        <w:rPr>
          <w:lang w:val="en-US"/>
        </w:rPr>
        <w:t>d</w:t>
      </w:r>
      <w:r w:rsidRPr="00483C19">
        <w:t>)</w:t>
      </w:r>
      <w:r w:rsidRPr="00483C19">
        <w:tab/>
        <w:t xml:space="preserve">Степень наполнения резервуаров не должна превышать 1,00 кг/л. За удельный объем </w:t>
      </w:r>
      <w:r w:rsidRPr="00483C19">
        <w:rPr>
          <w:lang w:val="en-US"/>
        </w:rPr>
        <w:t>FK</w:t>
      </w:r>
      <w:r w:rsidRPr="00483C19">
        <w:t>-5-1-12 не под давлением принимается величина, равная 0,0719 м</w:t>
      </w:r>
      <w:r w:rsidRPr="00483C19">
        <w:rPr>
          <w:vertAlign w:val="superscript"/>
        </w:rPr>
        <w:t>3</w:t>
      </w:r>
      <w:r w:rsidRPr="00483C19">
        <w:t>/кг.</w:t>
      </w:r>
    </w:p>
    <w:p w:rsidR="00483C19" w:rsidRPr="00483C19" w:rsidRDefault="00483C19" w:rsidP="00483C19">
      <w:pPr>
        <w:pStyle w:val="SingleTxtGR"/>
      </w:pPr>
      <w:r w:rsidRPr="00483C19">
        <w:tab/>
      </w:r>
      <w:r w:rsidRPr="00483C19">
        <w:rPr>
          <w:lang w:val="en-US"/>
        </w:rPr>
        <w:t>e</w:t>
      </w:r>
      <w:r w:rsidRPr="00483C19">
        <w:t>)</w:t>
      </w:r>
      <w:r w:rsidRPr="00483C19">
        <w:tab/>
        <w:t xml:space="preserve">Объем </w:t>
      </w:r>
      <w:r w:rsidRPr="00483C19">
        <w:rPr>
          <w:lang w:val="en-US"/>
        </w:rPr>
        <w:t>FK</w:t>
      </w:r>
      <w:r w:rsidRPr="00483C19">
        <w:t>-5-1-12 в защищаемом помещении должен составлять по меньшей мере 5,5% от общего объема данного помещения. Сброс этого объема должен производиться за 10 секунд.</w:t>
      </w:r>
    </w:p>
    <w:p w:rsidR="00483C19" w:rsidRPr="00483C19" w:rsidRDefault="00483C19" w:rsidP="00483C19">
      <w:pPr>
        <w:pStyle w:val="SingleTxtGR"/>
      </w:pPr>
      <w:r w:rsidRPr="00483C19">
        <w:tab/>
      </w:r>
      <w:r w:rsidRPr="00483C19">
        <w:rPr>
          <w:lang w:val="en-US"/>
        </w:rPr>
        <w:t>f</w:t>
      </w:r>
      <w:r w:rsidRPr="00483C19">
        <w:t>)</w:t>
      </w:r>
      <w:r w:rsidRPr="00483C19">
        <w:tab/>
        <w:t xml:space="preserve">Резервуары с </w:t>
      </w:r>
      <w:r w:rsidRPr="00483C19">
        <w:rPr>
          <w:lang w:val="en-US"/>
        </w:rPr>
        <w:t>FK</w:t>
      </w:r>
      <w:r w:rsidRPr="00483C19">
        <w:t>-5-1-12 должны быть оборудованы устройством контроля за давлением, подающим визуально-звуковой аварийный сигнал в р</w:t>
      </w:r>
      <w:r w:rsidRPr="00483C19">
        <w:t>у</w:t>
      </w:r>
      <w:r w:rsidRPr="00483C19">
        <w:t>левой рубке в случае ненормальной потери газа-вытеснителя.</w:t>
      </w:r>
      <w:r w:rsidR="00CF09E5">
        <w:t xml:space="preserve"> </w:t>
      </w:r>
      <w:r w:rsidRPr="00483C19">
        <w:t>При отсутствии рулевой рубки этот аварийный сигнал должен подаваться снаружи защищаем</w:t>
      </w:r>
      <w:r w:rsidRPr="00483C19">
        <w:t>о</w:t>
      </w:r>
      <w:r w:rsidRPr="00483C19">
        <w:t>го помещения.</w:t>
      </w:r>
    </w:p>
    <w:p w:rsidR="00483C19" w:rsidRPr="00483C19" w:rsidRDefault="00483C19" w:rsidP="00483C19">
      <w:pPr>
        <w:pStyle w:val="SingleTxtGR"/>
      </w:pPr>
      <w:r w:rsidRPr="00483C19">
        <w:tab/>
      </w:r>
      <w:r w:rsidRPr="00483C19">
        <w:rPr>
          <w:lang w:val="en-US"/>
        </w:rPr>
        <w:t>g</w:t>
      </w:r>
      <w:r w:rsidRPr="00483C19">
        <w:t>)</w:t>
      </w:r>
      <w:r w:rsidRPr="00483C19">
        <w:tab/>
        <w:t>После вытеснения газа концентрация в защищаемом помещении не должна превышать 10,0%.</w:t>
      </w:r>
    </w:p>
    <w:p w:rsidR="00483C19" w:rsidRPr="00483C19" w:rsidRDefault="00483C19" w:rsidP="00140E0C">
      <w:pPr>
        <w:pStyle w:val="SingleTxtGR"/>
        <w:spacing w:before="240"/>
        <w:jc w:val="center"/>
        <w:rPr>
          <w:b/>
        </w:rPr>
      </w:pPr>
      <w:bookmarkStart w:id="22" w:name="_Toc436115063"/>
      <w:bookmarkStart w:id="23" w:name="_Toc436115080"/>
      <w:bookmarkStart w:id="24" w:name="_Toc436115085"/>
      <w:r w:rsidRPr="00483C19">
        <w:rPr>
          <w:b/>
        </w:rPr>
        <w:t>Статья 13.06</w:t>
      </w:r>
      <w:r w:rsidRPr="00483C19">
        <w:rPr>
          <w:b/>
        </w:rPr>
        <w:br/>
      </w:r>
      <w:bookmarkStart w:id="25" w:name="_Hlk480197250"/>
      <w:r w:rsidRPr="00483C19">
        <w:rPr>
          <w:b/>
        </w:rPr>
        <w:t>Стационарная система пожаротушения для защиты объектов</w:t>
      </w:r>
      <w:bookmarkEnd w:id="22"/>
      <w:bookmarkEnd w:id="25"/>
    </w:p>
    <w:p w:rsidR="00483C19" w:rsidRPr="00483C19" w:rsidRDefault="00CF09E5" w:rsidP="00483C19">
      <w:pPr>
        <w:pStyle w:val="SingleTxtGR"/>
      </w:pPr>
      <w:r>
        <w:tab/>
      </w:r>
      <w:r w:rsidR="00483C19" w:rsidRPr="00483C19">
        <w:t>Стационарная система пожаротушения для защиты объектов запрещена</w:t>
      </w:r>
      <w:r w:rsidR="00A41A56">
        <w:t>»</w:t>
      </w:r>
      <w:r w:rsidR="00483C19" w:rsidRPr="00483C19">
        <w:t>.</w:t>
      </w:r>
    </w:p>
    <w:p w:rsidR="00483C19" w:rsidRPr="00483C19" w:rsidRDefault="00483C19" w:rsidP="00A41A56">
      <w:pPr>
        <w:pStyle w:val="HChGR"/>
      </w:pPr>
      <w:r w:rsidRPr="00483C19">
        <w:tab/>
      </w:r>
      <w:r w:rsidRPr="00483C19">
        <w:rPr>
          <w:lang w:val="en-US"/>
        </w:rPr>
        <w:t>III</w:t>
      </w:r>
      <w:r w:rsidRPr="00483C19">
        <w:t>.</w:t>
      </w:r>
      <w:r w:rsidRPr="00483C19">
        <w:tab/>
        <w:t>Предложение по обновлению главы 12:</w:t>
      </w:r>
      <w:r w:rsidR="00CF09E5">
        <w:t xml:space="preserve"> </w:t>
      </w:r>
      <w:r w:rsidRPr="00483C19">
        <w:t>Жилые помещения</w:t>
      </w:r>
    </w:p>
    <w:p w:rsidR="00483C19" w:rsidRPr="00483C19" w:rsidRDefault="00A41A56" w:rsidP="00483C19">
      <w:pPr>
        <w:pStyle w:val="SingleTxtGR"/>
      </w:pPr>
      <w:r>
        <w:tab/>
      </w:r>
      <w:r w:rsidR="00483C19" w:rsidRPr="00483C19">
        <w:t>В настоящем разделе воспроизводится текст статьи 15.05 ЕС-ТТСВП.</w:t>
      </w:r>
    </w:p>
    <w:p w:rsidR="00483C19" w:rsidRPr="00483C19" w:rsidRDefault="00A41A56" w:rsidP="00140E0C">
      <w:pPr>
        <w:pStyle w:val="SingleTxtGR"/>
        <w:spacing w:before="240"/>
        <w:jc w:val="center"/>
        <w:rPr>
          <w:i/>
        </w:rPr>
      </w:pPr>
      <w:r>
        <w:t>«</w:t>
      </w:r>
      <w:r w:rsidR="00483C19" w:rsidRPr="00483C19">
        <w:rPr>
          <w:b/>
        </w:rPr>
        <w:t>Статья 15.05</w:t>
      </w:r>
      <w:r w:rsidR="00483C19" w:rsidRPr="00483C19">
        <w:rPr>
          <w:b/>
        </w:rPr>
        <w:br/>
        <w:t>Установки для питьевой воды</w:t>
      </w:r>
    </w:p>
    <w:p w:rsidR="00483C19" w:rsidRPr="00483C19" w:rsidRDefault="00483C19" w:rsidP="00483C19">
      <w:pPr>
        <w:pStyle w:val="SingleTxtGR"/>
      </w:pPr>
      <w:r w:rsidRPr="00483C19">
        <w:t>1.</w:t>
      </w:r>
      <w:r w:rsidRPr="00483C19">
        <w:tab/>
        <w:t>Суда с жилыми помещениями должны быть оснащены установкой с п</w:t>
      </w:r>
      <w:r w:rsidRPr="00483C19">
        <w:t>и</w:t>
      </w:r>
      <w:r w:rsidRPr="00483C19">
        <w:t>тьевой водой.</w:t>
      </w:r>
      <w:r w:rsidR="00CF09E5">
        <w:t xml:space="preserve"> </w:t>
      </w:r>
      <w:r w:rsidRPr="00483C19">
        <w:t>На заливных горловинах цистерны для питьевой воды и шлангах для подвода питьевой воды должна быть нанесена маркировка, указывающая на то, что они предназначены только для питьевой воды.</w:t>
      </w:r>
      <w:r w:rsidR="00CF09E5">
        <w:t xml:space="preserve"> </w:t>
      </w:r>
      <w:r w:rsidRPr="00483C19">
        <w:t>Заливные горловины для питьевой воды должны выступать над уровнем палубы.</w:t>
      </w:r>
    </w:p>
    <w:p w:rsidR="00483C19" w:rsidRPr="00483C19" w:rsidRDefault="00483C19" w:rsidP="00483C19">
      <w:pPr>
        <w:pStyle w:val="SingleTxtGR"/>
      </w:pPr>
      <w:r w:rsidRPr="00483C19">
        <w:t>2.</w:t>
      </w:r>
      <w:r w:rsidRPr="00483C19">
        <w:tab/>
        <w:t>Установки для питьевой воды:</w:t>
      </w:r>
    </w:p>
    <w:p w:rsidR="00483C19" w:rsidRPr="00483C19" w:rsidRDefault="00A41A56" w:rsidP="00483C19">
      <w:pPr>
        <w:pStyle w:val="SingleTxtGR"/>
      </w:pPr>
      <w:r>
        <w:tab/>
      </w:r>
      <w:r w:rsidR="00483C19" w:rsidRPr="00483C19">
        <w:rPr>
          <w:lang w:val="en-US"/>
        </w:rPr>
        <w:t>a</w:t>
      </w:r>
      <w:r w:rsidR="00483C19" w:rsidRPr="00483C19">
        <w:t>)</w:t>
      </w:r>
      <w:r w:rsidR="00483C19" w:rsidRPr="00483C19">
        <w:tab/>
        <w:t xml:space="preserve">их внутренние поверхности должны </w:t>
      </w:r>
      <w:r w:rsidR="00140E0C">
        <w:t xml:space="preserve">быть </w:t>
      </w:r>
      <w:r w:rsidR="00483C19" w:rsidRPr="00483C19">
        <w:t>покрыты материалом, к</w:t>
      </w:r>
      <w:r w:rsidR="00483C19" w:rsidRPr="00483C19">
        <w:t>о</w:t>
      </w:r>
      <w:r w:rsidR="00483C19" w:rsidRPr="00483C19">
        <w:t>торый устойчив к коррозии и не создает физиологической опасности;</w:t>
      </w:r>
    </w:p>
    <w:p w:rsidR="00483C19" w:rsidRPr="00483C19" w:rsidRDefault="00A41A56" w:rsidP="00483C19">
      <w:pPr>
        <w:pStyle w:val="SingleTxtGR"/>
      </w:pPr>
      <w:r>
        <w:tab/>
      </w:r>
      <w:r w:rsidR="00483C19" w:rsidRPr="00483C19">
        <w:rPr>
          <w:lang w:val="en-US"/>
        </w:rPr>
        <w:t>b</w:t>
      </w:r>
      <w:r w:rsidR="00483C19" w:rsidRPr="00483C19">
        <w:t>)</w:t>
      </w:r>
      <w:r w:rsidR="00483C19" w:rsidRPr="00483C19">
        <w:tab/>
        <w:t>не имеют участков водопровода, в случае которых регулярный п</w:t>
      </w:r>
      <w:r w:rsidR="00483C19" w:rsidRPr="00483C19">
        <w:t>о</w:t>
      </w:r>
      <w:r w:rsidR="00483C19" w:rsidRPr="00483C19">
        <w:t>ток воды не гарантирован;</w:t>
      </w:r>
    </w:p>
    <w:p w:rsidR="00483C19" w:rsidRPr="00483C19" w:rsidRDefault="00483C19" w:rsidP="00483C19">
      <w:pPr>
        <w:pStyle w:val="SingleTxtGR"/>
      </w:pPr>
      <w:r w:rsidRPr="00483C19">
        <w:tab/>
      </w:r>
      <w:r w:rsidRPr="00483C19">
        <w:rPr>
          <w:lang w:val="en-US"/>
        </w:rPr>
        <w:t>c</w:t>
      </w:r>
      <w:r w:rsidRPr="00483C19">
        <w:t>)</w:t>
      </w:r>
      <w:r w:rsidRPr="00483C19">
        <w:tab/>
        <w:t>предохранены от чрезмерного нагрева.</w:t>
      </w:r>
    </w:p>
    <w:p w:rsidR="00483C19" w:rsidRPr="00483C19" w:rsidRDefault="00483C19" w:rsidP="00483C19">
      <w:pPr>
        <w:pStyle w:val="SingleTxtGR"/>
      </w:pPr>
      <w:r w:rsidRPr="00483C19">
        <w:t>3.</w:t>
      </w:r>
      <w:r w:rsidRPr="00483C19">
        <w:tab/>
        <w:t xml:space="preserve">В дополнение </w:t>
      </w:r>
      <w:r w:rsidR="00140E0C">
        <w:t>к пункту 2)</w:t>
      </w:r>
      <w:r w:rsidRPr="00483C19">
        <w:t xml:space="preserve"> цистерны для питьевой воды должны:</w:t>
      </w:r>
    </w:p>
    <w:p w:rsidR="00483C19" w:rsidRPr="00483C19" w:rsidRDefault="00A41A56" w:rsidP="00483C19">
      <w:pPr>
        <w:pStyle w:val="SingleTxtGR"/>
      </w:pPr>
      <w:r>
        <w:tab/>
      </w:r>
      <w:r w:rsidR="00483C19" w:rsidRPr="00483C19">
        <w:rPr>
          <w:lang w:val="en-US"/>
        </w:rPr>
        <w:t>a</w:t>
      </w:r>
      <w:r w:rsidR="00483C19" w:rsidRPr="00483C19">
        <w:t>)</w:t>
      </w:r>
      <w:r w:rsidR="00483C19" w:rsidRPr="00483C19">
        <w:tab/>
        <w:t>иметь емкость не менее 150 литров на каждого человека, обычно проживающего на борту, и</w:t>
      </w:r>
      <w:r w:rsidR="00140E0C">
        <w:t xml:space="preserve"> как минимум</w:t>
      </w:r>
      <w:r w:rsidR="00483C19" w:rsidRPr="00483C19">
        <w:t xml:space="preserve"> на каждого члена экипажа;</w:t>
      </w:r>
    </w:p>
    <w:p w:rsidR="00483C19" w:rsidRPr="00483C19" w:rsidRDefault="00A41A56" w:rsidP="00483C19">
      <w:pPr>
        <w:pStyle w:val="SingleTxtGR"/>
      </w:pPr>
      <w:r>
        <w:tab/>
      </w:r>
      <w:r w:rsidR="00483C19" w:rsidRPr="00483C19">
        <w:rPr>
          <w:lang w:val="en-US"/>
        </w:rPr>
        <w:t>b</w:t>
      </w:r>
      <w:r w:rsidR="00483C19" w:rsidRPr="00483C19">
        <w:t>)</w:t>
      </w:r>
      <w:r w:rsidR="00483C19" w:rsidRPr="00483C19">
        <w:tab/>
        <w:t>иметь подходящее, блокируемое отверстие, позволяющее чистить цистерну внутри;</w:t>
      </w:r>
    </w:p>
    <w:p w:rsidR="00483C19" w:rsidRPr="00483C19" w:rsidRDefault="00483C19" w:rsidP="00483C19">
      <w:pPr>
        <w:pStyle w:val="SingleTxtGR"/>
      </w:pPr>
      <w:r w:rsidRPr="00483C19">
        <w:tab/>
      </w:r>
      <w:r w:rsidRPr="00483C19">
        <w:rPr>
          <w:lang w:val="en-US"/>
        </w:rPr>
        <w:t>c</w:t>
      </w:r>
      <w:r w:rsidRPr="00483C19">
        <w:t>)</w:t>
      </w:r>
      <w:r w:rsidRPr="00483C19">
        <w:tab/>
        <w:t>быть оснащены указателем уровня воды;</w:t>
      </w:r>
    </w:p>
    <w:p w:rsidR="00483C19" w:rsidRPr="00483C19" w:rsidRDefault="00483C19" w:rsidP="00483C19">
      <w:pPr>
        <w:pStyle w:val="SingleTxtGR"/>
      </w:pPr>
      <w:r w:rsidRPr="00483C19">
        <w:tab/>
      </w:r>
      <w:r w:rsidRPr="00483C19">
        <w:rPr>
          <w:lang w:val="en-US"/>
        </w:rPr>
        <w:t>d</w:t>
      </w:r>
      <w:r w:rsidRPr="00483C19">
        <w:t>)</w:t>
      </w:r>
      <w:r w:rsidRPr="00483C19">
        <w:tab/>
        <w:t>быть оборудованы вентиляционными трубами, которые сообщаю</w:t>
      </w:r>
      <w:r w:rsidRPr="00483C19">
        <w:t>т</w:t>
      </w:r>
      <w:r w:rsidRPr="00483C19">
        <w:t>ся с атмосферой, или оснащены соответствующими фильтрами.</w:t>
      </w:r>
    </w:p>
    <w:p w:rsidR="00483C19" w:rsidRPr="00483C19" w:rsidRDefault="00483C19" w:rsidP="00483C19">
      <w:pPr>
        <w:pStyle w:val="SingleTxtGR"/>
      </w:pPr>
      <w:r w:rsidRPr="00483C19">
        <w:t>4.</w:t>
      </w:r>
      <w:r w:rsidRPr="00483C19">
        <w:tab/>
        <w:t>Цистерны для питьевой воды не должны иметь общих стенок с другими цистернами.</w:t>
      </w:r>
      <w:r w:rsidR="00CF09E5">
        <w:t xml:space="preserve"> </w:t>
      </w:r>
      <w:r w:rsidRPr="00483C19">
        <w:t>Трубопроводы для питьевой воды не должны проходить через ц</w:t>
      </w:r>
      <w:r w:rsidRPr="00483C19">
        <w:t>и</w:t>
      </w:r>
      <w:r w:rsidRPr="00483C19">
        <w:t>стерны, содержащие другие жидкости.</w:t>
      </w:r>
      <w:r w:rsidR="00CF09E5">
        <w:t xml:space="preserve"> </w:t>
      </w:r>
      <w:r w:rsidRPr="00483C19">
        <w:t>Соединения между системой подачи п</w:t>
      </w:r>
      <w:r w:rsidRPr="00483C19">
        <w:t>и</w:t>
      </w:r>
      <w:r w:rsidRPr="00483C19">
        <w:t>тьевой воды и другими трубопроводами не допускаются.</w:t>
      </w:r>
      <w:r w:rsidR="00CF09E5">
        <w:t xml:space="preserve"> </w:t>
      </w:r>
      <w:r w:rsidRPr="00483C19">
        <w:t>Через цистерны для питьевой воды не должны проходить трубопроводы, по которым проходит газ или иные жидкости, помимо питьевой воды.</w:t>
      </w:r>
    </w:p>
    <w:p w:rsidR="00483C19" w:rsidRPr="00483C19" w:rsidRDefault="00483C19" w:rsidP="00483C19">
      <w:pPr>
        <w:pStyle w:val="SingleTxtGR"/>
      </w:pPr>
      <w:r w:rsidRPr="00483C19">
        <w:t>5.</w:t>
      </w:r>
      <w:r w:rsidRPr="00483C19">
        <w:tab/>
        <w:t>Баки с питьевой водой под давлением должны работать только на сжатом чистом воздухе.</w:t>
      </w:r>
      <w:r w:rsidR="00CF09E5">
        <w:t xml:space="preserve"> </w:t>
      </w:r>
      <w:r w:rsidRPr="00483C19">
        <w:t>В тех случаях, когда он подается с помощью компрессоров, непосредственно перед баком под давлением должны быть установлены надл</w:t>
      </w:r>
      <w:r w:rsidRPr="00483C19">
        <w:t>е</w:t>
      </w:r>
      <w:r w:rsidRPr="00483C19">
        <w:t>жащие воздушные фильтры и маслоотделители, если только вода и воздух не разделяются с помощью соответствующей диафрагмы</w:t>
      </w:r>
      <w:r w:rsidR="0092014A">
        <w:t>»</w:t>
      </w:r>
      <w:r w:rsidRPr="00483C19">
        <w:t>.</w:t>
      </w:r>
    </w:p>
    <w:p w:rsidR="00483C19" w:rsidRPr="00483C19" w:rsidRDefault="00483C19" w:rsidP="00A41A56">
      <w:pPr>
        <w:pStyle w:val="HChGR"/>
      </w:pPr>
      <w:r w:rsidRPr="00483C19">
        <w:tab/>
      </w:r>
      <w:r w:rsidRPr="00483C19">
        <w:rPr>
          <w:lang w:val="en-US"/>
        </w:rPr>
        <w:t>IV</w:t>
      </w:r>
      <w:r w:rsidRPr="00483C19">
        <w:t>.</w:t>
      </w:r>
      <w:r w:rsidRPr="00483C19">
        <w:tab/>
        <w:t xml:space="preserve">Предложение по новой главе 13: Отопительное, кухонное и холодильное оборудование, работающее </w:t>
      </w:r>
      <w:r w:rsidR="00A41A56">
        <w:br/>
      </w:r>
      <w:r w:rsidRPr="00483C19">
        <w:t>на жидком топливе</w:t>
      </w:r>
    </w:p>
    <w:p w:rsidR="00483C19" w:rsidRPr="00483C19" w:rsidRDefault="00A41A56" w:rsidP="00483C19">
      <w:pPr>
        <w:pStyle w:val="SingleTxtGR"/>
      </w:pPr>
      <w:r>
        <w:tab/>
      </w:r>
      <w:r w:rsidR="00483C19" w:rsidRPr="00483C19">
        <w:t>В настоящем разделе воспроизводится текст главы 16 ЕС-ТТСВП.</w:t>
      </w:r>
    </w:p>
    <w:p w:rsidR="00483C19" w:rsidRPr="00483C19" w:rsidRDefault="0092014A" w:rsidP="0092014A">
      <w:pPr>
        <w:pStyle w:val="SingleTxtGR"/>
        <w:spacing w:before="240"/>
        <w:jc w:val="center"/>
      </w:pPr>
      <w:bookmarkStart w:id="26" w:name="_Toc436115088"/>
      <w:r>
        <w:t>«</w:t>
      </w:r>
      <w:r w:rsidR="00483C19" w:rsidRPr="00483C19">
        <w:rPr>
          <w:b/>
        </w:rPr>
        <w:t>ГЛАВА 16</w:t>
      </w:r>
      <w:r w:rsidR="00483C19" w:rsidRPr="00483C19">
        <w:rPr>
          <w:b/>
        </w:rPr>
        <w:br/>
      </w:r>
      <w:bookmarkEnd w:id="26"/>
      <w:r w:rsidR="00483C19" w:rsidRPr="00483C19">
        <w:rPr>
          <w:b/>
        </w:rPr>
        <w:t>ОТОПИТЕЛЬНОЕ, КУХОННОЕ И ХОЛОДИЛЬНОЕ ОБОРУДОВАНИЕ, РАБОТАЮЩЕЕ НА ЖИДКОМ ТОПЛИВЕ</w:t>
      </w:r>
    </w:p>
    <w:p w:rsidR="00483C19" w:rsidRPr="00483C19" w:rsidRDefault="00483C19" w:rsidP="0092014A">
      <w:pPr>
        <w:pStyle w:val="SingleTxtGR"/>
        <w:spacing w:before="240"/>
        <w:jc w:val="center"/>
        <w:rPr>
          <w:b/>
        </w:rPr>
      </w:pPr>
      <w:bookmarkStart w:id="27" w:name="_Toc436115089"/>
      <w:r w:rsidRPr="00483C19">
        <w:rPr>
          <w:b/>
        </w:rPr>
        <w:t>Статья 16.01</w:t>
      </w:r>
      <w:r w:rsidRPr="00483C19">
        <w:rPr>
          <w:b/>
        </w:rPr>
        <w:br/>
        <w:t>Общие положения</w:t>
      </w:r>
      <w:bookmarkEnd w:id="27"/>
    </w:p>
    <w:p w:rsidR="00483C19" w:rsidRPr="00483C19" w:rsidRDefault="00483C19" w:rsidP="00483C19">
      <w:pPr>
        <w:pStyle w:val="SingleTxtGR"/>
      </w:pPr>
      <w:r w:rsidRPr="00483C19">
        <w:t>1.</w:t>
      </w:r>
      <w:r w:rsidRPr="00483C19">
        <w:tab/>
        <w:t>Отопительное, кухонное и холодильное оборудование, работающее на сжиженном газе, должно удовлетворять требованиям главы 17.</w:t>
      </w:r>
    </w:p>
    <w:p w:rsidR="00483C19" w:rsidRPr="00483C19" w:rsidRDefault="00483C19" w:rsidP="00483C19">
      <w:pPr>
        <w:pStyle w:val="SingleTxtGR"/>
      </w:pPr>
      <w:r w:rsidRPr="00483C19">
        <w:t>2.</w:t>
      </w:r>
      <w:r w:rsidRPr="00483C19">
        <w:tab/>
        <w:t>Отопительное, кухонное и холодильное оборудование, а также вспомог</w:t>
      </w:r>
      <w:r w:rsidRPr="00483C19">
        <w:t>а</w:t>
      </w:r>
      <w:r w:rsidRPr="00483C19">
        <w:t xml:space="preserve">тельное оборудование должно быть изготовлено и установлено таким образом, чтобы оно не создавало </w:t>
      </w:r>
      <w:r w:rsidR="00A41A56" w:rsidRPr="00483C19">
        <w:t>опасность</w:t>
      </w:r>
      <w:r w:rsidRPr="00483C19">
        <w:t xml:space="preserve"> даже в случае перегрева.</w:t>
      </w:r>
      <w:r w:rsidR="00CF09E5">
        <w:t xml:space="preserve"> </w:t>
      </w:r>
      <w:r w:rsidRPr="00483C19">
        <w:t>Его также необх</w:t>
      </w:r>
      <w:r w:rsidRPr="00483C19">
        <w:t>о</w:t>
      </w:r>
      <w:r w:rsidRPr="00483C19">
        <w:t>димо устанавливать таким образом, чтобы оно не могло случайно перевернут</w:t>
      </w:r>
      <w:r w:rsidRPr="00483C19">
        <w:t>ь</w:t>
      </w:r>
      <w:r w:rsidRPr="00483C19">
        <w:t>ся или сдвинуться.</w:t>
      </w:r>
    </w:p>
    <w:p w:rsidR="00483C19" w:rsidRPr="00483C19" w:rsidRDefault="00483C19" w:rsidP="00483C19">
      <w:pPr>
        <w:pStyle w:val="SingleTxtGR"/>
      </w:pPr>
      <w:r w:rsidRPr="00483C19">
        <w:t>3.</w:t>
      </w:r>
      <w:r w:rsidRPr="00483C19">
        <w:tab/>
        <w:t xml:space="preserve">Оборудование, указанное в пункте 2), нельзя устанавливать в </w:t>
      </w:r>
      <w:r w:rsidR="00A41A56" w:rsidRPr="00483C19">
        <w:t>помещен</w:t>
      </w:r>
      <w:r w:rsidR="00A41A56" w:rsidRPr="00483C19">
        <w:t>и</w:t>
      </w:r>
      <w:r w:rsidR="00A41A56" w:rsidRPr="00483C19">
        <w:t>ях</w:t>
      </w:r>
      <w:r w:rsidRPr="00483C19">
        <w:t>, в которых используются и хранятся вещества с температурой вспышки ниже 55</w:t>
      </w:r>
      <w:r w:rsidRPr="00483C19">
        <w:rPr>
          <w:lang w:val="en-US"/>
        </w:rPr>
        <w:t> </w:t>
      </w:r>
      <w:r w:rsidRPr="00483C19">
        <w:t>°</w:t>
      </w:r>
      <w:r w:rsidRPr="00483C19">
        <w:rPr>
          <w:lang w:val="en-US"/>
        </w:rPr>
        <w:t>C</w:t>
      </w:r>
      <w:r w:rsidRPr="00483C19">
        <w:t>.</w:t>
      </w:r>
      <w:r w:rsidR="00CF09E5">
        <w:t xml:space="preserve"> </w:t>
      </w:r>
      <w:r w:rsidRPr="00483C19">
        <w:t>Дымоходы этих установок</w:t>
      </w:r>
      <w:r w:rsidR="00CF09E5">
        <w:t xml:space="preserve"> </w:t>
      </w:r>
      <w:r w:rsidRPr="00483C19">
        <w:t>через такие помещения проходить не должны.</w:t>
      </w:r>
    </w:p>
    <w:p w:rsidR="00483C19" w:rsidRPr="00483C19" w:rsidRDefault="00483C19" w:rsidP="00483C19">
      <w:pPr>
        <w:pStyle w:val="SingleTxtGR"/>
      </w:pPr>
      <w:r w:rsidRPr="00483C19">
        <w:t>4.</w:t>
      </w:r>
      <w:r w:rsidRPr="00483C19">
        <w:tab/>
        <w:t>Необходимо обеспечить подвод воздуха, требуемого для горения.</w:t>
      </w:r>
    </w:p>
    <w:p w:rsidR="00483C19" w:rsidRPr="00483C19" w:rsidRDefault="00483C19" w:rsidP="00483C19">
      <w:pPr>
        <w:pStyle w:val="SingleTxtGR"/>
      </w:pPr>
      <w:r w:rsidRPr="00483C19">
        <w:t>5.</w:t>
      </w:r>
      <w:r w:rsidRPr="00483C19">
        <w:tab/>
        <w:t>Нагревательные установки должны быть прочно подсоединены к дым</w:t>
      </w:r>
      <w:r w:rsidRPr="00483C19">
        <w:t>о</w:t>
      </w:r>
      <w:r w:rsidRPr="00483C19">
        <w:t>ходам, которые должны быть оснащены надлежащими дефлекторами или ве</w:t>
      </w:r>
      <w:r w:rsidRPr="00483C19">
        <w:t>т</w:t>
      </w:r>
      <w:r w:rsidRPr="00483C19">
        <w:t>розащитными устройствами.</w:t>
      </w:r>
      <w:r w:rsidR="00CF09E5">
        <w:t xml:space="preserve"> </w:t>
      </w:r>
      <w:r w:rsidRPr="00483C19">
        <w:t>Их следует устанавливать таким образом, чтобы можно было выполнять работу по чистке.</w:t>
      </w:r>
    </w:p>
    <w:p w:rsidR="00483C19" w:rsidRPr="00483C19" w:rsidRDefault="00483C19" w:rsidP="0092014A">
      <w:pPr>
        <w:pStyle w:val="SingleTxtGR"/>
        <w:spacing w:before="240"/>
        <w:jc w:val="center"/>
        <w:rPr>
          <w:b/>
        </w:rPr>
      </w:pPr>
      <w:bookmarkStart w:id="28" w:name="_Toc436115090"/>
      <w:r w:rsidRPr="00483C19">
        <w:rPr>
          <w:b/>
        </w:rPr>
        <w:t>Статья 16.02</w:t>
      </w:r>
      <w:r w:rsidRPr="00483C19">
        <w:rPr>
          <w:b/>
        </w:rPr>
        <w:br/>
        <w:t xml:space="preserve">Использование жидких видов топлива и оборудование, </w:t>
      </w:r>
      <w:r w:rsidR="0092014A">
        <w:rPr>
          <w:b/>
        </w:rPr>
        <w:br/>
      </w:r>
      <w:r w:rsidRPr="00483C19">
        <w:rPr>
          <w:b/>
        </w:rPr>
        <w:t>работающее на мазуте</w:t>
      </w:r>
      <w:bookmarkEnd w:id="28"/>
    </w:p>
    <w:p w:rsidR="00483C19" w:rsidRPr="00483C19" w:rsidRDefault="00483C19" w:rsidP="00483C19">
      <w:pPr>
        <w:pStyle w:val="SingleTxtGR"/>
      </w:pPr>
      <w:r w:rsidRPr="00483C19">
        <w:t>1.</w:t>
      </w:r>
      <w:r w:rsidRPr="00483C19">
        <w:tab/>
        <w:t>Отопительное, кухонное и холодильное оборудование, работающее на жидком топливе, можно использовать только в случае тех видов топлива, у к</w:t>
      </w:r>
      <w:r w:rsidRPr="00483C19">
        <w:t>о</w:t>
      </w:r>
      <w:r w:rsidRPr="00483C19">
        <w:t>торых температура вспышки превышает 55 °</w:t>
      </w:r>
      <w:r w:rsidRPr="00483C19">
        <w:rPr>
          <w:lang w:val="en-US"/>
        </w:rPr>
        <w:t>C</w:t>
      </w:r>
      <w:r w:rsidRPr="00483C19">
        <w:t>.</w:t>
      </w:r>
    </w:p>
    <w:p w:rsidR="00483C19" w:rsidRPr="00483C19" w:rsidRDefault="00483C19" w:rsidP="00483C19">
      <w:pPr>
        <w:pStyle w:val="SingleTxtGR"/>
      </w:pPr>
      <w:r w:rsidRPr="00483C19">
        <w:t>2.</w:t>
      </w:r>
      <w:r w:rsidRPr="00483C19">
        <w:tab/>
        <w:t>В отступление от пункта 1) отопительные, кухонные и холодильные пр</w:t>
      </w:r>
      <w:r w:rsidRPr="00483C19">
        <w:t>и</w:t>
      </w:r>
      <w:r w:rsidRPr="00483C19">
        <w:t>боры, оснащенные фитильными горелками и работающие на техническом п</w:t>
      </w:r>
      <w:r w:rsidRPr="00483C19">
        <w:t>а</w:t>
      </w:r>
      <w:r w:rsidRPr="00483C19">
        <w:t>рафине, могут использоваться в жилых помещениях и рубке, при условии что емкость топливного бака не превышает 12 литров.</w:t>
      </w:r>
    </w:p>
    <w:p w:rsidR="00483C19" w:rsidRPr="00483C19" w:rsidRDefault="00483C19" w:rsidP="00483C19">
      <w:pPr>
        <w:pStyle w:val="SingleTxtGR"/>
      </w:pPr>
      <w:r w:rsidRPr="00483C19">
        <w:t>3.</w:t>
      </w:r>
      <w:r w:rsidRPr="00483C19">
        <w:tab/>
        <w:t>Приборы с фитильными горелками должны быть:</w:t>
      </w:r>
    </w:p>
    <w:p w:rsidR="00483C19" w:rsidRPr="00483C19" w:rsidRDefault="00483C19" w:rsidP="00483C19">
      <w:pPr>
        <w:pStyle w:val="SingleTxtGR"/>
      </w:pPr>
      <w:r w:rsidRPr="00483C19">
        <w:tab/>
      </w:r>
      <w:r w:rsidRPr="00483C19">
        <w:rPr>
          <w:lang w:val="en-US"/>
        </w:rPr>
        <w:t>a</w:t>
      </w:r>
      <w:r w:rsidRPr="00483C19">
        <w:t>)</w:t>
      </w:r>
      <w:r w:rsidRPr="00483C19">
        <w:tab/>
        <w:t>оснащены металлическим топливным бачком, заправочную горл</w:t>
      </w:r>
      <w:r w:rsidRPr="00483C19">
        <w:t>о</w:t>
      </w:r>
      <w:r w:rsidRPr="00483C19">
        <w:t>вину которого можно закрывать и в котором нет соединений, выполненных мягким припоем, ниже максимального уровня заполнения, и сконструированы и установлены таким образом, чтобы их бачок не мог случайно открыться или опорожниться;</w:t>
      </w:r>
    </w:p>
    <w:p w:rsidR="00483C19" w:rsidRPr="00483C19" w:rsidRDefault="00483C19" w:rsidP="00483C19">
      <w:pPr>
        <w:pStyle w:val="SingleTxtGR"/>
      </w:pPr>
      <w:r w:rsidRPr="00483C19">
        <w:tab/>
      </w:r>
      <w:r w:rsidRPr="00483C19">
        <w:rPr>
          <w:lang w:val="en-US"/>
        </w:rPr>
        <w:t>b</w:t>
      </w:r>
      <w:r w:rsidRPr="00483C19">
        <w:t>)</w:t>
      </w:r>
      <w:r w:rsidRPr="00483C19">
        <w:tab/>
        <w:t>способны зажигаться без помощи другого жидкого топлива;</w:t>
      </w:r>
    </w:p>
    <w:p w:rsidR="00483C19" w:rsidRPr="00483C19" w:rsidRDefault="00483C19" w:rsidP="00483C19">
      <w:pPr>
        <w:pStyle w:val="SingleTxtGR"/>
      </w:pPr>
      <w:r w:rsidRPr="00483C19">
        <w:tab/>
      </w:r>
      <w:r w:rsidRPr="00483C19">
        <w:rPr>
          <w:lang w:val="en-US"/>
        </w:rPr>
        <w:t>c</w:t>
      </w:r>
      <w:r w:rsidRPr="00483C19">
        <w:t>)</w:t>
      </w:r>
      <w:r w:rsidRPr="00483C19">
        <w:tab/>
        <w:t xml:space="preserve">установлены таким образом, чтобы обеспечить </w:t>
      </w:r>
      <w:r w:rsidR="00A41A56" w:rsidRPr="00483C19">
        <w:t>безопасный</w:t>
      </w:r>
      <w:r w:rsidRPr="00483C19">
        <w:t xml:space="preserve"> отвод дымовых газов.</w:t>
      </w:r>
    </w:p>
    <w:p w:rsidR="00483C19" w:rsidRPr="00483C19" w:rsidRDefault="00483C19" w:rsidP="0092014A">
      <w:pPr>
        <w:pStyle w:val="SingleTxtGR"/>
        <w:spacing w:before="240"/>
        <w:jc w:val="center"/>
        <w:rPr>
          <w:b/>
        </w:rPr>
      </w:pPr>
      <w:bookmarkStart w:id="29" w:name="_Toc436115091"/>
      <w:r w:rsidRPr="00483C19">
        <w:rPr>
          <w:b/>
        </w:rPr>
        <w:t>Статья 16.03</w:t>
      </w:r>
      <w:r w:rsidRPr="00483C19">
        <w:rPr>
          <w:b/>
        </w:rPr>
        <w:br/>
      </w:r>
      <w:bookmarkStart w:id="30" w:name="_Hlk480219653"/>
      <w:r w:rsidRPr="00483C19">
        <w:rPr>
          <w:b/>
        </w:rPr>
        <w:t>Печки с топливными горелками испарительного типа и обогревательные приборы с горелками распылительного типа</w:t>
      </w:r>
      <w:bookmarkEnd w:id="30"/>
    </w:p>
    <w:p w:rsidR="00483C19" w:rsidRPr="00A41A56" w:rsidRDefault="00A41A56" w:rsidP="00A41A56">
      <w:pPr>
        <w:pStyle w:val="SingleTxtGR"/>
      </w:pPr>
      <w:bookmarkStart w:id="31" w:name="_Hlk480228701"/>
      <w:bookmarkEnd w:id="29"/>
      <w:r>
        <w:t>1.</w:t>
      </w:r>
      <w:r>
        <w:tab/>
      </w:r>
      <w:r w:rsidR="00483C19" w:rsidRPr="00A41A56">
        <w:t>Печки с топливными горелками испарительного типа</w:t>
      </w:r>
      <w:bookmarkEnd w:id="31"/>
      <w:r w:rsidR="00483C19" w:rsidRPr="00A41A56">
        <w:t xml:space="preserve"> и </w:t>
      </w:r>
      <w:bookmarkStart w:id="32" w:name="_Hlk480234270"/>
      <w:r w:rsidR="00483C19" w:rsidRPr="00A41A56">
        <w:t>обогревательные приборы с горелками распылительного типа</w:t>
      </w:r>
      <w:bookmarkEnd w:id="32"/>
      <w:r w:rsidR="00483C19" w:rsidRPr="00A41A56">
        <w:t xml:space="preserve"> изготовляются в соответствии с передовой практикой.</w:t>
      </w:r>
    </w:p>
    <w:p w:rsidR="00483C19" w:rsidRPr="00483C19" w:rsidRDefault="00483C19" w:rsidP="00483C19">
      <w:pPr>
        <w:pStyle w:val="SingleTxtGR"/>
      </w:pPr>
      <w:r w:rsidRPr="00483C19">
        <w:t>2.</w:t>
      </w:r>
      <w:r w:rsidRPr="00483C19">
        <w:tab/>
        <w:t>В том случае, если в машинном отделении установлена печка с горелкой испарительного типа или прибор с горелкой распылительного типа, подвод во</w:t>
      </w:r>
      <w:r w:rsidRPr="00483C19">
        <w:t>з</w:t>
      </w:r>
      <w:r w:rsidRPr="00483C19">
        <w:t>духа к обогревательному прибору и двигателям должен быть сделан таким о</w:t>
      </w:r>
      <w:r w:rsidRPr="00483C19">
        <w:t>б</w:t>
      </w:r>
      <w:r w:rsidRPr="00483C19">
        <w:t>разом, чтобы обогревательные приборы и двигатели могли работать надлеж</w:t>
      </w:r>
      <w:r w:rsidRPr="00483C19">
        <w:t>а</w:t>
      </w:r>
      <w:r w:rsidRPr="00483C19">
        <w:t>щим и безопасным образом независимо друг от друга.</w:t>
      </w:r>
      <w:r w:rsidR="00CF09E5">
        <w:t xml:space="preserve"> </w:t>
      </w:r>
      <w:r w:rsidRPr="00483C19">
        <w:t>В случае необходимости, следует предусмотреть отдельный подвод воздуха.</w:t>
      </w:r>
      <w:r w:rsidR="00CF09E5">
        <w:t xml:space="preserve"> </w:t>
      </w:r>
      <w:r w:rsidRPr="00483C19">
        <w:t>Это оборудование должно быть установлено таким образом, чтобы пламя горелки не могло достигать др</w:t>
      </w:r>
      <w:r w:rsidRPr="00483C19">
        <w:t>у</w:t>
      </w:r>
      <w:r w:rsidRPr="00483C19">
        <w:t>гих частей установок машинного отделения.</w:t>
      </w:r>
    </w:p>
    <w:p w:rsidR="00483C19" w:rsidRPr="00483C19" w:rsidRDefault="00483C19" w:rsidP="0092014A">
      <w:pPr>
        <w:pStyle w:val="SingleTxtGR"/>
        <w:spacing w:before="240"/>
        <w:jc w:val="center"/>
        <w:rPr>
          <w:b/>
        </w:rPr>
      </w:pPr>
      <w:bookmarkStart w:id="33" w:name="_Toc436115092"/>
      <w:r w:rsidRPr="00483C19">
        <w:rPr>
          <w:b/>
        </w:rPr>
        <w:t>Статья 16.04</w:t>
      </w:r>
      <w:r w:rsidRPr="00483C19">
        <w:rPr>
          <w:b/>
        </w:rPr>
        <w:br/>
      </w:r>
      <w:bookmarkEnd w:id="33"/>
      <w:r w:rsidRPr="00483C19">
        <w:rPr>
          <w:b/>
        </w:rPr>
        <w:t>Печки с топливными горелками испарительного типа</w:t>
      </w:r>
    </w:p>
    <w:p w:rsidR="00483C19" w:rsidRPr="00483C19" w:rsidRDefault="00483C19" w:rsidP="00483C19">
      <w:pPr>
        <w:pStyle w:val="SingleTxtGR"/>
      </w:pPr>
      <w:r w:rsidRPr="00483C19">
        <w:t>1.</w:t>
      </w:r>
      <w:r w:rsidRPr="00483C19">
        <w:tab/>
        <w:t>Необходимо предусмотреть возможность зажигания</w:t>
      </w:r>
      <w:r w:rsidR="00CF09E5">
        <w:t xml:space="preserve"> </w:t>
      </w:r>
      <w:r w:rsidRPr="00483C19">
        <w:t>печек с топливными горелками испарительного типа без помощи другой горючей жидкости.</w:t>
      </w:r>
      <w:r w:rsidR="00CF09E5">
        <w:t xml:space="preserve"> </w:t>
      </w:r>
      <w:r w:rsidR="00A41A56">
        <w:t>Их </w:t>
      </w:r>
      <w:r w:rsidRPr="00483C19">
        <w:t>устанавливают над металлическим каплесборником, который выходит за пределы всех топливосодержащих частей; высота сторон каплесборника дол</w:t>
      </w:r>
      <w:r w:rsidRPr="00483C19">
        <w:t>ж</w:t>
      </w:r>
      <w:r w:rsidRPr="00483C19">
        <w:t>на составлять не менее 20 мм, а емкость – не менее 2 литров.</w:t>
      </w:r>
    </w:p>
    <w:p w:rsidR="00483C19" w:rsidRPr="00483C19" w:rsidRDefault="00483C19" w:rsidP="00483C19">
      <w:pPr>
        <w:pStyle w:val="SingleTxtGR"/>
      </w:pPr>
      <w:r w:rsidRPr="00483C19">
        <w:t>2.</w:t>
      </w:r>
      <w:r w:rsidRPr="00483C19">
        <w:tab/>
        <w:t>В случае печек с топливными горелками испарительного типа, устано</w:t>
      </w:r>
      <w:r w:rsidRPr="00483C19">
        <w:t>в</w:t>
      </w:r>
      <w:r w:rsidRPr="00483C19">
        <w:t>ленными в машинном отделении, высота металлического каплесборника, уп</w:t>
      </w:r>
      <w:r w:rsidRPr="00483C19">
        <w:t>о</w:t>
      </w:r>
      <w:r w:rsidRPr="00483C19">
        <w:t>мянутого в пункте 1) выше, должна составлять не менее 200 мм.</w:t>
      </w:r>
      <w:r w:rsidR="00CF09E5">
        <w:t xml:space="preserve"> </w:t>
      </w:r>
      <w:r w:rsidRPr="00483C19">
        <w:t>Нижний край испарительной горелки должен быть расположен выше края каплесборника.</w:t>
      </w:r>
      <w:r w:rsidR="00CF09E5">
        <w:t xml:space="preserve"> </w:t>
      </w:r>
      <w:r w:rsidRPr="00483C19">
        <w:t>Кроме того, каплесборник должен находиться на высоте не менее 100 мм от п</w:t>
      </w:r>
      <w:r w:rsidRPr="00483C19">
        <w:t>о</w:t>
      </w:r>
      <w:r w:rsidRPr="00483C19">
        <w:t>ла.</w:t>
      </w:r>
    </w:p>
    <w:p w:rsidR="00483C19" w:rsidRPr="00483C19" w:rsidRDefault="00483C19" w:rsidP="00483C19">
      <w:pPr>
        <w:pStyle w:val="SingleTxtGR"/>
      </w:pPr>
      <w:r w:rsidRPr="00483C19">
        <w:t>3.</w:t>
      </w:r>
      <w:r w:rsidRPr="00483C19">
        <w:tab/>
        <w:t>Печки с топливными горелками испарительного типа должны быть об</w:t>
      </w:r>
      <w:r w:rsidRPr="00483C19">
        <w:t>о</w:t>
      </w:r>
      <w:r w:rsidRPr="00483C19">
        <w:t>рудованы соответствующим регулятором, который во всех положениях регул</w:t>
      </w:r>
      <w:r w:rsidRPr="00483C19">
        <w:t>и</w:t>
      </w:r>
      <w:r w:rsidRPr="00483C19">
        <w:t>ровки должен обеспечивать практически постоянную подачу топлива на горе</w:t>
      </w:r>
      <w:r w:rsidRPr="00483C19">
        <w:t>л</w:t>
      </w:r>
      <w:r w:rsidRPr="00483C19">
        <w:t>ку и предотвращать любую утечку топлива в том случае, если пламя гаснет.</w:t>
      </w:r>
      <w:r w:rsidR="00CF09E5">
        <w:t xml:space="preserve"> </w:t>
      </w:r>
      <w:r w:rsidRPr="00483C19">
        <w:t>Р</w:t>
      </w:r>
      <w:r w:rsidRPr="00483C19">
        <w:t>е</w:t>
      </w:r>
      <w:r w:rsidRPr="00483C19">
        <w:t>гуляторы считаются соответствующими требованиям, если они работают дол</w:t>
      </w:r>
      <w:r w:rsidRPr="00483C19">
        <w:t>ж</w:t>
      </w:r>
      <w:r w:rsidRPr="00483C19">
        <w:t>ным образом даже под воздействием вибрации и наклона до 12° и если они, п</w:t>
      </w:r>
      <w:r w:rsidRPr="00483C19">
        <w:t>о</w:t>
      </w:r>
      <w:r w:rsidRPr="00483C19">
        <w:t>мимо устройства поплавкового типа, регулирующего уровень, оснащены:</w:t>
      </w:r>
    </w:p>
    <w:p w:rsidR="00483C19" w:rsidRPr="00483C19" w:rsidRDefault="00483C19" w:rsidP="00483C19">
      <w:pPr>
        <w:pStyle w:val="SingleTxtGR"/>
      </w:pPr>
      <w:r w:rsidRPr="00483C19">
        <w:tab/>
      </w:r>
      <w:r w:rsidRPr="00483C19">
        <w:rPr>
          <w:lang w:val="en-US"/>
        </w:rPr>
        <w:t>a</w:t>
      </w:r>
      <w:r w:rsidRPr="00483C19">
        <w:t>)</w:t>
      </w:r>
      <w:r w:rsidRPr="00483C19">
        <w:tab/>
        <w:t>вторым устройством поплавкового типа, которое перекрывает п</w:t>
      </w:r>
      <w:r w:rsidRPr="00483C19">
        <w:t>о</w:t>
      </w:r>
      <w:r w:rsidRPr="00483C19">
        <w:t>дачу топлива надежным и безопасным образом в случае превышения допуст</w:t>
      </w:r>
      <w:r w:rsidRPr="00483C19">
        <w:t>и</w:t>
      </w:r>
      <w:r w:rsidRPr="00483C19">
        <w:t>мого уровня</w:t>
      </w:r>
      <w:r w:rsidR="0092014A">
        <w:t>;</w:t>
      </w:r>
      <w:r w:rsidRPr="00483C19">
        <w:t xml:space="preserve"> или </w:t>
      </w:r>
    </w:p>
    <w:p w:rsidR="00483C19" w:rsidRPr="00483C19" w:rsidRDefault="00483C19" w:rsidP="00483C19">
      <w:pPr>
        <w:pStyle w:val="SingleTxtGR"/>
      </w:pPr>
      <w:r w:rsidRPr="00483C19">
        <w:tab/>
      </w:r>
      <w:r w:rsidRPr="00483C19">
        <w:rPr>
          <w:lang w:val="en-US"/>
        </w:rPr>
        <w:t>b</w:t>
      </w:r>
      <w:r w:rsidRPr="00483C19">
        <w:t>)</w:t>
      </w:r>
      <w:r w:rsidRPr="00483C19">
        <w:tab/>
        <w:t>переливной трубкой, но только в том случае, если емкость капле</w:t>
      </w:r>
      <w:r w:rsidRPr="00483C19">
        <w:t>с</w:t>
      </w:r>
      <w:r w:rsidRPr="00483C19">
        <w:t>борника достаточна для того, чтобы вместить как минимум содержимое то</w:t>
      </w:r>
      <w:r w:rsidRPr="00483C19">
        <w:t>п</w:t>
      </w:r>
      <w:r w:rsidRPr="00483C19">
        <w:t>ливного бачка.</w:t>
      </w:r>
    </w:p>
    <w:p w:rsidR="00483C19" w:rsidRPr="00483C19" w:rsidRDefault="00483C19" w:rsidP="00483C19">
      <w:pPr>
        <w:pStyle w:val="SingleTxtGR"/>
      </w:pPr>
      <w:r w:rsidRPr="00483C19">
        <w:t>4.</w:t>
      </w:r>
      <w:r w:rsidRPr="00483C19">
        <w:tab/>
        <w:t>Если топливной бачок для печки с топливными горелками испарительн</w:t>
      </w:r>
      <w:r w:rsidRPr="00483C19">
        <w:t>о</w:t>
      </w:r>
      <w:r w:rsidRPr="00483C19">
        <w:t>го типа установлен отдельно:</w:t>
      </w:r>
    </w:p>
    <w:p w:rsidR="00483C19" w:rsidRPr="00483C19" w:rsidRDefault="00483C19" w:rsidP="00483C19">
      <w:pPr>
        <w:pStyle w:val="SingleTxtGR"/>
      </w:pPr>
      <w:r w:rsidRPr="00483C19">
        <w:tab/>
      </w:r>
      <w:r w:rsidRPr="00483C19">
        <w:rPr>
          <w:lang w:val="en-US"/>
        </w:rPr>
        <w:t>a</w:t>
      </w:r>
      <w:r w:rsidRPr="00483C19">
        <w:t>)</w:t>
      </w:r>
      <w:r w:rsidRPr="00483C19">
        <w:tab/>
        <w:t>перепад высот между бачком и форсункой подачи топлива на г</w:t>
      </w:r>
      <w:r w:rsidRPr="00483C19">
        <w:t>о</w:t>
      </w:r>
      <w:r w:rsidRPr="00483C19">
        <w:t>релку не должен превышать перепад, указанный в инструкциях изготовителя по эксплуатации;</w:t>
      </w:r>
    </w:p>
    <w:p w:rsidR="00483C19" w:rsidRPr="00483C19" w:rsidRDefault="00483C19" w:rsidP="00483C19">
      <w:pPr>
        <w:pStyle w:val="SingleTxtGR"/>
      </w:pPr>
      <w:r w:rsidRPr="00483C19">
        <w:tab/>
      </w:r>
      <w:r w:rsidRPr="00483C19">
        <w:rPr>
          <w:lang w:val="en-US"/>
        </w:rPr>
        <w:t>b</w:t>
      </w:r>
      <w:r w:rsidRPr="00483C19">
        <w:t>)</w:t>
      </w:r>
      <w:r w:rsidRPr="00483C19">
        <w:tab/>
        <w:t>он должен быть установлен таким образом, чтобы не допустить его</w:t>
      </w:r>
      <w:r w:rsidR="00CF09E5">
        <w:t xml:space="preserve"> </w:t>
      </w:r>
      <w:r w:rsidRPr="00483C19">
        <w:t>перегрева;</w:t>
      </w:r>
    </w:p>
    <w:p w:rsidR="00483C19" w:rsidRPr="00483C19" w:rsidRDefault="00483C19" w:rsidP="00483C19">
      <w:pPr>
        <w:pStyle w:val="SingleTxtGR"/>
      </w:pPr>
      <w:r w:rsidRPr="00483C19">
        <w:tab/>
      </w:r>
      <w:r w:rsidRPr="00483C19">
        <w:rPr>
          <w:lang w:val="en-US"/>
        </w:rPr>
        <w:t>c</w:t>
      </w:r>
      <w:r w:rsidRPr="00483C19">
        <w:t>)</w:t>
      </w:r>
      <w:r w:rsidRPr="00483C19">
        <w:tab/>
        <w:t>необходимо предусмотреть возможность перекрытия подачи топл</w:t>
      </w:r>
      <w:r w:rsidRPr="00483C19">
        <w:t>и</w:t>
      </w:r>
      <w:r w:rsidRPr="00483C19">
        <w:t>ва с палубы.</w:t>
      </w:r>
    </w:p>
    <w:p w:rsidR="00483C19" w:rsidRPr="00483C19" w:rsidRDefault="00483C19" w:rsidP="00483C19">
      <w:pPr>
        <w:pStyle w:val="SingleTxtGR"/>
      </w:pPr>
      <w:r w:rsidRPr="00483C19">
        <w:t>5.</w:t>
      </w:r>
      <w:r w:rsidRPr="00483C19">
        <w:tab/>
        <w:t>Дымовые газы от печки с топливными горелками испарительного типа должны быть оснащены устройством, препятствующим изменению направл</w:t>
      </w:r>
      <w:r w:rsidRPr="00483C19">
        <w:t>е</w:t>
      </w:r>
      <w:r w:rsidRPr="00483C19">
        <w:t>ния тяги на обратную.</w:t>
      </w:r>
    </w:p>
    <w:p w:rsidR="00483C19" w:rsidRPr="00483C19" w:rsidRDefault="00483C19" w:rsidP="0092014A">
      <w:pPr>
        <w:pStyle w:val="SingleTxtGR"/>
        <w:spacing w:before="240"/>
        <w:jc w:val="center"/>
        <w:rPr>
          <w:b/>
        </w:rPr>
      </w:pPr>
      <w:bookmarkStart w:id="34" w:name="_Toc436115093"/>
      <w:r w:rsidRPr="00483C19">
        <w:rPr>
          <w:b/>
        </w:rPr>
        <w:t>Статья 16.05</w:t>
      </w:r>
      <w:r w:rsidRPr="00483C19">
        <w:rPr>
          <w:b/>
        </w:rPr>
        <w:br/>
      </w:r>
      <w:bookmarkEnd w:id="34"/>
      <w:r w:rsidRPr="00483C19">
        <w:rPr>
          <w:b/>
        </w:rPr>
        <w:t>Обогревательные приборы с горелками распылительного типа</w:t>
      </w:r>
    </w:p>
    <w:p w:rsidR="00483C19" w:rsidRPr="00483C19" w:rsidRDefault="00A41A56" w:rsidP="00483C19">
      <w:pPr>
        <w:pStyle w:val="SingleTxtGR"/>
      </w:pPr>
      <w:r>
        <w:tab/>
      </w:r>
      <w:r w:rsidR="00483C19" w:rsidRPr="00483C19">
        <w:t>Обогревательные приборы с горелками распылительного типа должны удовлетворять, в частности, следующим требованиям:</w:t>
      </w:r>
    </w:p>
    <w:p w:rsidR="00483C19" w:rsidRPr="00483C19" w:rsidRDefault="00483C19" w:rsidP="00483C19">
      <w:pPr>
        <w:pStyle w:val="SingleTxtGR"/>
      </w:pPr>
      <w:r w:rsidRPr="00483C19">
        <w:tab/>
      </w:r>
      <w:r w:rsidRPr="00483C19">
        <w:rPr>
          <w:lang w:val="en-US"/>
        </w:rPr>
        <w:t>a</w:t>
      </w:r>
      <w:r w:rsidRPr="00483C19">
        <w:t>)</w:t>
      </w:r>
      <w:r w:rsidRPr="00483C19">
        <w:tab/>
        <w:t xml:space="preserve">до подачи </w:t>
      </w:r>
      <w:r w:rsidR="00A41A56" w:rsidRPr="00483C19">
        <w:t>топлива</w:t>
      </w:r>
      <w:r w:rsidRPr="00483C19">
        <w:t xml:space="preserve"> необходимо обеспечить надлежащую вентил</w:t>
      </w:r>
      <w:r w:rsidRPr="00483C19">
        <w:t>я</w:t>
      </w:r>
      <w:r w:rsidRPr="00483C19">
        <w:t>цию горелки;</w:t>
      </w:r>
    </w:p>
    <w:p w:rsidR="00483C19" w:rsidRPr="00483C19" w:rsidRDefault="00483C19" w:rsidP="00483C19">
      <w:pPr>
        <w:pStyle w:val="SingleTxtGR"/>
      </w:pPr>
      <w:r w:rsidRPr="00483C19">
        <w:tab/>
      </w:r>
      <w:r w:rsidRPr="00483C19">
        <w:rPr>
          <w:lang w:val="en-US"/>
        </w:rPr>
        <w:t>b</w:t>
      </w:r>
      <w:r w:rsidRPr="00483C19">
        <w:t>)</w:t>
      </w:r>
      <w:r w:rsidRPr="00483C19">
        <w:tab/>
        <w:t>подача топлива должна регулироваться термостатом;</w:t>
      </w:r>
    </w:p>
    <w:p w:rsidR="00483C19" w:rsidRPr="00483C19" w:rsidRDefault="00483C19" w:rsidP="00483C19">
      <w:pPr>
        <w:pStyle w:val="SingleTxtGR"/>
      </w:pPr>
      <w:r w:rsidRPr="00483C19">
        <w:tab/>
      </w:r>
      <w:r w:rsidRPr="00483C19">
        <w:rPr>
          <w:lang w:val="en-US"/>
        </w:rPr>
        <w:t>c</w:t>
      </w:r>
      <w:r w:rsidRPr="00483C19">
        <w:t>)</w:t>
      </w:r>
      <w:r w:rsidRPr="00483C19">
        <w:tab/>
        <w:t>топливо следует поджигать соответствующим электрическим устройством или дежурной горелкой;</w:t>
      </w:r>
    </w:p>
    <w:p w:rsidR="00483C19" w:rsidRPr="00483C19" w:rsidRDefault="00483C19" w:rsidP="00483C19">
      <w:pPr>
        <w:pStyle w:val="SingleTxtGR"/>
      </w:pPr>
      <w:r w:rsidRPr="00483C19">
        <w:tab/>
      </w:r>
      <w:r w:rsidRPr="00483C19">
        <w:rPr>
          <w:lang w:val="en-US"/>
        </w:rPr>
        <w:t>d</w:t>
      </w:r>
      <w:r w:rsidRPr="00483C19">
        <w:t>)</w:t>
      </w:r>
      <w:r w:rsidRPr="00483C19">
        <w:tab/>
        <w:t>при угасании пламени подача топлива должна прерываться соо</w:t>
      </w:r>
      <w:r w:rsidRPr="00483C19">
        <w:t>т</w:t>
      </w:r>
      <w:r w:rsidRPr="00483C19">
        <w:t>ветствующим устройством контроля за пламенем;</w:t>
      </w:r>
    </w:p>
    <w:p w:rsidR="00483C19" w:rsidRPr="00483C19" w:rsidRDefault="00483C19" w:rsidP="00483C19">
      <w:pPr>
        <w:pStyle w:val="SingleTxtGR"/>
      </w:pPr>
      <w:r w:rsidRPr="00483C19">
        <w:tab/>
      </w:r>
      <w:r w:rsidRPr="00483C19">
        <w:rPr>
          <w:lang w:val="en-US"/>
        </w:rPr>
        <w:t>e</w:t>
      </w:r>
      <w:r w:rsidRPr="00483C19">
        <w:t>)</w:t>
      </w:r>
      <w:r w:rsidRPr="00483C19">
        <w:tab/>
        <w:t xml:space="preserve">в легкодоступном месте вне </w:t>
      </w:r>
      <w:r w:rsidR="00433A81">
        <w:t>помещения, в котором установлен</w:t>
      </w:r>
      <w:r w:rsidRPr="00483C19">
        <w:t xml:space="preserve"> прибор, должен быть установлен основной выключатель.</w:t>
      </w:r>
    </w:p>
    <w:p w:rsidR="00483C19" w:rsidRPr="00483C19" w:rsidRDefault="00483C19" w:rsidP="00433A81">
      <w:pPr>
        <w:pStyle w:val="SingleTxtGR"/>
        <w:spacing w:before="240"/>
        <w:jc w:val="center"/>
        <w:rPr>
          <w:b/>
        </w:rPr>
      </w:pPr>
      <w:bookmarkStart w:id="35" w:name="_Toc436115094"/>
      <w:r w:rsidRPr="00483C19">
        <w:rPr>
          <w:b/>
        </w:rPr>
        <w:t>Статья 16.06</w:t>
      </w:r>
      <w:r w:rsidRPr="00483C19">
        <w:rPr>
          <w:b/>
        </w:rPr>
        <w:br/>
      </w:r>
      <w:bookmarkStart w:id="36" w:name="_Hlk480264499"/>
      <w:r w:rsidRPr="00483C19">
        <w:rPr>
          <w:b/>
        </w:rPr>
        <w:t>Обогревательное оборудование с принудительной циркуляцией воздуха</w:t>
      </w:r>
      <w:bookmarkEnd w:id="35"/>
      <w:bookmarkEnd w:id="36"/>
    </w:p>
    <w:p w:rsidR="00483C19" w:rsidRPr="00483C19" w:rsidRDefault="00A41A56" w:rsidP="00483C19">
      <w:pPr>
        <w:pStyle w:val="SingleTxtGR"/>
      </w:pPr>
      <w:r>
        <w:tab/>
      </w:r>
      <w:r w:rsidR="00483C19" w:rsidRPr="00483C19">
        <w:t>Обогревательное оборудование с принудительной циркуляцией воздуха, включающее камеру сгорания, вокруг которой нагретый воздух подается под давлением в систему распределения или соответствующее помещение, должен удовлетворять нижеследующим требованиям:</w:t>
      </w:r>
    </w:p>
    <w:p w:rsidR="00483C19" w:rsidRPr="00483C19" w:rsidRDefault="00483C19" w:rsidP="00483C19">
      <w:pPr>
        <w:pStyle w:val="SingleTxtGR"/>
      </w:pPr>
      <w:r w:rsidRPr="00483C19">
        <w:tab/>
      </w:r>
      <w:r w:rsidRPr="00483C19">
        <w:rPr>
          <w:lang w:val="en-US"/>
        </w:rPr>
        <w:t>a</w:t>
      </w:r>
      <w:r w:rsidRPr="00483C19">
        <w:t>)</w:t>
      </w:r>
      <w:r w:rsidRPr="00483C19">
        <w:tab/>
        <w:t>если топливо распыляется под давлением, воздух, необходимый для горения, подается на горелку;</w:t>
      </w:r>
    </w:p>
    <w:p w:rsidR="00483C19" w:rsidRPr="00483C19" w:rsidRDefault="00483C19" w:rsidP="00483C19">
      <w:pPr>
        <w:pStyle w:val="SingleTxtGR"/>
      </w:pPr>
      <w:r w:rsidRPr="00483C19">
        <w:tab/>
      </w:r>
      <w:r w:rsidRPr="00483C19">
        <w:rPr>
          <w:lang w:val="en-US"/>
        </w:rPr>
        <w:t>b</w:t>
      </w:r>
      <w:r w:rsidRPr="00483C19">
        <w:t>)</w:t>
      </w:r>
      <w:r w:rsidRPr="00483C19">
        <w:tab/>
        <w:t>перед тем как зажечь горелку, камера сгорания хорошо проветрив</w:t>
      </w:r>
      <w:r w:rsidRPr="00483C19">
        <w:t>а</w:t>
      </w:r>
      <w:r w:rsidRPr="00483C19">
        <w:t>ется;</w:t>
      </w:r>
      <w:r w:rsidR="00CF09E5">
        <w:t xml:space="preserve"> </w:t>
      </w:r>
      <w:r w:rsidRPr="00483C19">
        <w:t>вентиляцию можно считать полной, если после того, как пламя погасло, вентилятор продолжает подавать воздух, необходимый для горения;</w:t>
      </w:r>
    </w:p>
    <w:p w:rsidR="00483C19" w:rsidRPr="00483C19" w:rsidRDefault="00483C19" w:rsidP="00483C19">
      <w:pPr>
        <w:pStyle w:val="SingleTxtGR"/>
      </w:pPr>
      <w:r w:rsidRPr="00483C19">
        <w:tab/>
      </w:r>
      <w:r w:rsidRPr="00483C19">
        <w:rPr>
          <w:lang w:val="en-US"/>
        </w:rPr>
        <w:t>c</w:t>
      </w:r>
      <w:r w:rsidRPr="00483C19">
        <w:t>)</w:t>
      </w:r>
      <w:r w:rsidRPr="00483C19">
        <w:tab/>
        <w:t>подача топлива автоматически прекращается, если:</w:t>
      </w:r>
    </w:p>
    <w:p w:rsidR="00483C19" w:rsidRPr="00483C19" w:rsidRDefault="00483C19" w:rsidP="00A41A56">
      <w:pPr>
        <w:pStyle w:val="Bullet1GR"/>
      </w:pPr>
      <w:r w:rsidRPr="00483C19">
        <w:t>огонь гаснет;</w:t>
      </w:r>
    </w:p>
    <w:p w:rsidR="00483C19" w:rsidRPr="00483C19" w:rsidRDefault="00483C19" w:rsidP="00A41A56">
      <w:pPr>
        <w:pStyle w:val="Bullet1GR"/>
      </w:pPr>
      <w:r w:rsidRPr="00483C19">
        <w:t>подача воздуха, необходимого для горения, недостаточна;</w:t>
      </w:r>
    </w:p>
    <w:p w:rsidR="00483C19" w:rsidRPr="00483C19" w:rsidRDefault="00483C19" w:rsidP="00A41A56">
      <w:pPr>
        <w:pStyle w:val="Bullet1GR"/>
      </w:pPr>
      <w:r w:rsidRPr="00483C19">
        <w:t>температура нагретого воздуха, превышает температуру, установленную ранее; или</w:t>
      </w:r>
    </w:p>
    <w:p w:rsidR="00433A81" w:rsidRDefault="00483C19" w:rsidP="00483C19">
      <w:pPr>
        <w:pStyle w:val="Bullet1GR"/>
      </w:pPr>
      <w:r w:rsidRPr="00483C19">
        <w:t>подача электропитания на устройства безопасности прерывается</w:t>
      </w:r>
      <w:r w:rsidR="00433A81">
        <w:t>;</w:t>
      </w:r>
    </w:p>
    <w:p w:rsidR="00483C19" w:rsidRPr="00483C19" w:rsidRDefault="00433A81" w:rsidP="00483C19">
      <w:pPr>
        <w:pStyle w:val="Bullet1GR"/>
      </w:pPr>
      <w:r>
        <w:t>в</w:t>
      </w:r>
      <w:r w:rsidR="00483C19" w:rsidRPr="00483C19">
        <w:t xml:space="preserve"> вышеперечисленных случаях подача топлива, после того как она была отключена, автоматически не восстанавливается;</w:t>
      </w:r>
    </w:p>
    <w:p w:rsidR="00483C19" w:rsidRPr="00483C19" w:rsidRDefault="00483C19" w:rsidP="00483C19">
      <w:pPr>
        <w:pStyle w:val="SingleTxtGR"/>
      </w:pPr>
      <w:r w:rsidRPr="00483C19">
        <w:tab/>
      </w:r>
      <w:r w:rsidRPr="00483C19">
        <w:rPr>
          <w:lang w:val="en-US"/>
        </w:rPr>
        <w:t>d</w:t>
      </w:r>
      <w:r w:rsidRPr="00483C19">
        <w:t>)</w:t>
      </w:r>
      <w:r w:rsidRPr="00483C19">
        <w:tab/>
      </w:r>
      <w:r w:rsidR="00433A81">
        <w:t>с</w:t>
      </w:r>
      <w:r w:rsidRPr="00483C19">
        <w:t>ледует предусмотреть возможность отключения вентиляторов п</w:t>
      </w:r>
      <w:r w:rsidRPr="00483C19">
        <w:t>о</w:t>
      </w:r>
      <w:r w:rsidRPr="00483C19">
        <w:t>дачи воздуха, необходимого для горения, и нагнетательных вентиляторов во</w:t>
      </w:r>
      <w:r w:rsidRPr="00483C19">
        <w:t>з</w:t>
      </w:r>
      <w:r w:rsidRPr="00483C19">
        <w:t>духа для обогрева вне помещения, в котором расположено обогревательное оборудование;</w:t>
      </w:r>
    </w:p>
    <w:p w:rsidR="00483C19" w:rsidRPr="00483C19" w:rsidRDefault="00483C19" w:rsidP="00483C19">
      <w:pPr>
        <w:pStyle w:val="SingleTxtGR"/>
      </w:pPr>
      <w:r w:rsidRPr="00483C19">
        <w:tab/>
      </w:r>
      <w:r w:rsidRPr="00483C19">
        <w:rPr>
          <w:lang w:val="en-US"/>
        </w:rPr>
        <w:t>e</w:t>
      </w:r>
      <w:r w:rsidRPr="00483C19">
        <w:t>)</w:t>
      </w:r>
      <w:r w:rsidRPr="00483C19">
        <w:tab/>
        <w:t>если забор воздуха для обогрева производится извне, заборные о</w:t>
      </w:r>
      <w:r w:rsidRPr="00483C19">
        <w:t>т</w:t>
      </w:r>
      <w:r w:rsidRPr="00483C19">
        <w:t>верстия должны быть расположены как можно выше над палубой.</w:t>
      </w:r>
      <w:r w:rsidR="00CF09E5">
        <w:t xml:space="preserve"> </w:t>
      </w:r>
      <w:r w:rsidRPr="00483C19">
        <w:t>Они должны быть выполнены таким образом, чтобы не допустить попадания в помещение дождя и брызг воды;</w:t>
      </w:r>
    </w:p>
    <w:p w:rsidR="00483C19" w:rsidRPr="00483C19" w:rsidRDefault="00483C19" w:rsidP="00483C19">
      <w:pPr>
        <w:pStyle w:val="SingleTxtGR"/>
      </w:pPr>
      <w:r w:rsidRPr="00483C19">
        <w:tab/>
      </w:r>
      <w:r w:rsidRPr="00483C19">
        <w:rPr>
          <w:lang w:val="en-US"/>
        </w:rPr>
        <w:t>f</w:t>
      </w:r>
      <w:r w:rsidRPr="00483C19">
        <w:t>)</w:t>
      </w:r>
      <w:r w:rsidRPr="00483C19">
        <w:tab/>
        <w:t>трубы для нагретого воздуха должны быть изготовлены из металла;</w:t>
      </w:r>
    </w:p>
    <w:p w:rsidR="00483C19" w:rsidRPr="00483C19" w:rsidRDefault="00483C19" w:rsidP="00483C19">
      <w:pPr>
        <w:pStyle w:val="SingleTxtGR"/>
      </w:pPr>
      <w:r w:rsidRPr="00483C19">
        <w:tab/>
      </w:r>
      <w:r w:rsidRPr="00483C19">
        <w:rPr>
          <w:lang w:val="en-US"/>
        </w:rPr>
        <w:t>g</w:t>
      </w:r>
      <w:r w:rsidRPr="00483C19">
        <w:t>)</w:t>
      </w:r>
      <w:r w:rsidRPr="00483C19">
        <w:tab/>
        <w:t>необходимо исключить возможность полного закрытия отверстий, предназначенных для выхода нагретого воздуха;</w:t>
      </w:r>
    </w:p>
    <w:p w:rsidR="00483C19" w:rsidRPr="00483C19" w:rsidRDefault="00483C19" w:rsidP="00483C19">
      <w:pPr>
        <w:pStyle w:val="SingleTxtGR"/>
      </w:pPr>
      <w:r w:rsidRPr="00483C19">
        <w:tab/>
      </w:r>
      <w:r w:rsidRPr="00483C19">
        <w:rPr>
          <w:lang w:val="en-US"/>
        </w:rPr>
        <w:t>h</w:t>
      </w:r>
      <w:r w:rsidRPr="00483C19">
        <w:t>)</w:t>
      </w:r>
      <w:r w:rsidRPr="00483C19">
        <w:tab/>
        <w:t>необходимо исключить возможность протечки топлива и его поп</w:t>
      </w:r>
      <w:r w:rsidRPr="00483C19">
        <w:t>а</w:t>
      </w:r>
      <w:r w:rsidRPr="00483C19">
        <w:t>дания в трубы</w:t>
      </w:r>
      <w:r w:rsidR="00CF09E5">
        <w:t xml:space="preserve"> </w:t>
      </w:r>
      <w:r w:rsidRPr="00483C19">
        <w:t>с нагретым воздухом;</w:t>
      </w:r>
    </w:p>
    <w:p w:rsidR="00483C19" w:rsidRPr="00483C19" w:rsidRDefault="00483C19" w:rsidP="00483C19">
      <w:pPr>
        <w:pStyle w:val="SingleTxtGR"/>
      </w:pPr>
      <w:r w:rsidRPr="00483C19">
        <w:tab/>
      </w:r>
      <w:r w:rsidRPr="00483C19">
        <w:rPr>
          <w:lang w:val="en-US"/>
        </w:rPr>
        <w:t>i</w:t>
      </w:r>
      <w:r w:rsidRPr="00483C19">
        <w:t>)</w:t>
      </w:r>
      <w:r w:rsidRPr="00483C19">
        <w:tab/>
        <w:t>необходимо исключить возможность засасывания обогревательным оборудованием с принудительной циркуляцией нагретого воздуха из машинного отделения.</w:t>
      </w:r>
    </w:p>
    <w:p w:rsidR="00483C19" w:rsidRPr="00483C19" w:rsidRDefault="00483C19" w:rsidP="00433A81">
      <w:pPr>
        <w:pStyle w:val="SingleTxtGR"/>
        <w:spacing w:before="240"/>
        <w:jc w:val="center"/>
        <w:rPr>
          <w:b/>
        </w:rPr>
      </w:pPr>
      <w:bookmarkStart w:id="37" w:name="_Toc436115095"/>
      <w:r w:rsidRPr="00483C19">
        <w:rPr>
          <w:b/>
        </w:rPr>
        <w:t>Статья 16.07</w:t>
      </w:r>
      <w:r w:rsidRPr="00483C19">
        <w:rPr>
          <w:b/>
        </w:rPr>
        <w:br/>
      </w:r>
      <w:bookmarkEnd w:id="37"/>
      <w:r w:rsidRPr="00483C19">
        <w:rPr>
          <w:b/>
        </w:rPr>
        <w:t>Отопление на твердом топливе</w:t>
      </w:r>
    </w:p>
    <w:p w:rsidR="00483C19" w:rsidRPr="00483C19" w:rsidRDefault="00483C19" w:rsidP="00483C19">
      <w:pPr>
        <w:pStyle w:val="SingleTxtGR"/>
      </w:pPr>
      <w:r w:rsidRPr="00483C19">
        <w:t>1.</w:t>
      </w:r>
      <w:r w:rsidRPr="00483C19">
        <w:tab/>
        <w:t>Оборудование на твердом топливе устанавливается на металлической пластине с загнутыми вверх краями таким образом, чтобы тлеющие угли не п</w:t>
      </w:r>
      <w:r w:rsidRPr="00483C19">
        <w:t>а</w:t>
      </w:r>
      <w:r w:rsidRPr="00483C19">
        <w:t>дали с пластины.</w:t>
      </w:r>
    </w:p>
    <w:p w:rsidR="00483C19" w:rsidRPr="00483C19" w:rsidRDefault="00483C19" w:rsidP="00483C19">
      <w:pPr>
        <w:pStyle w:val="SingleTxtGR"/>
      </w:pPr>
      <w:r w:rsidRPr="00483C19">
        <w:tab/>
        <w:t>Это требование не применяется к оборудованию, установленному в п</w:t>
      </w:r>
      <w:r w:rsidRPr="00483C19">
        <w:t>о</w:t>
      </w:r>
      <w:r w:rsidRPr="00483C19">
        <w:t>мещениях, сделанных из негорючих материалов и предназначенных только для бытовых котельных.</w:t>
      </w:r>
    </w:p>
    <w:p w:rsidR="00483C19" w:rsidRPr="00483C19" w:rsidRDefault="00483C19" w:rsidP="00483C19">
      <w:pPr>
        <w:pStyle w:val="SingleTxtGR"/>
      </w:pPr>
      <w:r w:rsidRPr="00483C19">
        <w:t>2.</w:t>
      </w:r>
      <w:r w:rsidRPr="00483C19">
        <w:tab/>
        <w:t>Котлы, работающие на твердом топливе, оснащаются термостатическими органами управления, позволяющими регулировать поток воздуха, необходим</w:t>
      </w:r>
      <w:r w:rsidRPr="00483C19">
        <w:t>о</w:t>
      </w:r>
      <w:r w:rsidRPr="00483C19">
        <w:t>го для горения.</w:t>
      </w:r>
    </w:p>
    <w:p w:rsidR="00CF09E5" w:rsidRDefault="00483C19" w:rsidP="00483C19">
      <w:pPr>
        <w:pStyle w:val="SingleTxtGR"/>
      </w:pPr>
      <w:r w:rsidRPr="00483C19">
        <w:t>3.</w:t>
      </w:r>
      <w:r w:rsidRPr="00483C19">
        <w:tab/>
        <w:t>Вблизи каждой обогревательной установки должно находиться соотве</w:t>
      </w:r>
      <w:r w:rsidRPr="00483C19">
        <w:t>т</w:t>
      </w:r>
      <w:r w:rsidRPr="00483C19">
        <w:t>ствующее средство, с помощью которого можно быстро погасить тлеющие у</w:t>
      </w:r>
      <w:r w:rsidRPr="00483C19">
        <w:t>г</w:t>
      </w:r>
      <w:r w:rsidRPr="00483C19">
        <w:t>ли</w:t>
      </w:r>
      <w:r w:rsidR="00A41A56">
        <w:t>»</w:t>
      </w:r>
      <w:r w:rsidRPr="00483C19">
        <w:t>.</w:t>
      </w:r>
    </w:p>
    <w:bookmarkEnd w:id="23"/>
    <w:bookmarkEnd w:id="24"/>
    <w:p w:rsidR="00483C19" w:rsidRPr="00A41A56" w:rsidRDefault="00A41A56" w:rsidP="00A41A56">
      <w:pPr>
        <w:pStyle w:val="SingleTxtGR"/>
        <w:spacing w:before="240" w:after="0"/>
        <w:jc w:val="center"/>
        <w:rPr>
          <w:u w:val="single"/>
        </w:rPr>
      </w:pPr>
      <w:r>
        <w:rPr>
          <w:u w:val="single"/>
        </w:rPr>
        <w:tab/>
      </w:r>
      <w:r>
        <w:rPr>
          <w:u w:val="single"/>
        </w:rPr>
        <w:tab/>
      </w:r>
      <w:r>
        <w:rPr>
          <w:u w:val="single"/>
        </w:rPr>
        <w:tab/>
      </w:r>
    </w:p>
    <w:sectPr w:rsidR="00483C19" w:rsidRPr="00A41A56" w:rsidSect="00483C1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A2D" w:rsidRPr="00A312BC" w:rsidRDefault="009D5A2D" w:rsidP="00A312BC"/>
  </w:endnote>
  <w:endnote w:type="continuationSeparator" w:id="0">
    <w:p w:rsidR="009D5A2D" w:rsidRPr="00A312BC" w:rsidRDefault="009D5A2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D0" w:rsidRPr="00483C19" w:rsidRDefault="00A328D0">
    <w:pPr>
      <w:pStyle w:val="Footer"/>
    </w:pPr>
    <w:r w:rsidRPr="00483C19">
      <w:rPr>
        <w:b/>
        <w:sz w:val="18"/>
      </w:rPr>
      <w:fldChar w:fldCharType="begin"/>
    </w:r>
    <w:r w:rsidRPr="00483C19">
      <w:rPr>
        <w:b/>
        <w:sz w:val="18"/>
      </w:rPr>
      <w:instrText xml:space="preserve"> PAGE  \* MERGEFORMAT </w:instrText>
    </w:r>
    <w:r w:rsidRPr="00483C19">
      <w:rPr>
        <w:b/>
        <w:sz w:val="18"/>
      </w:rPr>
      <w:fldChar w:fldCharType="separate"/>
    </w:r>
    <w:r w:rsidR="00E00D9A">
      <w:rPr>
        <w:b/>
        <w:noProof/>
        <w:sz w:val="18"/>
      </w:rPr>
      <w:t>6</w:t>
    </w:r>
    <w:r w:rsidRPr="00483C19">
      <w:rPr>
        <w:b/>
        <w:sz w:val="18"/>
      </w:rPr>
      <w:fldChar w:fldCharType="end"/>
    </w:r>
    <w:r>
      <w:rPr>
        <w:b/>
        <w:sz w:val="18"/>
      </w:rPr>
      <w:tab/>
    </w:r>
    <w:r>
      <w:t>GE.17-05293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D0" w:rsidRPr="00483C19" w:rsidRDefault="00A328D0" w:rsidP="00483C19">
    <w:pPr>
      <w:pStyle w:val="Footer"/>
      <w:tabs>
        <w:tab w:val="clear" w:pos="9639"/>
        <w:tab w:val="right" w:pos="9638"/>
      </w:tabs>
      <w:rPr>
        <w:b/>
        <w:sz w:val="18"/>
      </w:rPr>
    </w:pPr>
    <w:r>
      <w:t>GE.17-05293</w:t>
    </w:r>
    <w:r>
      <w:tab/>
    </w:r>
    <w:r w:rsidRPr="00483C19">
      <w:rPr>
        <w:b/>
        <w:sz w:val="18"/>
      </w:rPr>
      <w:fldChar w:fldCharType="begin"/>
    </w:r>
    <w:r w:rsidRPr="00483C19">
      <w:rPr>
        <w:b/>
        <w:sz w:val="18"/>
      </w:rPr>
      <w:instrText xml:space="preserve"> PAGE  \* MERGEFORMAT </w:instrText>
    </w:r>
    <w:r w:rsidRPr="00483C19">
      <w:rPr>
        <w:b/>
        <w:sz w:val="18"/>
      </w:rPr>
      <w:fldChar w:fldCharType="separate"/>
    </w:r>
    <w:r w:rsidR="00E00D9A">
      <w:rPr>
        <w:b/>
        <w:noProof/>
        <w:sz w:val="18"/>
      </w:rPr>
      <w:t>5</w:t>
    </w:r>
    <w:r w:rsidRPr="00483C1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D0" w:rsidRPr="00483C19" w:rsidRDefault="00A328D0" w:rsidP="00483C19">
    <w:pPr>
      <w:spacing w:before="120" w:line="240" w:lineRule="auto"/>
    </w:pPr>
    <w:r>
      <w:t>GE.</w:t>
    </w:r>
    <w:r>
      <w:rPr>
        <w:b/>
        <w:noProof/>
        <w:lang w:val="en-GB" w:eastAsia="en-GB"/>
      </w:rPr>
      <w:drawing>
        <wp:anchor distT="0" distB="0" distL="114300" distR="114300" simplePos="0" relativeHeight="251658240" behindDoc="0" locked="0" layoutInCell="1" allowOverlap="1" wp14:anchorId="6E01985B" wp14:editId="4E3EC76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17-05293  (R)</w:t>
    </w:r>
    <w:r>
      <w:rPr>
        <w:lang w:val="en-US"/>
      </w:rPr>
      <w:t xml:space="preserve">  240417  260417</w:t>
    </w:r>
    <w:r>
      <w:br/>
    </w:r>
    <w:r w:rsidRPr="00483C19">
      <w:rPr>
        <w:rFonts w:ascii="C39T30Lfz" w:hAnsi="C39T30Lfz"/>
        <w:spacing w:val="0"/>
        <w:w w:val="100"/>
        <w:sz w:val="56"/>
      </w:rPr>
      <w:t></w:t>
    </w:r>
    <w:r w:rsidRPr="00483C19">
      <w:rPr>
        <w:rFonts w:ascii="C39T30Lfz" w:hAnsi="C39T30Lfz"/>
        <w:spacing w:val="0"/>
        <w:w w:val="100"/>
        <w:sz w:val="56"/>
      </w:rPr>
      <w:t></w:t>
    </w:r>
    <w:r w:rsidRPr="00483C19">
      <w:rPr>
        <w:rFonts w:ascii="C39T30Lfz" w:hAnsi="C39T30Lfz"/>
        <w:spacing w:val="0"/>
        <w:w w:val="100"/>
        <w:sz w:val="56"/>
      </w:rPr>
      <w:t></w:t>
    </w:r>
    <w:r w:rsidRPr="00483C19">
      <w:rPr>
        <w:rFonts w:ascii="C39T30Lfz" w:hAnsi="C39T30Lfz"/>
        <w:spacing w:val="0"/>
        <w:w w:val="100"/>
        <w:sz w:val="56"/>
      </w:rPr>
      <w:t></w:t>
    </w:r>
    <w:r w:rsidRPr="00483C19">
      <w:rPr>
        <w:rFonts w:ascii="C39T30Lfz" w:hAnsi="C39T30Lfz"/>
        <w:spacing w:val="0"/>
        <w:w w:val="100"/>
        <w:sz w:val="56"/>
      </w:rPr>
      <w:t></w:t>
    </w:r>
    <w:r w:rsidRPr="00483C19">
      <w:rPr>
        <w:rFonts w:ascii="C39T30Lfz" w:hAnsi="C39T30Lfz"/>
        <w:spacing w:val="0"/>
        <w:w w:val="100"/>
        <w:sz w:val="56"/>
      </w:rPr>
      <w:t></w:t>
    </w:r>
    <w:r w:rsidRPr="00483C19">
      <w:rPr>
        <w:rFonts w:ascii="C39T30Lfz" w:hAnsi="C39T30Lfz"/>
        <w:spacing w:val="0"/>
        <w:w w:val="100"/>
        <w:sz w:val="56"/>
      </w:rPr>
      <w:t></w:t>
    </w:r>
    <w:r w:rsidRPr="00483C19">
      <w:rPr>
        <w:rFonts w:ascii="C39T30Lfz" w:hAnsi="C39T30Lfz"/>
        <w:spacing w:val="0"/>
        <w:w w:val="100"/>
        <w:sz w:val="56"/>
      </w:rPr>
      <w:t></w:t>
    </w:r>
    <w:r w:rsidRPr="00483C19">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undocs.org/m2/QRCode.ashx?DS=ECE/TRANS/SC.3/WP.3/2017/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SC.3/WP.3/2017/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A2D" w:rsidRPr="001075E9" w:rsidRDefault="009D5A2D" w:rsidP="001075E9">
      <w:pPr>
        <w:tabs>
          <w:tab w:val="right" w:pos="2155"/>
        </w:tabs>
        <w:spacing w:after="80" w:line="240" w:lineRule="auto"/>
        <w:ind w:left="680"/>
        <w:rPr>
          <w:u w:val="single"/>
        </w:rPr>
      </w:pPr>
      <w:r>
        <w:rPr>
          <w:u w:val="single"/>
        </w:rPr>
        <w:tab/>
      </w:r>
    </w:p>
  </w:footnote>
  <w:footnote w:type="continuationSeparator" w:id="0">
    <w:p w:rsidR="009D5A2D" w:rsidRDefault="009D5A2D" w:rsidP="00407B78">
      <w:pPr>
        <w:tabs>
          <w:tab w:val="right" w:pos="2155"/>
        </w:tabs>
        <w:spacing w:after="80"/>
        <w:ind w:left="680"/>
        <w:rPr>
          <w:u w:val="single"/>
        </w:rPr>
      </w:pPr>
      <w:r>
        <w:rPr>
          <w:u w:val="single"/>
        </w:rPr>
        <w:tab/>
      </w:r>
    </w:p>
  </w:footnote>
  <w:footnote w:id="1">
    <w:p w:rsidR="00A328D0" w:rsidRPr="00A41A56" w:rsidRDefault="00A328D0" w:rsidP="00483C19">
      <w:pPr>
        <w:pStyle w:val="FootnoteText"/>
      </w:pPr>
      <w:r w:rsidRPr="00A41A56">
        <w:tab/>
      </w:r>
      <w:r w:rsidRPr="00A41A56">
        <w:rPr>
          <w:rStyle w:val="FootnoteReference"/>
        </w:rPr>
        <w:footnoteRef/>
      </w:r>
      <w:r w:rsidRPr="00A41A56">
        <w:tab/>
      </w:r>
      <w:hyperlink r:id="rId1" w:history="1">
        <w:r w:rsidRPr="00A41A56">
          <w:rPr>
            <w:rStyle w:val="Hyperlink"/>
            <w:color w:val="auto"/>
          </w:rPr>
          <w:t>www.cesni.eu/documents/es-trin/</w:t>
        </w:r>
      </w:hyperlink>
      <w:r w:rsidRPr="00A41A56">
        <w:t>.</w:t>
      </w:r>
    </w:p>
  </w:footnote>
  <w:footnote w:id="2">
    <w:p w:rsidR="00A328D0" w:rsidRPr="00483C19" w:rsidRDefault="00A328D0" w:rsidP="00483C19">
      <w:pPr>
        <w:pStyle w:val="FootnoteText"/>
        <w:rPr>
          <w:lang w:val="ru-RU"/>
        </w:rPr>
      </w:pPr>
      <w:r w:rsidRPr="00463224">
        <w:tab/>
      </w:r>
      <w:r>
        <w:rPr>
          <w:rStyle w:val="FootnoteReference"/>
        </w:rPr>
        <w:footnoteRef/>
      </w:r>
      <w:r w:rsidRPr="00483C19">
        <w:rPr>
          <w:lang w:val="ru-RU"/>
        </w:rPr>
        <w:tab/>
        <w:t xml:space="preserve">Резолюция ИМО </w:t>
      </w:r>
      <w:r w:rsidRPr="001F4A68">
        <w:rPr>
          <w:lang w:val="en-US"/>
        </w:rPr>
        <w:t>A</w:t>
      </w:r>
      <w:r w:rsidRPr="00483C19">
        <w:rPr>
          <w:lang w:val="ru-RU"/>
        </w:rPr>
        <w:t xml:space="preserve">.800 (19), принятая 23 ноября 1995 года </w:t>
      </w:r>
      <w:r>
        <w:rPr>
          <w:lang w:val="ru-RU"/>
        </w:rPr>
        <w:t>–</w:t>
      </w:r>
      <w:r w:rsidRPr="00483C19">
        <w:rPr>
          <w:lang w:val="ru-RU"/>
        </w:rPr>
        <w:t xml:space="preserve"> Пересмотренные руководящие принципы одобрения спринклерных систем, равноценных тем, которые указаны в Правилах </w:t>
      </w:r>
      <w:r w:rsidRPr="009E6F50">
        <w:rPr>
          <w:lang w:val="en-US"/>
        </w:rPr>
        <w:t>II</w:t>
      </w:r>
      <w:r w:rsidRPr="00483C19">
        <w:rPr>
          <w:lang w:val="ru-RU"/>
        </w:rPr>
        <w:t>-2/12 СОЛАС.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D0" w:rsidRPr="00483C19" w:rsidRDefault="00E00D9A">
    <w:pPr>
      <w:pStyle w:val="Header"/>
    </w:pPr>
    <w:r>
      <w:fldChar w:fldCharType="begin"/>
    </w:r>
    <w:r>
      <w:instrText xml:space="preserve"> TITLE  \* MERGEFORMAT </w:instrText>
    </w:r>
    <w:r>
      <w:fldChar w:fldCharType="separate"/>
    </w:r>
    <w:r w:rsidR="00F87713">
      <w:t>ECE/TRANS/SC.3/WP.3/2017/14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D0" w:rsidRPr="00483C19" w:rsidRDefault="00E00D9A" w:rsidP="00483C19">
    <w:pPr>
      <w:pStyle w:val="Header"/>
      <w:jc w:val="right"/>
    </w:pPr>
    <w:r>
      <w:fldChar w:fldCharType="begin"/>
    </w:r>
    <w:r>
      <w:instrText xml:space="preserve"> TITLE  \* MERGEFORMAT </w:instrText>
    </w:r>
    <w:r>
      <w:fldChar w:fldCharType="separate"/>
    </w:r>
    <w:r w:rsidR="00F87713">
      <w:t>ECE/TRANS/SC.3/WP.3/2017/14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79445F"/>
    <w:multiLevelType w:val="hybridMultilevel"/>
    <w:tmpl w:val="15607F3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CC637E"/>
    <w:multiLevelType w:val="singleLevel"/>
    <w:tmpl w:val="FAF418E8"/>
    <w:lvl w:ilvl="0">
      <w:start w:val="1"/>
      <w:numFmt w:val="decimal"/>
      <w:pStyle w:val="ParaNo"/>
      <w:lvlText w:val="%1."/>
      <w:lvlJc w:val="left"/>
      <w:pPr>
        <w:tabs>
          <w:tab w:val="num" w:pos="360"/>
        </w:tabs>
        <w:ind w:left="0" w:firstLine="0"/>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17875225"/>
    <w:multiLevelType w:val="hybridMultilevel"/>
    <w:tmpl w:val="696E2300"/>
    <w:lvl w:ilvl="0" w:tplc="0AE8B0EE">
      <w:start w:val="1"/>
      <w:numFmt w:val="upperRoman"/>
      <w:lvlText w:val="%1."/>
      <w:lvlJc w:val="left"/>
      <w:pPr>
        <w:tabs>
          <w:tab w:val="num" w:pos="567"/>
        </w:tabs>
        <w:ind w:left="567" w:hanging="567"/>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866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D57B74"/>
    <w:multiLevelType w:val="hybridMultilevel"/>
    <w:tmpl w:val="DE5ABDC6"/>
    <w:lvl w:ilvl="0" w:tplc="1654E0B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A6647E"/>
    <w:multiLevelType w:val="hybridMultilevel"/>
    <w:tmpl w:val="51801EF4"/>
    <w:lvl w:ilvl="0" w:tplc="EB164B04">
      <w:start w:val="1"/>
      <w:numFmt w:val="lowerLetter"/>
      <w:lvlText w:val="(%1)"/>
      <w:lvlJc w:val="left"/>
      <w:pPr>
        <w:ind w:left="1080" w:hanging="360"/>
      </w:pPr>
      <w:rPr>
        <w:rFonts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F80000E"/>
    <w:multiLevelType w:val="hybridMultilevel"/>
    <w:tmpl w:val="E0D273CE"/>
    <w:lvl w:ilvl="0" w:tplc="778E0EF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B96DAE"/>
    <w:multiLevelType w:val="hybridMultilevel"/>
    <w:tmpl w:val="01A0AF4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5506B6B"/>
    <w:multiLevelType w:val="hybridMultilevel"/>
    <w:tmpl w:val="0F467124"/>
    <w:lvl w:ilvl="0" w:tplc="0409000F">
      <w:start w:val="1"/>
      <w:numFmt w:val="decimal"/>
      <w:lvlText w:val="%1."/>
      <w:lvlJc w:val="left"/>
      <w:pPr>
        <w:tabs>
          <w:tab w:val="num" w:pos="360"/>
        </w:tabs>
        <w:ind w:left="360" w:hanging="360"/>
      </w:pPr>
    </w:lvl>
    <w:lvl w:ilvl="1" w:tplc="ADF073B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BFA18C9"/>
    <w:multiLevelType w:val="hybridMultilevel"/>
    <w:tmpl w:val="A6FA5D3C"/>
    <w:lvl w:ilvl="0" w:tplc="2384F3E2">
      <w:start w:val="1"/>
      <w:numFmt w:val="lowerLetter"/>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EAD38F8"/>
    <w:multiLevelType w:val="hybridMultilevel"/>
    <w:tmpl w:val="7A56A2C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04729D5"/>
    <w:multiLevelType w:val="hybridMultilevel"/>
    <w:tmpl w:val="9D844B7A"/>
    <w:lvl w:ilvl="0" w:tplc="0F581F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144462"/>
    <w:multiLevelType w:val="hybridMultilevel"/>
    <w:tmpl w:val="265C0D28"/>
    <w:lvl w:ilvl="0" w:tplc="3CB8C5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773633"/>
    <w:multiLevelType w:val="hybridMultilevel"/>
    <w:tmpl w:val="F7422C5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867FB2"/>
    <w:multiLevelType w:val="hybridMultilevel"/>
    <w:tmpl w:val="E35A96DA"/>
    <w:lvl w:ilvl="0" w:tplc="53D81B7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EAF72B6"/>
    <w:multiLevelType w:val="hybridMultilevel"/>
    <w:tmpl w:val="68F26688"/>
    <w:lvl w:ilvl="0" w:tplc="F8E2B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EFB6C0A"/>
    <w:multiLevelType w:val="hybridMultilevel"/>
    <w:tmpl w:val="003A24A4"/>
    <w:lvl w:ilvl="0" w:tplc="3CB8C5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5"/>
  </w:num>
  <w:num w:numId="3">
    <w:abstractNumId w:val="15"/>
  </w:num>
  <w:num w:numId="4">
    <w:abstractNumId w:val="38"/>
  </w:num>
  <w:num w:numId="5">
    <w:abstractNumId w:val="3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4"/>
  </w:num>
  <w:num w:numId="17">
    <w:abstractNumId w:val="29"/>
  </w:num>
  <w:num w:numId="18">
    <w:abstractNumId w:val="32"/>
  </w:num>
  <w:num w:numId="19">
    <w:abstractNumId w:val="22"/>
  </w:num>
  <w:num w:numId="20">
    <w:abstractNumId w:val="17"/>
  </w:num>
  <w:num w:numId="21">
    <w:abstractNumId w:val="10"/>
  </w:num>
  <w:num w:numId="22">
    <w:abstractNumId w:val="14"/>
  </w:num>
  <w:num w:numId="23">
    <w:abstractNumId w:val="23"/>
  </w:num>
  <w:num w:numId="24">
    <w:abstractNumId w:val="16"/>
  </w:num>
  <w:num w:numId="25">
    <w:abstractNumId w:val="33"/>
  </w:num>
  <w:num w:numId="26">
    <w:abstractNumId w:val="41"/>
  </w:num>
  <w:num w:numId="27">
    <w:abstractNumId w:val="12"/>
  </w:num>
  <w:num w:numId="28">
    <w:abstractNumId w:val="13"/>
  </w:num>
  <w:num w:numId="29">
    <w:abstractNumId w:val="24"/>
  </w:num>
  <w:num w:numId="30">
    <w:abstractNumId w:val="40"/>
  </w:num>
  <w:num w:numId="31">
    <w:abstractNumId w:val="35"/>
  </w:num>
  <w:num w:numId="32">
    <w:abstractNumId w:val="27"/>
  </w:num>
  <w:num w:numId="33">
    <w:abstractNumId w:val="21"/>
  </w:num>
  <w:num w:numId="34">
    <w:abstractNumId w:val="30"/>
  </w:num>
  <w:num w:numId="35">
    <w:abstractNumId w:val="18"/>
  </w:num>
  <w:num w:numId="36">
    <w:abstractNumId w:val="26"/>
  </w:num>
  <w:num w:numId="37">
    <w:abstractNumId w:val="20"/>
  </w:num>
  <w:num w:numId="38">
    <w:abstractNumId w:val="11"/>
  </w:num>
  <w:num w:numId="39">
    <w:abstractNumId w:val="28"/>
  </w:num>
  <w:num w:numId="40">
    <w:abstractNumId w:val="39"/>
  </w:num>
  <w:num w:numId="41">
    <w:abstractNumId w:val="19"/>
  </w:num>
  <w:num w:numId="42">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FE"/>
    <w:rsid w:val="00033EE1"/>
    <w:rsid w:val="00042B72"/>
    <w:rsid w:val="000558BD"/>
    <w:rsid w:val="000B57E7"/>
    <w:rsid w:val="000B6373"/>
    <w:rsid w:val="000E4E5B"/>
    <w:rsid w:val="000F09DF"/>
    <w:rsid w:val="000F61B2"/>
    <w:rsid w:val="001075E9"/>
    <w:rsid w:val="00131A01"/>
    <w:rsid w:val="00140E0C"/>
    <w:rsid w:val="0014152F"/>
    <w:rsid w:val="00180183"/>
    <w:rsid w:val="0018024D"/>
    <w:rsid w:val="0018649F"/>
    <w:rsid w:val="00187CDA"/>
    <w:rsid w:val="00196389"/>
    <w:rsid w:val="001A62D7"/>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33A81"/>
    <w:rsid w:val="00452493"/>
    <w:rsid w:val="00453318"/>
    <w:rsid w:val="00454AF2"/>
    <w:rsid w:val="00454E07"/>
    <w:rsid w:val="00472C5C"/>
    <w:rsid w:val="00483C19"/>
    <w:rsid w:val="004E05B7"/>
    <w:rsid w:val="0050108D"/>
    <w:rsid w:val="00513081"/>
    <w:rsid w:val="00517901"/>
    <w:rsid w:val="0052007C"/>
    <w:rsid w:val="00526683"/>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57357"/>
    <w:rsid w:val="00776544"/>
    <w:rsid w:val="00792497"/>
    <w:rsid w:val="00806737"/>
    <w:rsid w:val="00825F8D"/>
    <w:rsid w:val="00834B71"/>
    <w:rsid w:val="0086445C"/>
    <w:rsid w:val="00894693"/>
    <w:rsid w:val="008A08D7"/>
    <w:rsid w:val="008A37C8"/>
    <w:rsid w:val="008B6909"/>
    <w:rsid w:val="008D53B6"/>
    <w:rsid w:val="008D5DF5"/>
    <w:rsid w:val="008F7609"/>
    <w:rsid w:val="00906890"/>
    <w:rsid w:val="00911BE4"/>
    <w:rsid w:val="0092014A"/>
    <w:rsid w:val="00951972"/>
    <w:rsid w:val="009608F3"/>
    <w:rsid w:val="009A24AC"/>
    <w:rsid w:val="009C6FE6"/>
    <w:rsid w:val="009D5A2D"/>
    <w:rsid w:val="00A14DA8"/>
    <w:rsid w:val="00A312BC"/>
    <w:rsid w:val="00A328D0"/>
    <w:rsid w:val="00A41A56"/>
    <w:rsid w:val="00A84021"/>
    <w:rsid w:val="00A84D35"/>
    <w:rsid w:val="00A917B3"/>
    <w:rsid w:val="00AB4B51"/>
    <w:rsid w:val="00AF6B8C"/>
    <w:rsid w:val="00B10CC7"/>
    <w:rsid w:val="00B36DF7"/>
    <w:rsid w:val="00B539E7"/>
    <w:rsid w:val="00B62458"/>
    <w:rsid w:val="00BC18B2"/>
    <w:rsid w:val="00BC1E69"/>
    <w:rsid w:val="00BD33EE"/>
    <w:rsid w:val="00BD6B26"/>
    <w:rsid w:val="00BE1CC7"/>
    <w:rsid w:val="00C040D2"/>
    <w:rsid w:val="00C106D6"/>
    <w:rsid w:val="00C119AE"/>
    <w:rsid w:val="00C4474A"/>
    <w:rsid w:val="00C60F0C"/>
    <w:rsid w:val="00C805C9"/>
    <w:rsid w:val="00C92939"/>
    <w:rsid w:val="00CA1679"/>
    <w:rsid w:val="00CB151C"/>
    <w:rsid w:val="00CE5A1A"/>
    <w:rsid w:val="00CF09E5"/>
    <w:rsid w:val="00CF55F6"/>
    <w:rsid w:val="00D25582"/>
    <w:rsid w:val="00D33D63"/>
    <w:rsid w:val="00D5253A"/>
    <w:rsid w:val="00D90028"/>
    <w:rsid w:val="00D90138"/>
    <w:rsid w:val="00DD78D1"/>
    <w:rsid w:val="00DE32CD"/>
    <w:rsid w:val="00DF5767"/>
    <w:rsid w:val="00DF71B9"/>
    <w:rsid w:val="00E00D9A"/>
    <w:rsid w:val="00E12C5F"/>
    <w:rsid w:val="00E73F76"/>
    <w:rsid w:val="00EA2C9F"/>
    <w:rsid w:val="00EA420E"/>
    <w:rsid w:val="00ED0BDA"/>
    <w:rsid w:val="00EE142A"/>
    <w:rsid w:val="00EF1360"/>
    <w:rsid w:val="00EF3220"/>
    <w:rsid w:val="00F2523A"/>
    <w:rsid w:val="00F43903"/>
    <w:rsid w:val="00F772FE"/>
    <w:rsid w:val="00F87713"/>
    <w:rsid w:val="00F94155"/>
    <w:rsid w:val="00F9783F"/>
    <w:rsid w:val="00FD2EF7"/>
    <w:rsid w:val="00FE447E"/>
    <w:rsid w:val="00FF1F5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outlineLvl w:val="1"/>
    </w:pPr>
    <w:rPr>
      <w:rFonts w:cs="Arial"/>
      <w:bCs/>
      <w:iCs/>
      <w:szCs w:val="28"/>
    </w:rPr>
  </w:style>
  <w:style w:type="paragraph" w:styleId="Heading3">
    <w:name w:val="heading 3"/>
    <w:basedOn w:val="Normal"/>
    <w:next w:val="Normal"/>
    <w:link w:val="Heading3Char"/>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spacing w:before="240" w:after="60"/>
      <w:outlineLvl w:val="3"/>
    </w:pPr>
    <w:rPr>
      <w:b/>
      <w:bCs/>
      <w:sz w:val="28"/>
      <w:szCs w:val="28"/>
    </w:rPr>
  </w:style>
  <w:style w:type="paragraph" w:styleId="Heading5">
    <w:name w:val="heading 5"/>
    <w:basedOn w:val="Normal"/>
    <w:next w:val="Normal"/>
    <w:link w:val="Heading5Char"/>
    <w:qFormat/>
    <w:rsid w:val="009C6FE6"/>
    <w:pPr>
      <w:spacing w:before="240" w:after="60"/>
      <w:outlineLvl w:val="4"/>
    </w:pPr>
    <w:rPr>
      <w:b/>
      <w:bCs/>
      <w:i/>
      <w:iCs/>
      <w:sz w:val="26"/>
      <w:szCs w:val="26"/>
    </w:rPr>
  </w:style>
  <w:style w:type="paragraph" w:styleId="Heading6">
    <w:name w:val="heading 6"/>
    <w:basedOn w:val="Normal"/>
    <w:next w:val="Normal"/>
    <w:link w:val="Heading6Char"/>
    <w:qFormat/>
    <w:rsid w:val="009C6FE6"/>
    <w:pPr>
      <w:spacing w:before="240" w:after="60"/>
      <w:outlineLvl w:val="5"/>
    </w:pPr>
    <w:rPr>
      <w:b/>
      <w:bCs/>
      <w:sz w:val="22"/>
    </w:rPr>
  </w:style>
  <w:style w:type="paragraph" w:styleId="Heading7">
    <w:name w:val="heading 7"/>
    <w:basedOn w:val="Normal"/>
    <w:next w:val="Normal"/>
    <w:link w:val="Heading7Char"/>
    <w:qFormat/>
    <w:rsid w:val="009C6FE6"/>
    <w:pPr>
      <w:spacing w:before="240" w:after="60"/>
      <w:outlineLvl w:val="6"/>
    </w:pPr>
    <w:rPr>
      <w:sz w:val="24"/>
      <w:szCs w:val="24"/>
    </w:rPr>
  </w:style>
  <w:style w:type="paragraph" w:styleId="Heading8">
    <w:name w:val="heading 8"/>
    <w:basedOn w:val="Normal"/>
    <w:next w:val="Normal"/>
    <w:link w:val="Heading8Char"/>
    <w:qFormat/>
    <w:rsid w:val="009C6FE6"/>
    <w:pPr>
      <w:spacing w:before="240" w:after="60"/>
      <w:outlineLvl w:val="7"/>
    </w:pPr>
    <w:rPr>
      <w:i/>
      <w:iCs/>
      <w:sz w:val="24"/>
      <w:szCs w:val="24"/>
    </w:rPr>
  </w:style>
  <w:style w:type="paragraph" w:styleId="Heading9">
    <w:name w:val="heading 9"/>
    <w:basedOn w:val="Normal"/>
    <w:next w:val="Normal"/>
    <w:link w:val="Heading9Char"/>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character" w:styleId="FootnoteReference">
    <w:name w:val="footnote reference"/>
    <w:aliases w:val="4_GR,4_G"/>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Fußnotentext Zchn,Car Car Car Zchn,Car Car Car Car Car Car Car Car Car Zchn, Car Car Car Zchn, Car Car Car Car Car Car Car Car Car Zchn, Car Car Car, Car Car Car Car Car Car Car Car Car,Car Car Ca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Fußnotentext Zchn Char,Car Car Car Zchn Char,Car Car Car Car Car Car Car Car Car Zchn Char, Car Car Car Zchn Char, Car Car Car Car Car Car Car Car Car Zchn Char, Car Car Car Char,Car Car Car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SingleTxtG">
    <w:name w:val="_ Single Txt_G"/>
    <w:basedOn w:val="Normal"/>
    <w:link w:val="SingleTxtGChar"/>
    <w:rsid w:val="00483C19"/>
    <w:pPr>
      <w:suppressAutoHyphens/>
      <w:spacing w:after="120"/>
      <w:ind w:left="1134" w:right="1134"/>
      <w:jc w:val="both"/>
    </w:pPr>
    <w:rPr>
      <w:rFonts w:eastAsia="Times New Roman" w:cs="Times New Roman"/>
      <w:spacing w:val="0"/>
      <w:w w:val="100"/>
      <w:kern w:val="0"/>
      <w:szCs w:val="20"/>
      <w:lang w:eastAsia="en-US"/>
    </w:rPr>
  </w:style>
  <w:style w:type="character" w:customStyle="1" w:styleId="SingleTxtGChar">
    <w:name w:val="_ Single Txt_G Char"/>
    <w:link w:val="SingleTxtG"/>
    <w:rsid w:val="00483C19"/>
    <w:rPr>
      <w:lang w:val="ru-RU" w:eastAsia="en-US"/>
    </w:rPr>
  </w:style>
  <w:style w:type="character" w:customStyle="1" w:styleId="Heading2Char">
    <w:name w:val="Heading 2 Char"/>
    <w:basedOn w:val="DefaultParagraphFont"/>
    <w:link w:val="Heading2"/>
    <w:rsid w:val="00483C19"/>
    <w:rPr>
      <w:rFonts w:eastAsiaTheme="minorEastAsia" w:cs="Arial"/>
      <w:bCs/>
      <w:iCs/>
      <w:spacing w:val="4"/>
      <w:w w:val="103"/>
      <w:kern w:val="14"/>
      <w:szCs w:val="28"/>
      <w:lang w:val="ru-RU" w:eastAsia="zh-CN"/>
    </w:rPr>
  </w:style>
  <w:style w:type="character" w:customStyle="1" w:styleId="Heading3Char">
    <w:name w:val="Heading 3 Char"/>
    <w:basedOn w:val="DefaultParagraphFont"/>
    <w:link w:val="Heading3"/>
    <w:rsid w:val="00483C19"/>
    <w:rPr>
      <w:rFonts w:ascii="Arial" w:eastAsiaTheme="minorEastAsia" w:hAnsi="Arial" w:cs="Arial"/>
      <w:b/>
      <w:bCs/>
      <w:spacing w:val="4"/>
      <w:w w:val="103"/>
      <w:kern w:val="14"/>
      <w:sz w:val="26"/>
      <w:szCs w:val="26"/>
      <w:lang w:val="ru-RU" w:eastAsia="zh-CN"/>
    </w:rPr>
  </w:style>
  <w:style w:type="character" w:customStyle="1" w:styleId="Heading4Char">
    <w:name w:val="Heading 4 Char"/>
    <w:basedOn w:val="DefaultParagraphFont"/>
    <w:link w:val="Heading4"/>
    <w:rsid w:val="00483C19"/>
    <w:rPr>
      <w:rFonts w:eastAsiaTheme="minorEastAsia" w:cstheme="minorBidi"/>
      <w:b/>
      <w:bCs/>
      <w:spacing w:val="4"/>
      <w:w w:val="103"/>
      <w:kern w:val="14"/>
      <w:sz w:val="28"/>
      <w:szCs w:val="28"/>
      <w:lang w:val="ru-RU" w:eastAsia="zh-CN"/>
    </w:rPr>
  </w:style>
  <w:style w:type="character" w:customStyle="1" w:styleId="Heading5Char">
    <w:name w:val="Heading 5 Char"/>
    <w:basedOn w:val="DefaultParagraphFont"/>
    <w:link w:val="Heading5"/>
    <w:rsid w:val="00483C19"/>
    <w:rPr>
      <w:rFonts w:eastAsiaTheme="minorEastAsia" w:cstheme="minorBidi"/>
      <w:b/>
      <w:bCs/>
      <w:i/>
      <w:iCs/>
      <w:spacing w:val="4"/>
      <w:w w:val="103"/>
      <w:kern w:val="14"/>
      <w:sz w:val="26"/>
      <w:szCs w:val="26"/>
      <w:lang w:val="ru-RU" w:eastAsia="zh-CN"/>
    </w:rPr>
  </w:style>
  <w:style w:type="character" w:customStyle="1" w:styleId="Heading6Char">
    <w:name w:val="Heading 6 Char"/>
    <w:basedOn w:val="DefaultParagraphFont"/>
    <w:link w:val="Heading6"/>
    <w:rsid w:val="00483C19"/>
    <w:rPr>
      <w:rFonts w:eastAsiaTheme="minorEastAsia" w:cstheme="minorBidi"/>
      <w:b/>
      <w:bCs/>
      <w:spacing w:val="4"/>
      <w:w w:val="103"/>
      <w:kern w:val="14"/>
      <w:sz w:val="22"/>
      <w:szCs w:val="22"/>
      <w:lang w:val="ru-RU" w:eastAsia="zh-CN"/>
    </w:rPr>
  </w:style>
  <w:style w:type="character" w:customStyle="1" w:styleId="Heading7Char">
    <w:name w:val="Heading 7 Char"/>
    <w:basedOn w:val="DefaultParagraphFont"/>
    <w:link w:val="Heading7"/>
    <w:rsid w:val="00483C19"/>
    <w:rPr>
      <w:rFonts w:eastAsiaTheme="minorEastAsia" w:cstheme="minorBidi"/>
      <w:spacing w:val="4"/>
      <w:w w:val="103"/>
      <w:kern w:val="14"/>
      <w:sz w:val="24"/>
      <w:szCs w:val="24"/>
      <w:lang w:val="ru-RU" w:eastAsia="zh-CN"/>
    </w:rPr>
  </w:style>
  <w:style w:type="character" w:customStyle="1" w:styleId="Heading8Char">
    <w:name w:val="Heading 8 Char"/>
    <w:basedOn w:val="DefaultParagraphFont"/>
    <w:link w:val="Heading8"/>
    <w:rsid w:val="00483C19"/>
    <w:rPr>
      <w:rFonts w:eastAsiaTheme="minorEastAsia" w:cstheme="minorBidi"/>
      <w:i/>
      <w:iCs/>
      <w:spacing w:val="4"/>
      <w:w w:val="103"/>
      <w:kern w:val="14"/>
      <w:sz w:val="24"/>
      <w:szCs w:val="24"/>
      <w:lang w:val="ru-RU" w:eastAsia="zh-CN"/>
    </w:rPr>
  </w:style>
  <w:style w:type="character" w:customStyle="1" w:styleId="Heading9Char">
    <w:name w:val="Heading 9 Char"/>
    <w:basedOn w:val="DefaultParagraphFont"/>
    <w:link w:val="Heading9"/>
    <w:rsid w:val="00483C19"/>
    <w:rPr>
      <w:rFonts w:ascii="Arial" w:eastAsiaTheme="minorEastAsia" w:hAnsi="Arial" w:cs="Arial"/>
      <w:spacing w:val="4"/>
      <w:w w:val="103"/>
      <w:kern w:val="14"/>
      <w:sz w:val="22"/>
      <w:szCs w:val="22"/>
      <w:lang w:val="ru-RU" w:eastAsia="zh-CN"/>
    </w:rPr>
  </w:style>
  <w:style w:type="paragraph" w:customStyle="1" w:styleId="HMG">
    <w:name w:val="_ H __M_G"/>
    <w:basedOn w:val="Normal"/>
    <w:next w:val="Normal"/>
    <w:rsid w:val="00483C19"/>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eastAsia="en-US"/>
    </w:rPr>
  </w:style>
  <w:style w:type="paragraph" w:customStyle="1" w:styleId="HChG">
    <w:name w:val="_ H _Ch_G"/>
    <w:basedOn w:val="Normal"/>
    <w:next w:val="Normal"/>
    <w:rsid w:val="00483C19"/>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eastAsia="en-US"/>
    </w:rPr>
  </w:style>
  <w:style w:type="paragraph" w:customStyle="1" w:styleId="SMG">
    <w:name w:val="__S_M_G"/>
    <w:basedOn w:val="Normal"/>
    <w:next w:val="Normal"/>
    <w:rsid w:val="00483C19"/>
    <w:pPr>
      <w:keepNext/>
      <w:keepLines/>
      <w:suppressAutoHyphens/>
      <w:spacing w:before="240" w:after="240" w:line="420" w:lineRule="exact"/>
      <w:ind w:left="1134" w:right="1134"/>
    </w:pPr>
    <w:rPr>
      <w:rFonts w:eastAsia="Times New Roman" w:cs="Times New Roman"/>
      <w:b/>
      <w:spacing w:val="0"/>
      <w:w w:val="100"/>
      <w:kern w:val="0"/>
      <w:sz w:val="40"/>
      <w:szCs w:val="20"/>
      <w:lang w:eastAsia="en-US"/>
    </w:rPr>
  </w:style>
  <w:style w:type="paragraph" w:customStyle="1" w:styleId="SLG">
    <w:name w:val="__S_L_G"/>
    <w:basedOn w:val="Normal"/>
    <w:next w:val="Normal"/>
    <w:rsid w:val="00483C19"/>
    <w:pPr>
      <w:keepNext/>
      <w:keepLines/>
      <w:suppressAutoHyphens/>
      <w:spacing w:before="240" w:after="240" w:line="580" w:lineRule="exact"/>
      <w:ind w:left="1134" w:right="1134"/>
    </w:pPr>
    <w:rPr>
      <w:rFonts w:eastAsia="Times New Roman" w:cs="Times New Roman"/>
      <w:b/>
      <w:spacing w:val="0"/>
      <w:w w:val="100"/>
      <w:kern w:val="0"/>
      <w:sz w:val="56"/>
      <w:szCs w:val="20"/>
      <w:lang w:eastAsia="en-US"/>
    </w:rPr>
  </w:style>
  <w:style w:type="paragraph" w:customStyle="1" w:styleId="SSG">
    <w:name w:val="__S_S_G"/>
    <w:basedOn w:val="Normal"/>
    <w:next w:val="Normal"/>
    <w:rsid w:val="00483C19"/>
    <w:pPr>
      <w:keepNext/>
      <w:keepLines/>
      <w:suppressAutoHyphens/>
      <w:spacing w:before="240" w:after="240" w:line="300" w:lineRule="exact"/>
      <w:ind w:left="1134" w:right="1134"/>
    </w:pPr>
    <w:rPr>
      <w:rFonts w:eastAsia="Times New Roman" w:cs="Times New Roman"/>
      <w:b/>
      <w:spacing w:val="0"/>
      <w:w w:val="100"/>
      <w:kern w:val="0"/>
      <w:sz w:val="28"/>
      <w:szCs w:val="20"/>
      <w:lang w:eastAsia="en-US"/>
    </w:rPr>
  </w:style>
  <w:style w:type="paragraph" w:customStyle="1" w:styleId="XLargeG">
    <w:name w:val="__XLarge_G"/>
    <w:basedOn w:val="Normal"/>
    <w:next w:val="Normal"/>
    <w:rsid w:val="00483C19"/>
    <w:pPr>
      <w:keepNext/>
      <w:keepLines/>
      <w:suppressAutoHyphens/>
      <w:spacing w:before="240" w:after="240" w:line="420" w:lineRule="exact"/>
      <w:ind w:left="1134" w:right="1134"/>
    </w:pPr>
    <w:rPr>
      <w:rFonts w:eastAsia="Times New Roman" w:cs="Times New Roman"/>
      <w:b/>
      <w:spacing w:val="0"/>
      <w:w w:val="100"/>
      <w:kern w:val="0"/>
      <w:sz w:val="40"/>
      <w:szCs w:val="20"/>
      <w:lang w:eastAsia="en-US"/>
    </w:rPr>
  </w:style>
  <w:style w:type="paragraph" w:customStyle="1" w:styleId="Bullet1G">
    <w:name w:val="_Bullet 1_G"/>
    <w:basedOn w:val="Normal"/>
    <w:rsid w:val="00483C19"/>
    <w:pPr>
      <w:numPr>
        <w:numId w:val="25"/>
      </w:numPr>
      <w:suppressAutoHyphens/>
      <w:spacing w:after="120"/>
      <w:ind w:right="1134"/>
      <w:jc w:val="both"/>
    </w:pPr>
    <w:rPr>
      <w:rFonts w:eastAsia="Times New Roman" w:cs="Times New Roman"/>
      <w:spacing w:val="0"/>
      <w:w w:val="100"/>
      <w:kern w:val="0"/>
      <w:szCs w:val="20"/>
      <w:lang w:eastAsia="en-US"/>
    </w:rPr>
  </w:style>
  <w:style w:type="paragraph" w:customStyle="1" w:styleId="Bullet2G">
    <w:name w:val="_Bullet 2_G"/>
    <w:basedOn w:val="Normal"/>
    <w:rsid w:val="00483C19"/>
    <w:pPr>
      <w:numPr>
        <w:numId w:val="26"/>
      </w:numPr>
      <w:suppressAutoHyphens/>
      <w:spacing w:after="120"/>
      <w:ind w:right="1134"/>
      <w:jc w:val="both"/>
    </w:pPr>
    <w:rPr>
      <w:rFonts w:eastAsia="Times New Roman" w:cs="Times New Roman"/>
      <w:spacing w:val="0"/>
      <w:w w:val="100"/>
      <w:kern w:val="0"/>
      <w:szCs w:val="20"/>
      <w:lang w:eastAsia="en-US"/>
    </w:rPr>
  </w:style>
  <w:style w:type="paragraph" w:customStyle="1" w:styleId="H1G">
    <w:name w:val="_ H_1_G"/>
    <w:basedOn w:val="Normal"/>
    <w:next w:val="Normal"/>
    <w:rsid w:val="00483C19"/>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eastAsia="en-US"/>
    </w:rPr>
  </w:style>
  <w:style w:type="paragraph" w:customStyle="1" w:styleId="H23G">
    <w:name w:val="_ H_2/3_G"/>
    <w:basedOn w:val="Normal"/>
    <w:next w:val="Normal"/>
    <w:rsid w:val="00483C19"/>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eastAsia="en-US"/>
    </w:rPr>
  </w:style>
  <w:style w:type="paragraph" w:customStyle="1" w:styleId="H4G">
    <w:name w:val="_ H_4_G"/>
    <w:basedOn w:val="Normal"/>
    <w:next w:val="Normal"/>
    <w:rsid w:val="00483C19"/>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eastAsia="en-US"/>
    </w:rPr>
  </w:style>
  <w:style w:type="paragraph" w:customStyle="1" w:styleId="H56G">
    <w:name w:val="_ H_5/6_G"/>
    <w:basedOn w:val="Normal"/>
    <w:next w:val="Normal"/>
    <w:rsid w:val="00483C19"/>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eastAsia="en-US"/>
    </w:rPr>
  </w:style>
  <w:style w:type="paragraph" w:customStyle="1" w:styleId="ParaNo">
    <w:name w:val="ParaNo."/>
    <w:basedOn w:val="Normal"/>
    <w:link w:val="ParaNoCharChar"/>
    <w:rsid w:val="00483C19"/>
    <w:pPr>
      <w:numPr>
        <w:numId w:val="27"/>
      </w:numPr>
      <w:spacing w:after="200" w:line="240" w:lineRule="auto"/>
      <w:jc w:val="both"/>
    </w:pPr>
    <w:rPr>
      <w:rFonts w:eastAsia="Times New Roman" w:cs="Times New Roman"/>
      <w:snapToGrid w:val="0"/>
      <w:spacing w:val="0"/>
      <w:w w:val="100"/>
      <w:kern w:val="0"/>
      <w:sz w:val="24"/>
      <w:szCs w:val="20"/>
      <w:lang w:eastAsia="en-US"/>
    </w:rPr>
  </w:style>
  <w:style w:type="character" w:customStyle="1" w:styleId="ParaNoCharChar">
    <w:name w:val="ParaNo. Char Char"/>
    <w:link w:val="ParaNo"/>
    <w:rsid w:val="00483C19"/>
    <w:rPr>
      <w:snapToGrid w:val="0"/>
      <w:sz w:val="24"/>
      <w:lang w:val="ru-RU" w:eastAsia="en-US"/>
    </w:rPr>
  </w:style>
  <w:style w:type="paragraph" w:customStyle="1" w:styleId="Paraa">
    <w:name w:val="Para a)"/>
    <w:basedOn w:val="ParaNo"/>
    <w:rsid w:val="00483C19"/>
    <w:pPr>
      <w:numPr>
        <w:numId w:val="0"/>
      </w:numPr>
      <w:spacing w:after="140" w:line="264" w:lineRule="auto"/>
      <w:ind w:left="1134" w:hanging="567"/>
    </w:pPr>
    <w:rPr>
      <w:rFonts w:ascii="Verdana" w:hAnsi="Verdana"/>
      <w:sz w:val="21"/>
    </w:rPr>
  </w:style>
  <w:style w:type="paragraph" w:styleId="CommentText">
    <w:name w:val="annotation text"/>
    <w:basedOn w:val="Normal"/>
    <w:link w:val="CommentTextChar"/>
    <w:rsid w:val="00483C19"/>
    <w:pPr>
      <w:spacing w:line="240" w:lineRule="auto"/>
    </w:pPr>
    <w:rPr>
      <w:rFonts w:ascii="Verdana" w:eastAsia="Times New Roman" w:hAnsi="Verdana" w:cs="Times New Roman"/>
      <w:spacing w:val="0"/>
      <w:w w:val="100"/>
      <w:kern w:val="0"/>
      <w:szCs w:val="20"/>
      <w:lang w:eastAsia="en-US"/>
    </w:rPr>
  </w:style>
  <w:style w:type="character" w:customStyle="1" w:styleId="CommentTextChar">
    <w:name w:val="Comment Text Char"/>
    <w:basedOn w:val="DefaultParagraphFont"/>
    <w:link w:val="CommentText"/>
    <w:rsid w:val="00483C19"/>
    <w:rPr>
      <w:rFonts w:ascii="Verdana" w:hAnsi="Verdana"/>
      <w:lang w:val="ru-RU" w:eastAsia="en-US"/>
    </w:rPr>
  </w:style>
  <w:style w:type="character" w:styleId="CommentReference">
    <w:name w:val="annotation reference"/>
    <w:rsid w:val="00483C19"/>
    <w:rPr>
      <w:sz w:val="16"/>
      <w:szCs w:val="16"/>
    </w:rPr>
  </w:style>
  <w:style w:type="paragraph" w:customStyle="1" w:styleId="Default">
    <w:name w:val="Default"/>
    <w:rsid w:val="00483C19"/>
    <w:pPr>
      <w:autoSpaceDE w:val="0"/>
      <w:autoSpaceDN w:val="0"/>
      <w:adjustRightInd w:val="0"/>
    </w:pPr>
    <w:rPr>
      <w:color w:val="000000"/>
      <w:sz w:val="24"/>
      <w:szCs w:val="24"/>
      <w:lang w:val="en-GB" w:eastAsia="en-GB"/>
    </w:rPr>
  </w:style>
  <w:style w:type="paragraph" w:customStyle="1" w:styleId="Para">
    <w:name w:val="Para"/>
    <w:basedOn w:val="Normal"/>
    <w:rsid w:val="00483C19"/>
    <w:pPr>
      <w:spacing w:after="180" w:line="264" w:lineRule="auto"/>
      <w:ind w:firstLine="567"/>
      <w:jc w:val="both"/>
    </w:pPr>
    <w:rPr>
      <w:rFonts w:ascii="Verdana" w:eastAsia="Times New Roman" w:hAnsi="Verdana" w:cs="Times New Roman"/>
      <w:spacing w:val="0"/>
      <w:w w:val="100"/>
      <w:kern w:val="0"/>
      <w:sz w:val="21"/>
      <w:szCs w:val="24"/>
      <w:lang w:eastAsia="en-US"/>
    </w:rPr>
  </w:style>
  <w:style w:type="paragraph" w:styleId="ListParagraph">
    <w:name w:val="List Paragraph"/>
    <w:basedOn w:val="Normal"/>
    <w:uiPriority w:val="34"/>
    <w:qFormat/>
    <w:rsid w:val="00483C19"/>
    <w:pPr>
      <w:suppressAutoHyphens/>
      <w:ind w:left="720"/>
      <w:contextualSpacing/>
    </w:pPr>
    <w:rPr>
      <w:rFonts w:eastAsia="Times New Roman" w:cs="Times New Roman"/>
      <w:spacing w:val="0"/>
      <w:w w:val="100"/>
      <w:kern w:val="0"/>
      <w:szCs w:val="20"/>
      <w:lang w:eastAsia="en-US"/>
    </w:rPr>
  </w:style>
  <w:style w:type="character" w:styleId="Strong">
    <w:name w:val="Strong"/>
    <w:basedOn w:val="DefaultParagraphFont"/>
    <w:uiPriority w:val="22"/>
    <w:qFormat/>
    <w:rsid w:val="00483C19"/>
    <w:rPr>
      <w:b/>
      <w:bCs/>
    </w:rPr>
  </w:style>
  <w:style w:type="paragraph" w:customStyle="1" w:styleId="ES-Titre3">
    <w:name w:val="ES-Titre 3"/>
    <w:basedOn w:val="Normal"/>
    <w:link w:val="ES-Titre3Car"/>
    <w:qFormat/>
    <w:rsid w:val="00483C19"/>
    <w:pPr>
      <w:overflowPunct w:val="0"/>
      <w:autoSpaceDE w:val="0"/>
      <w:autoSpaceDN w:val="0"/>
      <w:adjustRightInd w:val="0"/>
      <w:spacing w:line="240" w:lineRule="exact"/>
      <w:jc w:val="center"/>
      <w:textAlignment w:val="baseline"/>
    </w:pPr>
    <w:rPr>
      <w:rFonts w:ascii="Arial" w:eastAsia="Calibri" w:hAnsi="Arial" w:cs="Times New Roman"/>
      <w:b/>
      <w:spacing w:val="0"/>
      <w:w w:val="100"/>
      <w:kern w:val="0"/>
      <w:sz w:val="22"/>
      <w:lang w:val="fr-FR" w:eastAsia="en-US"/>
    </w:rPr>
  </w:style>
  <w:style w:type="character" w:customStyle="1" w:styleId="ES-Titre3Car">
    <w:name w:val="ES-Titre 3 Car"/>
    <w:link w:val="ES-Titre3"/>
    <w:rsid w:val="00483C19"/>
    <w:rPr>
      <w:rFonts w:ascii="Arial" w:eastAsia="Calibri" w:hAnsi="Arial"/>
      <w:b/>
      <w:sz w:val="22"/>
      <w:szCs w:val="22"/>
      <w:lang w:val="fr-FR" w:eastAsia="en-US"/>
    </w:rPr>
  </w:style>
  <w:style w:type="paragraph" w:customStyle="1" w:styleId="ESch">
    <w:name w:val="ES_ch"/>
    <w:basedOn w:val="Normal"/>
    <w:qFormat/>
    <w:rsid w:val="00483C19"/>
    <w:pPr>
      <w:autoSpaceDE w:val="0"/>
      <w:autoSpaceDN w:val="0"/>
      <w:ind w:left="567" w:hanging="567"/>
      <w:jc w:val="both"/>
    </w:pPr>
    <w:rPr>
      <w:rFonts w:ascii="Arial" w:eastAsia="Times New Roman" w:hAnsi="Arial" w:cs="Times New Roman"/>
      <w:spacing w:val="0"/>
      <w:w w:val="100"/>
      <w:kern w:val="0"/>
      <w:szCs w:val="24"/>
      <w:lang w:val="fr-FR" w:eastAsia="fr-FR"/>
    </w:rPr>
  </w:style>
  <w:style w:type="paragraph" w:customStyle="1" w:styleId="ESlet">
    <w:name w:val="ES_let"/>
    <w:basedOn w:val="Normal"/>
    <w:qFormat/>
    <w:rsid w:val="00483C19"/>
    <w:pPr>
      <w:autoSpaceDE w:val="0"/>
      <w:autoSpaceDN w:val="0"/>
      <w:spacing w:before="60"/>
      <w:ind w:left="992" w:hanging="425"/>
      <w:jc w:val="both"/>
    </w:pPr>
    <w:rPr>
      <w:rFonts w:ascii="Arial" w:eastAsia="Times New Roman" w:hAnsi="Arial" w:cs="Times New Roman"/>
      <w:spacing w:val="0"/>
      <w:w w:val="100"/>
      <w:kern w:val="0"/>
      <w:szCs w:val="24"/>
      <w:lang w:val="fr-FR" w:eastAsia="fr-FR"/>
    </w:rPr>
  </w:style>
  <w:style w:type="paragraph" w:customStyle="1" w:styleId="ESletpar">
    <w:name w:val="ES_let_par"/>
    <w:basedOn w:val="Normal"/>
    <w:qFormat/>
    <w:rsid w:val="00483C19"/>
    <w:pPr>
      <w:autoSpaceDE w:val="0"/>
      <w:autoSpaceDN w:val="0"/>
      <w:spacing w:before="60"/>
      <w:ind w:left="992"/>
      <w:jc w:val="both"/>
    </w:pPr>
    <w:rPr>
      <w:rFonts w:ascii="Arial" w:eastAsia="Times New Roman" w:hAnsi="Arial" w:cs="Times New Roman"/>
      <w:spacing w:val="0"/>
      <w:w w:val="100"/>
      <w:kern w:val="0"/>
      <w:szCs w:val="24"/>
      <w:lang w:val="fr-FR" w:eastAsia="de-DE"/>
    </w:rPr>
  </w:style>
  <w:style w:type="paragraph" w:customStyle="1" w:styleId="ESchpar">
    <w:name w:val="ES_ch_par"/>
    <w:basedOn w:val="Normal"/>
    <w:qFormat/>
    <w:rsid w:val="00483C19"/>
    <w:pPr>
      <w:autoSpaceDE w:val="0"/>
      <w:autoSpaceDN w:val="0"/>
      <w:ind w:left="567"/>
      <w:jc w:val="both"/>
    </w:pPr>
    <w:rPr>
      <w:rFonts w:ascii="Arial" w:eastAsia="Times New Roman" w:hAnsi="Arial" w:cs="Times New Roman"/>
      <w:spacing w:val="0"/>
      <w:w w:val="100"/>
      <w:kern w:val="0"/>
      <w:szCs w:val="24"/>
      <w:lang w:val="fr-FR" w:eastAsia="fr-FR"/>
    </w:rPr>
  </w:style>
  <w:style w:type="paragraph" w:customStyle="1" w:styleId="ES-Titre2">
    <w:name w:val="ES-Titre2"/>
    <w:basedOn w:val="Normal"/>
    <w:link w:val="ES-Titre2Car"/>
    <w:qFormat/>
    <w:rsid w:val="00483C19"/>
    <w:pPr>
      <w:pageBreakBefore/>
      <w:overflowPunct w:val="0"/>
      <w:autoSpaceDE w:val="0"/>
      <w:autoSpaceDN w:val="0"/>
      <w:adjustRightInd w:val="0"/>
      <w:jc w:val="center"/>
      <w:textAlignment w:val="baseline"/>
    </w:pPr>
    <w:rPr>
      <w:rFonts w:ascii="Arial" w:eastAsia="Calibri" w:hAnsi="Arial" w:cs="Arial"/>
      <w:b/>
      <w:i/>
      <w:caps/>
      <w:spacing w:val="0"/>
      <w:w w:val="100"/>
      <w:kern w:val="0"/>
      <w:sz w:val="24"/>
      <w:szCs w:val="28"/>
      <w:lang w:val="en-US" w:eastAsia="en-US"/>
    </w:rPr>
  </w:style>
  <w:style w:type="character" w:customStyle="1" w:styleId="ES-Titre2Car">
    <w:name w:val="ES-Titre2 Car"/>
    <w:link w:val="ES-Titre2"/>
    <w:rsid w:val="00483C19"/>
    <w:rPr>
      <w:rFonts w:ascii="Arial" w:eastAsia="Calibri" w:hAnsi="Arial" w:cs="Arial"/>
      <w:b/>
      <w:i/>
      <w:caps/>
      <w:sz w:val="24"/>
      <w:szCs w:val="28"/>
      <w:lang w:val="en-US" w:eastAsia="en-US"/>
    </w:rPr>
  </w:style>
  <w:style w:type="paragraph" w:styleId="CommentSubject">
    <w:name w:val="annotation subject"/>
    <w:basedOn w:val="CommentText"/>
    <w:next w:val="CommentText"/>
    <w:link w:val="CommentSubjectChar"/>
    <w:semiHidden/>
    <w:unhideWhenUsed/>
    <w:rsid w:val="00483C19"/>
    <w:pPr>
      <w:suppressAutoHyphens/>
    </w:pPr>
    <w:rPr>
      <w:rFonts w:ascii="Times New Roman" w:hAnsi="Times New Roman"/>
      <w:b/>
      <w:bCs/>
    </w:rPr>
  </w:style>
  <w:style w:type="character" w:customStyle="1" w:styleId="CommentSubjectChar">
    <w:name w:val="Comment Subject Char"/>
    <w:basedOn w:val="CommentTextChar"/>
    <w:link w:val="CommentSubject"/>
    <w:semiHidden/>
    <w:rsid w:val="00483C19"/>
    <w:rPr>
      <w:rFonts w:ascii="Verdana" w:hAnsi="Verdana"/>
      <w:b/>
      <w:bCs/>
      <w:lang w:val="ru-RU" w:eastAsia="en-US"/>
    </w:rPr>
  </w:style>
  <w:style w:type="paragraph" w:customStyle="1" w:styleId="EStiret">
    <w:name w:val="ES_tiret"/>
    <w:basedOn w:val="Normal"/>
    <w:qFormat/>
    <w:rsid w:val="00483C19"/>
    <w:pPr>
      <w:autoSpaceDE w:val="0"/>
      <w:autoSpaceDN w:val="0"/>
      <w:spacing w:before="60"/>
      <w:ind w:left="1417" w:hanging="425"/>
      <w:jc w:val="both"/>
    </w:pPr>
    <w:rPr>
      <w:rFonts w:ascii="Arial" w:eastAsia="Times New Roman" w:hAnsi="Arial" w:cs="Times New Roman"/>
      <w:noProof/>
      <w:snapToGrid w:val="0"/>
      <w:color w:val="000000"/>
      <w:spacing w:val="0"/>
      <w:w w:val="100"/>
      <w:kern w:val="0"/>
      <w:szCs w:val="24"/>
      <w:lang w:val="fr-FR" w:eastAsia="fr-FR" w:bidi="fr-FR"/>
    </w:rPr>
  </w:style>
  <w:style w:type="paragraph" w:customStyle="1" w:styleId="ESgauche">
    <w:name w:val="ES_gauche"/>
    <w:basedOn w:val="Normal"/>
    <w:qFormat/>
    <w:rsid w:val="00483C19"/>
    <w:pPr>
      <w:autoSpaceDE w:val="0"/>
      <w:autoSpaceDN w:val="0"/>
      <w:jc w:val="both"/>
    </w:pPr>
    <w:rPr>
      <w:rFonts w:ascii="Arial" w:eastAsia="Times New Roman" w:hAnsi="Arial" w:cs="Times New Roman"/>
      <w:noProof/>
      <w:spacing w:val="0"/>
      <w:w w:val="100"/>
      <w:kern w:val="0"/>
      <w:szCs w:val="24"/>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outlineLvl w:val="1"/>
    </w:pPr>
    <w:rPr>
      <w:rFonts w:cs="Arial"/>
      <w:bCs/>
      <w:iCs/>
      <w:szCs w:val="28"/>
    </w:rPr>
  </w:style>
  <w:style w:type="paragraph" w:styleId="Heading3">
    <w:name w:val="heading 3"/>
    <w:basedOn w:val="Normal"/>
    <w:next w:val="Normal"/>
    <w:link w:val="Heading3Char"/>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spacing w:before="240" w:after="60"/>
      <w:outlineLvl w:val="3"/>
    </w:pPr>
    <w:rPr>
      <w:b/>
      <w:bCs/>
      <w:sz w:val="28"/>
      <w:szCs w:val="28"/>
    </w:rPr>
  </w:style>
  <w:style w:type="paragraph" w:styleId="Heading5">
    <w:name w:val="heading 5"/>
    <w:basedOn w:val="Normal"/>
    <w:next w:val="Normal"/>
    <w:link w:val="Heading5Char"/>
    <w:qFormat/>
    <w:rsid w:val="009C6FE6"/>
    <w:pPr>
      <w:spacing w:before="240" w:after="60"/>
      <w:outlineLvl w:val="4"/>
    </w:pPr>
    <w:rPr>
      <w:b/>
      <w:bCs/>
      <w:i/>
      <w:iCs/>
      <w:sz w:val="26"/>
      <w:szCs w:val="26"/>
    </w:rPr>
  </w:style>
  <w:style w:type="paragraph" w:styleId="Heading6">
    <w:name w:val="heading 6"/>
    <w:basedOn w:val="Normal"/>
    <w:next w:val="Normal"/>
    <w:link w:val="Heading6Char"/>
    <w:qFormat/>
    <w:rsid w:val="009C6FE6"/>
    <w:pPr>
      <w:spacing w:before="240" w:after="60"/>
      <w:outlineLvl w:val="5"/>
    </w:pPr>
    <w:rPr>
      <w:b/>
      <w:bCs/>
      <w:sz w:val="22"/>
    </w:rPr>
  </w:style>
  <w:style w:type="paragraph" w:styleId="Heading7">
    <w:name w:val="heading 7"/>
    <w:basedOn w:val="Normal"/>
    <w:next w:val="Normal"/>
    <w:link w:val="Heading7Char"/>
    <w:qFormat/>
    <w:rsid w:val="009C6FE6"/>
    <w:pPr>
      <w:spacing w:before="240" w:after="60"/>
      <w:outlineLvl w:val="6"/>
    </w:pPr>
    <w:rPr>
      <w:sz w:val="24"/>
      <w:szCs w:val="24"/>
    </w:rPr>
  </w:style>
  <w:style w:type="paragraph" w:styleId="Heading8">
    <w:name w:val="heading 8"/>
    <w:basedOn w:val="Normal"/>
    <w:next w:val="Normal"/>
    <w:link w:val="Heading8Char"/>
    <w:qFormat/>
    <w:rsid w:val="009C6FE6"/>
    <w:pPr>
      <w:spacing w:before="240" w:after="60"/>
      <w:outlineLvl w:val="7"/>
    </w:pPr>
    <w:rPr>
      <w:i/>
      <w:iCs/>
      <w:sz w:val="24"/>
      <w:szCs w:val="24"/>
    </w:rPr>
  </w:style>
  <w:style w:type="paragraph" w:styleId="Heading9">
    <w:name w:val="heading 9"/>
    <w:basedOn w:val="Normal"/>
    <w:next w:val="Normal"/>
    <w:link w:val="Heading9Char"/>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character" w:styleId="FootnoteReference">
    <w:name w:val="footnote reference"/>
    <w:aliases w:val="4_GR,4_G"/>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Fußnotentext Zchn,Car Car Car Zchn,Car Car Car Car Car Car Car Car Car Zchn, Car Car Car Zchn, Car Car Car Car Car Car Car Car Car Zchn, Car Car Car, Car Car Car Car Car Car Car Car Car,Car Car Ca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Fußnotentext Zchn Char,Car Car Car Zchn Char,Car Car Car Car Car Car Car Car Car Zchn Char, Car Car Car Zchn Char, Car Car Car Car Car Car Car Car Car Zchn Char, Car Car Car Char,Car Car Car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SingleTxtG">
    <w:name w:val="_ Single Txt_G"/>
    <w:basedOn w:val="Normal"/>
    <w:link w:val="SingleTxtGChar"/>
    <w:rsid w:val="00483C19"/>
    <w:pPr>
      <w:suppressAutoHyphens/>
      <w:spacing w:after="120"/>
      <w:ind w:left="1134" w:right="1134"/>
      <w:jc w:val="both"/>
    </w:pPr>
    <w:rPr>
      <w:rFonts w:eastAsia="Times New Roman" w:cs="Times New Roman"/>
      <w:spacing w:val="0"/>
      <w:w w:val="100"/>
      <w:kern w:val="0"/>
      <w:szCs w:val="20"/>
      <w:lang w:eastAsia="en-US"/>
    </w:rPr>
  </w:style>
  <w:style w:type="character" w:customStyle="1" w:styleId="SingleTxtGChar">
    <w:name w:val="_ Single Txt_G Char"/>
    <w:link w:val="SingleTxtG"/>
    <w:rsid w:val="00483C19"/>
    <w:rPr>
      <w:lang w:val="ru-RU" w:eastAsia="en-US"/>
    </w:rPr>
  </w:style>
  <w:style w:type="character" w:customStyle="1" w:styleId="Heading2Char">
    <w:name w:val="Heading 2 Char"/>
    <w:basedOn w:val="DefaultParagraphFont"/>
    <w:link w:val="Heading2"/>
    <w:rsid w:val="00483C19"/>
    <w:rPr>
      <w:rFonts w:eastAsiaTheme="minorEastAsia" w:cs="Arial"/>
      <w:bCs/>
      <w:iCs/>
      <w:spacing w:val="4"/>
      <w:w w:val="103"/>
      <w:kern w:val="14"/>
      <w:szCs w:val="28"/>
      <w:lang w:val="ru-RU" w:eastAsia="zh-CN"/>
    </w:rPr>
  </w:style>
  <w:style w:type="character" w:customStyle="1" w:styleId="Heading3Char">
    <w:name w:val="Heading 3 Char"/>
    <w:basedOn w:val="DefaultParagraphFont"/>
    <w:link w:val="Heading3"/>
    <w:rsid w:val="00483C19"/>
    <w:rPr>
      <w:rFonts w:ascii="Arial" w:eastAsiaTheme="minorEastAsia" w:hAnsi="Arial" w:cs="Arial"/>
      <w:b/>
      <w:bCs/>
      <w:spacing w:val="4"/>
      <w:w w:val="103"/>
      <w:kern w:val="14"/>
      <w:sz w:val="26"/>
      <w:szCs w:val="26"/>
      <w:lang w:val="ru-RU" w:eastAsia="zh-CN"/>
    </w:rPr>
  </w:style>
  <w:style w:type="character" w:customStyle="1" w:styleId="Heading4Char">
    <w:name w:val="Heading 4 Char"/>
    <w:basedOn w:val="DefaultParagraphFont"/>
    <w:link w:val="Heading4"/>
    <w:rsid w:val="00483C19"/>
    <w:rPr>
      <w:rFonts w:eastAsiaTheme="minorEastAsia" w:cstheme="minorBidi"/>
      <w:b/>
      <w:bCs/>
      <w:spacing w:val="4"/>
      <w:w w:val="103"/>
      <w:kern w:val="14"/>
      <w:sz w:val="28"/>
      <w:szCs w:val="28"/>
      <w:lang w:val="ru-RU" w:eastAsia="zh-CN"/>
    </w:rPr>
  </w:style>
  <w:style w:type="character" w:customStyle="1" w:styleId="Heading5Char">
    <w:name w:val="Heading 5 Char"/>
    <w:basedOn w:val="DefaultParagraphFont"/>
    <w:link w:val="Heading5"/>
    <w:rsid w:val="00483C19"/>
    <w:rPr>
      <w:rFonts w:eastAsiaTheme="minorEastAsia" w:cstheme="minorBidi"/>
      <w:b/>
      <w:bCs/>
      <w:i/>
      <w:iCs/>
      <w:spacing w:val="4"/>
      <w:w w:val="103"/>
      <w:kern w:val="14"/>
      <w:sz w:val="26"/>
      <w:szCs w:val="26"/>
      <w:lang w:val="ru-RU" w:eastAsia="zh-CN"/>
    </w:rPr>
  </w:style>
  <w:style w:type="character" w:customStyle="1" w:styleId="Heading6Char">
    <w:name w:val="Heading 6 Char"/>
    <w:basedOn w:val="DefaultParagraphFont"/>
    <w:link w:val="Heading6"/>
    <w:rsid w:val="00483C19"/>
    <w:rPr>
      <w:rFonts w:eastAsiaTheme="minorEastAsia" w:cstheme="minorBidi"/>
      <w:b/>
      <w:bCs/>
      <w:spacing w:val="4"/>
      <w:w w:val="103"/>
      <w:kern w:val="14"/>
      <w:sz w:val="22"/>
      <w:szCs w:val="22"/>
      <w:lang w:val="ru-RU" w:eastAsia="zh-CN"/>
    </w:rPr>
  </w:style>
  <w:style w:type="character" w:customStyle="1" w:styleId="Heading7Char">
    <w:name w:val="Heading 7 Char"/>
    <w:basedOn w:val="DefaultParagraphFont"/>
    <w:link w:val="Heading7"/>
    <w:rsid w:val="00483C19"/>
    <w:rPr>
      <w:rFonts w:eastAsiaTheme="minorEastAsia" w:cstheme="minorBidi"/>
      <w:spacing w:val="4"/>
      <w:w w:val="103"/>
      <w:kern w:val="14"/>
      <w:sz w:val="24"/>
      <w:szCs w:val="24"/>
      <w:lang w:val="ru-RU" w:eastAsia="zh-CN"/>
    </w:rPr>
  </w:style>
  <w:style w:type="character" w:customStyle="1" w:styleId="Heading8Char">
    <w:name w:val="Heading 8 Char"/>
    <w:basedOn w:val="DefaultParagraphFont"/>
    <w:link w:val="Heading8"/>
    <w:rsid w:val="00483C19"/>
    <w:rPr>
      <w:rFonts w:eastAsiaTheme="minorEastAsia" w:cstheme="minorBidi"/>
      <w:i/>
      <w:iCs/>
      <w:spacing w:val="4"/>
      <w:w w:val="103"/>
      <w:kern w:val="14"/>
      <w:sz w:val="24"/>
      <w:szCs w:val="24"/>
      <w:lang w:val="ru-RU" w:eastAsia="zh-CN"/>
    </w:rPr>
  </w:style>
  <w:style w:type="character" w:customStyle="1" w:styleId="Heading9Char">
    <w:name w:val="Heading 9 Char"/>
    <w:basedOn w:val="DefaultParagraphFont"/>
    <w:link w:val="Heading9"/>
    <w:rsid w:val="00483C19"/>
    <w:rPr>
      <w:rFonts w:ascii="Arial" w:eastAsiaTheme="minorEastAsia" w:hAnsi="Arial" w:cs="Arial"/>
      <w:spacing w:val="4"/>
      <w:w w:val="103"/>
      <w:kern w:val="14"/>
      <w:sz w:val="22"/>
      <w:szCs w:val="22"/>
      <w:lang w:val="ru-RU" w:eastAsia="zh-CN"/>
    </w:rPr>
  </w:style>
  <w:style w:type="paragraph" w:customStyle="1" w:styleId="HMG">
    <w:name w:val="_ H __M_G"/>
    <w:basedOn w:val="Normal"/>
    <w:next w:val="Normal"/>
    <w:rsid w:val="00483C19"/>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eastAsia="en-US"/>
    </w:rPr>
  </w:style>
  <w:style w:type="paragraph" w:customStyle="1" w:styleId="HChG">
    <w:name w:val="_ H _Ch_G"/>
    <w:basedOn w:val="Normal"/>
    <w:next w:val="Normal"/>
    <w:rsid w:val="00483C19"/>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eastAsia="en-US"/>
    </w:rPr>
  </w:style>
  <w:style w:type="paragraph" w:customStyle="1" w:styleId="SMG">
    <w:name w:val="__S_M_G"/>
    <w:basedOn w:val="Normal"/>
    <w:next w:val="Normal"/>
    <w:rsid w:val="00483C19"/>
    <w:pPr>
      <w:keepNext/>
      <w:keepLines/>
      <w:suppressAutoHyphens/>
      <w:spacing w:before="240" w:after="240" w:line="420" w:lineRule="exact"/>
      <w:ind w:left="1134" w:right="1134"/>
    </w:pPr>
    <w:rPr>
      <w:rFonts w:eastAsia="Times New Roman" w:cs="Times New Roman"/>
      <w:b/>
      <w:spacing w:val="0"/>
      <w:w w:val="100"/>
      <w:kern w:val="0"/>
      <w:sz w:val="40"/>
      <w:szCs w:val="20"/>
      <w:lang w:eastAsia="en-US"/>
    </w:rPr>
  </w:style>
  <w:style w:type="paragraph" w:customStyle="1" w:styleId="SLG">
    <w:name w:val="__S_L_G"/>
    <w:basedOn w:val="Normal"/>
    <w:next w:val="Normal"/>
    <w:rsid w:val="00483C19"/>
    <w:pPr>
      <w:keepNext/>
      <w:keepLines/>
      <w:suppressAutoHyphens/>
      <w:spacing w:before="240" w:after="240" w:line="580" w:lineRule="exact"/>
      <w:ind w:left="1134" w:right="1134"/>
    </w:pPr>
    <w:rPr>
      <w:rFonts w:eastAsia="Times New Roman" w:cs="Times New Roman"/>
      <w:b/>
      <w:spacing w:val="0"/>
      <w:w w:val="100"/>
      <w:kern w:val="0"/>
      <w:sz w:val="56"/>
      <w:szCs w:val="20"/>
      <w:lang w:eastAsia="en-US"/>
    </w:rPr>
  </w:style>
  <w:style w:type="paragraph" w:customStyle="1" w:styleId="SSG">
    <w:name w:val="__S_S_G"/>
    <w:basedOn w:val="Normal"/>
    <w:next w:val="Normal"/>
    <w:rsid w:val="00483C19"/>
    <w:pPr>
      <w:keepNext/>
      <w:keepLines/>
      <w:suppressAutoHyphens/>
      <w:spacing w:before="240" w:after="240" w:line="300" w:lineRule="exact"/>
      <w:ind w:left="1134" w:right="1134"/>
    </w:pPr>
    <w:rPr>
      <w:rFonts w:eastAsia="Times New Roman" w:cs="Times New Roman"/>
      <w:b/>
      <w:spacing w:val="0"/>
      <w:w w:val="100"/>
      <w:kern w:val="0"/>
      <w:sz w:val="28"/>
      <w:szCs w:val="20"/>
      <w:lang w:eastAsia="en-US"/>
    </w:rPr>
  </w:style>
  <w:style w:type="paragraph" w:customStyle="1" w:styleId="XLargeG">
    <w:name w:val="__XLarge_G"/>
    <w:basedOn w:val="Normal"/>
    <w:next w:val="Normal"/>
    <w:rsid w:val="00483C19"/>
    <w:pPr>
      <w:keepNext/>
      <w:keepLines/>
      <w:suppressAutoHyphens/>
      <w:spacing w:before="240" w:after="240" w:line="420" w:lineRule="exact"/>
      <w:ind w:left="1134" w:right="1134"/>
    </w:pPr>
    <w:rPr>
      <w:rFonts w:eastAsia="Times New Roman" w:cs="Times New Roman"/>
      <w:b/>
      <w:spacing w:val="0"/>
      <w:w w:val="100"/>
      <w:kern w:val="0"/>
      <w:sz w:val="40"/>
      <w:szCs w:val="20"/>
      <w:lang w:eastAsia="en-US"/>
    </w:rPr>
  </w:style>
  <w:style w:type="paragraph" w:customStyle="1" w:styleId="Bullet1G">
    <w:name w:val="_Bullet 1_G"/>
    <w:basedOn w:val="Normal"/>
    <w:rsid w:val="00483C19"/>
    <w:pPr>
      <w:numPr>
        <w:numId w:val="25"/>
      </w:numPr>
      <w:suppressAutoHyphens/>
      <w:spacing w:after="120"/>
      <w:ind w:right="1134"/>
      <w:jc w:val="both"/>
    </w:pPr>
    <w:rPr>
      <w:rFonts w:eastAsia="Times New Roman" w:cs="Times New Roman"/>
      <w:spacing w:val="0"/>
      <w:w w:val="100"/>
      <w:kern w:val="0"/>
      <w:szCs w:val="20"/>
      <w:lang w:eastAsia="en-US"/>
    </w:rPr>
  </w:style>
  <w:style w:type="paragraph" w:customStyle="1" w:styleId="Bullet2G">
    <w:name w:val="_Bullet 2_G"/>
    <w:basedOn w:val="Normal"/>
    <w:rsid w:val="00483C19"/>
    <w:pPr>
      <w:numPr>
        <w:numId w:val="26"/>
      </w:numPr>
      <w:suppressAutoHyphens/>
      <w:spacing w:after="120"/>
      <w:ind w:right="1134"/>
      <w:jc w:val="both"/>
    </w:pPr>
    <w:rPr>
      <w:rFonts w:eastAsia="Times New Roman" w:cs="Times New Roman"/>
      <w:spacing w:val="0"/>
      <w:w w:val="100"/>
      <w:kern w:val="0"/>
      <w:szCs w:val="20"/>
      <w:lang w:eastAsia="en-US"/>
    </w:rPr>
  </w:style>
  <w:style w:type="paragraph" w:customStyle="1" w:styleId="H1G">
    <w:name w:val="_ H_1_G"/>
    <w:basedOn w:val="Normal"/>
    <w:next w:val="Normal"/>
    <w:rsid w:val="00483C19"/>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eastAsia="en-US"/>
    </w:rPr>
  </w:style>
  <w:style w:type="paragraph" w:customStyle="1" w:styleId="H23G">
    <w:name w:val="_ H_2/3_G"/>
    <w:basedOn w:val="Normal"/>
    <w:next w:val="Normal"/>
    <w:rsid w:val="00483C19"/>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eastAsia="en-US"/>
    </w:rPr>
  </w:style>
  <w:style w:type="paragraph" w:customStyle="1" w:styleId="H4G">
    <w:name w:val="_ H_4_G"/>
    <w:basedOn w:val="Normal"/>
    <w:next w:val="Normal"/>
    <w:rsid w:val="00483C19"/>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eastAsia="en-US"/>
    </w:rPr>
  </w:style>
  <w:style w:type="paragraph" w:customStyle="1" w:styleId="H56G">
    <w:name w:val="_ H_5/6_G"/>
    <w:basedOn w:val="Normal"/>
    <w:next w:val="Normal"/>
    <w:rsid w:val="00483C19"/>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eastAsia="en-US"/>
    </w:rPr>
  </w:style>
  <w:style w:type="paragraph" w:customStyle="1" w:styleId="ParaNo">
    <w:name w:val="ParaNo."/>
    <w:basedOn w:val="Normal"/>
    <w:link w:val="ParaNoCharChar"/>
    <w:rsid w:val="00483C19"/>
    <w:pPr>
      <w:numPr>
        <w:numId w:val="27"/>
      </w:numPr>
      <w:spacing w:after="200" w:line="240" w:lineRule="auto"/>
      <w:jc w:val="both"/>
    </w:pPr>
    <w:rPr>
      <w:rFonts w:eastAsia="Times New Roman" w:cs="Times New Roman"/>
      <w:snapToGrid w:val="0"/>
      <w:spacing w:val="0"/>
      <w:w w:val="100"/>
      <w:kern w:val="0"/>
      <w:sz w:val="24"/>
      <w:szCs w:val="20"/>
      <w:lang w:eastAsia="en-US"/>
    </w:rPr>
  </w:style>
  <w:style w:type="character" w:customStyle="1" w:styleId="ParaNoCharChar">
    <w:name w:val="ParaNo. Char Char"/>
    <w:link w:val="ParaNo"/>
    <w:rsid w:val="00483C19"/>
    <w:rPr>
      <w:snapToGrid w:val="0"/>
      <w:sz w:val="24"/>
      <w:lang w:val="ru-RU" w:eastAsia="en-US"/>
    </w:rPr>
  </w:style>
  <w:style w:type="paragraph" w:customStyle="1" w:styleId="Paraa">
    <w:name w:val="Para a)"/>
    <w:basedOn w:val="ParaNo"/>
    <w:rsid w:val="00483C19"/>
    <w:pPr>
      <w:numPr>
        <w:numId w:val="0"/>
      </w:numPr>
      <w:spacing w:after="140" w:line="264" w:lineRule="auto"/>
      <w:ind w:left="1134" w:hanging="567"/>
    </w:pPr>
    <w:rPr>
      <w:rFonts w:ascii="Verdana" w:hAnsi="Verdana"/>
      <w:sz w:val="21"/>
    </w:rPr>
  </w:style>
  <w:style w:type="paragraph" w:styleId="CommentText">
    <w:name w:val="annotation text"/>
    <w:basedOn w:val="Normal"/>
    <w:link w:val="CommentTextChar"/>
    <w:rsid w:val="00483C19"/>
    <w:pPr>
      <w:spacing w:line="240" w:lineRule="auto"/>
    </w:pPr>
    <w:rPr>
      <w:rFonts w:ascii="Verdana" w:eastAsia="Times New Roman" w:hAnsi="Verdana" w:cs="Times New Roman"/>
      <w:spacing w:val="0"/>
      <w:w w:val="100"/>
      <w:kern w:val="0"/>
      <w:szCs w:val="20"/>
      <w:lang w:eastAsia="en-US"/>
    </w:rPr>
  </w:style>
  <w:style w:type="character" w:customStyle="1" w:styleId="CommentTextChar">
    <w:name w:val="Comment Text Char"/>
    <w:basedOn w:val="DefaultParagraphFont"/>
    <w:link w:val="CommentText"/>
    <w:rsid w:val="00483C19"/>
    <w:rPr>
      <w:rFonts w:ascii="Verdana" w:hAnsi="Verdana"/>
      <w:lang w:val="ru-RU" w:eastAsia="en-US"/>
    </w:rPr>
  </w:style>
  <w:style w:type="character" w:styleId="CommentReference">
    <w:name w:val="annotation reference"/>
    <w:rsid w:val="00483C19"/>
    <w:rPr>
      <w:sz w:val="16"/>
      <w:szCs w:val="16"/>
    </w:rPr>
  </w:style>
  <w:style w:type="paragraph" w:customStyle="1" w:styleId="Default">
    <w:name w:val="Default"/>
    <w:rsid w:val="00483C19"/>
    <w:pPr>
      <w:autoSpaceDE w:val="0"/>
      <w:autoSpaceDN w:val="0"/>
      <w:adjustRightInd w:val="0"/>
    </w:pPr>
    <w:rPr>
      <w:color w:val="000000"/>
      <w:sz w:val="24"/>
      <w:szCs w:val="24"/>
      <w:lang w:val="en-GB" w:eastAsia="en-GB"/>
    </w:rPr>
  </w:style>
  <w:style w:type="paragraph" w:customStyle="1" w:styleId="Para">
    <w:name w:val="Para"/>
    <w:basedOn w:val="Normal"/>
    <w:rsid w:val="00483C19"/>
    <w:pPr>
      <w:spacing w:after="180" w:line="264" w:lineRule="auto"/>
      <w:ind w:firstLine="567"/>
      <w:jc w:val="both"/>
    </w:pPr>
    <w:rPr>
      <w:rFonts w:ascii="Verdana" w:eastAsia="Times New Roman" w:hAnsi="Verdana" w:cs="Times New Roman"/>
      <w:spacing w:val="0"/>
      <w:w w:val="100"/>
      <w:kern w:val="0"/>
      <w:sz w:val="21"/>
      <w:szCs w:val="24"/>
      <w:lang w:eastAsia="en-US"/>
    </w:rPr>
  </w:style>
  <w:style w:type="paragraph" w:styleId="ListParagraph">
    <w:name w:val="List Paragraph"/>
    <w:basedOn w:val="Normal"/>
    <w:uiPriority w:val="34"/>
    <w:qFormat/>
    <w:rsid w:val="00483C19"/>
    <w:pPr>
      <w:suppressAutoHyphens/>
      <w:ind w:left="720"/>
      <w:contextualSpacing/>
    </w:pPr>
    <w:rPr>
      <w:rFonts w:eastAsia="Times New Roman" w:cs="Times New Roman"/>
      <w:spacing w:val="0"/>
      <w:w w:val="100"/>
      <w:kern w:val="0"/>
      <w:szCs w:val="20"/>
      <w:lang w:eastAsia="en-US"/>
    </w:rPr>
  </w:style>
  <w:style w:type="character" w:styleId="Strong">
    <w:name w:val="Strong"/>
    <w:basedOn w:val="DefaultParagraphFont"/>
    <w:uiPriority w:val="22"/>
    <w:qFormat/>
    <w:rsid w:val="00483C19"/>
    <w:rPr>
      <w:b/>
      <w:bCs/>
    </w:rPr>
  </w:style>
  <w:style w:type="paragraph" w:customStyle="1" w:styleId="ES-Titre3">
    <w:name w:val="ES-Titre 3"/>
    <w:basedOn w:val="Normal"/>
    <w:link w:val="ES-Titre3Car"/>
    <w:qFormat/>
    <w:rsid w:val="00483C19"/>
    <w:pPr>
      <w:overflowPunct w:val="0"/>
      <w:autoSpaceDE w:val="0"/>
      <w:autoSpaceDN w:val="0"/>
      <w:adjustRightInd w:val="0"/>
      <w:spacing w:line="240" w:lineRule="exact"/>
      <w:jc w:val="center"/>
      <w:textAlignment w:val="baseline"/>
    </w:pPr>
    <w:rPr>
      <w:rFonts w:ascii="Arial" w:eastAsia="Calibri" w:hAnsi="Arial" w:cs="Times New Roman"/>
      <w:b/>
      <w:spacing w:val="0"/>
      <w:w w:val="100"/>
      <w:kern w:val="0"/>
      <w:sz w:val="22"/>
      <w:lang w:val="fr-FR" w:eastAsia="en-US"/>
    </w:rPr>
  </w:style>
  <w:style w:type="character" w:customStyle="1" w:styleId="ES-Titre3Car">
    <w:name w:val="ES-Titre 3 Car"/>
    <w:link w:val="ES-Titre3"/>
    <w:rsid w:val="00483C19"/>
    <w:rPr>
      <w:rFonts w:ascii="Arial" w:eastAsia="Calibri" w:hAnsi="Arial"/>
      <w:b/>
      <w:sz w:val="22"/>
      <w:szCs w:val="22"/>
      <w:lang w:val="fr-FR" w:eastAsia="en-US"/>
    </w:rPr>
  </w:style>
  <w:style w:type="paragraph" w:customStyle="1" w:styleId="ESch">
    <w:name w:val="ES_ch"/>
    <w:basedOn w:val="Normal"/>
    <w:qFormat/>
    <w:rsid w:val="00483C19"/>
    <w:pPr>
      <w:autoSpaceDE w:val="0"/>
      <w:autoSpaceDN w:val="0"/>
      <w:ind w:left="567" w:hanging="567"/>
      <w:jc w:val="both"/>
    </w:pPr>
    <w:rPr>
      <w:rFonts w:ascii="Arial" w:eastAsia="Times New Roman" w:hAnsi="Arial" w:cs="Times New Roman"/>
      <w:spacing w:val="0"/>
      <w:w w:val="100"/>
      <w:kern w:val="0"/>
      <w:szCs w:val="24"/>
      <w:lang w:val="fr-FR" w:eastAsia="fr-FR"/>
    </w:rPr>
  </w:style>
  <w:style w:type="paragraph" w:customStyle="1" w:styleId="ESlet">
    <w:name w:val="ES_let"/>
    <w:basedOn w:val="Normal"/>
    <w:qFormat/>
    <w:rsid w:val="00483C19"/>
    <w:pPr>
      <w:autoSpaceDE w:val="0"/>
      <w:autoSpaceDN w:val="0"/>
      <w:spacing w:before="60"/>
      <w:ind w:left="992" w:hanging="425"/>
      <w:jc w:val="both"/>
    </w:pPr>
    <w:rPr>
      <w:rFonts w:ascii="Arial" w:eastAsia="Times New Roman" w:hAnsi="Arial" w:cs="Times New Roman"/>
      <w:spacing w:val="0"/>
      <w:w w:val="100"/>
      <w:kern w:val="0"/>
      <w:szCs w:val="24"/>
      <w:lang w:val="fr-FR" w:eastAsia="fr-FR"/>
    </w:rPr>
  </w:style>
  <w:style w:type="paragraph" w:customStyle="1" w:styleId="ESletpar">
    <w:name w:val="ES_let_par"/>
    <w:basedOn w:val="Normal"/>
    <w:qFormat/>
    <w:rsid w:val="00483C19"/>
    <w:pPr>
      <w:autoSpaceDE w:val="0"/>
      <w:autoSpaceDN w:val="0"/>
      <w:spacing w:before="60"/>
      <w:ind w:left="992"/>
      <w:jc w:val="both"/>
    </w:pPr>
    <w:rPr>
      <w:rFonts w:ascii="Arial" w:eastAsia="Times New Roman" w:hAnsi="Arial" w:cs="Times New Roman"/>
      <w:spacing w:val="0"/>
      <w:w w:val="100"/>
      <w:kern w:val="0"/>
      <w:szCs w:val="24"/>
      <w:lang w:val="fr-FR" w:eastAsia="de-DE"/>
    </w:rPr>
  </w:style>
  <w:style w:type="paragraph" w:customStyle="1" w:styleId="ESchpar">
    <w:name w:val="ES_ch_par"/>
    <w:basedOn w:val="Normal"/>
    <w:qFormat/>
    <w:rsid w:val="00483C19"/>
    <w:pPr>
      <w:autoSpaceDE w:val="0"/>
      <w:autoSpaceDN w:val="0"/>
      <w:ind w:left="567"/>
      <w:jc w:val="both"/>
    </w:pPr>
    <w:rPr>
      <w:rFonts w:ascii="Arial" w:eastAsia="Times New Roman" w:hAnsi="Arial" w:cs="Times New Roman"/>
      <w:spacing w:val="0"/>
      <w:w w:val="100"/>
      <w:kern w:val="0"/>
      <w:szCs w:val="24"/>
      <w:lang w:val="fr-FR" w:eastAsia="fr-FR"/>
    </w:rPr>
  </w:style>
  <w:style w:type="paragraph" w:customStyle="1" w:styleId="ES-Titre2">
    <w:name w:val="ES-Titre2"/>
    <w:basedOn w:val="Normal"/>
    <w:link w:val="ES-Titre2Car"/>
    <w:qFormat/>
    <w:rsid w:val="00483C19"/>
    <w:pPr>
      <w:pageBreakBefore/>
      <w:overflowPunct w:val="0"/>
      <w:autoSpaceDE w:val="0"/>
      <w:autoSpaceDN w:val="0"/>
      <w:adjustRightInd w:val="0"/>
      <w:jc w:val="center"/>
      <w:textAlignment w:val="baseline"/>
    </w:pPr>
    <w:rPr>
      <w:rFonts w:ascii="Arial" w:eastAsia="Calibri" w:hAnsi="Arial" w:cs="Arial"/>
      <w:b/>
      <w:i/>
      <w:caps/>
      <w:spacing w:val="0"/>
      <w:w w:val="100"/>
      <w:kern w:val="0"/>
      <w:sz w:val="24"/>
      <w:szCs w:val="28"/>
      <w:lang w:val="en-US" w:eastAsia="en-US"/>
    </w:rPr>
  </w:style>
  <w:style w:type="character" w:customStyle="1" w:styleId="ES-Titre2Car">
    <w:name w:val="ES-Titre2 Car"/>
    <w:link w:val="ES-Titre2"/>
    <w:rsid w:val="00483C19"/>
    <w:rPr>
      <w:rFonts w:ascii="Arial" w:eastAsia="Calibri" w:hAnsi="Arial" w:cs="Arial"/>
      <w:b/>
      <w:i/>
      <w:caps/>
      <w:sz w:val="24"/>
      <w:szCs w:val="28"/>
      <w:lang w:val="en-US" w:eastAsia="en-US"/>
    </w:rPr>
  </w:style>
  <w:style w:type="paragraph" w:styleId="CommentSubject">
    <w:name w:val="annotation subject"/>
    <w:basedOn w:val="CommentText"/>
    <w:next w:val="CommentText"/>
    <w:link w:val="CommentSubjectChar"/>
    <w:semiHidden/>
    <w:unhideWhenUsed/>
    <w:rsid w:val="00483C19"/>
    <w:pPr>
      <w:suppressAutoHyphens/>
    </w:pPr>
    <w:rPr>
      <w:rFonts w:ascii="Times New Roman" w:hAnsi="Times New Roman"/>
      <w:b/>
      <w:bCs/>
    </w:rPr>
  </w:style>
  <w:style w:type="character" w:customStyle="1" w:styleId="CommentSubjectChar">
    <w:name w:val="Comment Subject Char"/>
    <w:basedOn w:val="CommentTextChar"/>
    <w:link w:val="CommentSubject"/>
    <w:semiHidden/>
    <w:rsid w:val="00483C19"/>
    <w:rPr>
      <w:rFonts w:ascii="Verdana" w:hAnsi="Verdana"/>
      <w:b/>
      <w:bCs/>
      <w:lang w:val="ru-RU" w:eastAsia="en-US"/>
    </w:rPr>
  </w:style>
  <w:style w:type="paragraph" w:customStyle="1" w:styleId="EStiret">
    <w:name w:val="ES_tiret"/>
    <w:basedOn w:val="Normal"/>
    <w:qFormat/>
    <w:rsid w:val="00483C19"/>
    <w:pPr>
      <w:autoSpaceDE w:val="0"/>
      <w:autoSpaceDN w:val="0"/>
      <w:spacing w:before="60"/>
      <w:ind w:left="1417" w:hanging="425"/>
      <w:jc w:val="both"/>
    </w:pPr>
    <w:rPr>
      <w:rFonts w:ascii="Arial" w:eastAsia="Times New Roman" w:hAnsi="Arial" w:cs="Times New Roman"/>
      <w:noProof/>
      <w:snapToGrid w:val="0"/>
      <w:color w:val="000000"/>
      <w:spacing w:val="0"/>
      <w:w w:val="100"/>
      <w:kern w:val="0"/>
      <w:szCs w:val="24"/>
      <w:lang w:val="fr-FR" w:eastAsia="fr-FR" w:bidi="fr-FR"/>
    </w:rPr>
  </w:style>
  <w:style w:type="paragraph" w:customStyle="1" w:styleId="ESgauche">
    <w:name w:val="ES_gauche"/>
    <w:basedOn w:val="Normal"/>
    <w:qFormat/>
    <w:rsid w:val="00483C19"/>
    <w:pPr>
      <w:autoSpaceDE w:val="0"/>
      <w:autoSpaceDN w:val="0"/>
      <w:jc w:val="both"/>
    </w:pPr>
    <w:rPr>
      <w:rFonts w:ascii="Arial" w:eastAsia="Times New Roman" w:hAnsi="Arial" w:cs="Times New Roman"/>
      <w:noProof/>
      <w:spacing w:val="0"/>
      <w:w w:val="100"/>
      <w:kern w:val="0"/>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onf-share1\LS\RUS\COMMON\MSWDocs\_3Final\www.cesni.eu\documents\es-tr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5462</Words>
  <Characters>31134</Characters>
  <Application>Microsoft Office Word</Application>
  <DocSecurity>0</DocSecurity>
  <Lines>259</Lines>
  <Paragraphs>73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ECE/TRANS/SC.3/WP.3/2017/14</vt:lpstr>
      <vt:lpstr>ECE/TRANS/SC.3/WP.3/2017/14</vt:lpstr>
      <vt:lpstr>A/</vt:lpstr>
    </vt:vector>
  </TitlesOfParts>
  <Company>DCM</Company>
  <LinksUpToDate>false</LinksUpToDate>
  <CharactersWithSpaces>36523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ECE/TRANS/SC.3/WP.3/2017/14</dc:title>
  <dc:creator>Anna Blagodatskikh</dc:creator>
  <cp:lastModifiedBy>Ivanova</cp:lastModifiedBy>
  <cp:revision>2</cp:revision>
  <cp:lastPrinted>2017-04-26T14:01:00Z</cp:lastPrinted>
  <dcterms:created xsi:type="dcterms:W3CDTF">2017-04-30T17:41:00Z</dcterms:created>
  <dcterms:modified xsi:type="dcterms:W3CDTF">2017-04-30T17:41:00Z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