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985591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85591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85591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85591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15DCC">
              <w:fldChar w:fldCharType="begin"/>
            </w:r>
            <w:r w:rsidR="00F15DCC">
              <w:instrText xml:space="preserve"> FILLIN  "Введите символ после ЕCE/"  \* MERGEFORMAT </w:instrText>
            </w:r>
            <w:r w:rsidR="00F15DCC">
              <w:fldChar w:fldCharType="separate"/>
            </w:r>
            <w:r w:rsidR="00862812">
              <w:t>TRANS/SC.1/406</w:t>
            </w:r>
            <w:r w:rsidR="00F15DC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98559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85591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985591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85591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15DC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985591">
            <w:fldSimple w:instr=" FILLIN  &quot;Введите дату документа&quot; \* MERGEFORMAT ">
              <w:r w:rsidR="00862812">
                <w:t>22 November 2016</w:t>
              </w:r>
            </w:fldSimple>
          </w:p>
          <w:p w:rsidR="00A658DB" w:rsidRPr="00245892" w:rsidRDefault="00A658DB" w:rsidP="00985591">
            <w:r w:rsidRPr="00245892">
              <w:t>Russian</w:t>
            </w:r>
          </w:p>
          <w:p w:rsidR="00A658DB" w:rsidRPr="00245892" w:rsidRDefault="00A658DB" w:rsidP="00985591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15DC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985591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15209" w:rsidRPr="00C15209" w:rsidRDefault="00C15209" w:rsidP="00C15209">
      <w:pPr>
        <w:spacing w:before="120"/>
        <w:rPr>
          <w:sz w:val="28"/>
          <w:szCs w:val="28"/>
        </w:rPr>
      </w:pPr>
      <w:r w:rsidRPr="00C15209">
        <w:rPr>
          <w:sz w:val="28"/>
          <w:szCs w:val="28"/>
        </w:rPr>
        <w:t>Комитет по внутреннему транспорту</w:t>
      </w:r>
    </w:p>
    <w:p w:rsidR="00C15209" w:rsidRPr="00C15209" w:rsidRDefault="00C15209" w:rsidP="00C15209">
      <w:pPr>
        <w:spacing w:before="120"/>
        <w:rPr>
          <w:b/>
          <w:sz w:val="24"/>
          <w:szCs w:val="24"/>
        </w:rPr>
      </w:pPr>
      <w:r w:rsidRPr="00C15209">
        <w:rPr>
          <w:b/>
          <w:sz w:val="24"/>
          <w:szCs w:val="24"/>
        </w:rPr>
        <w:t>Рабочая группа по автомобильному транспорту</w:t>
      </w:r>
    </w:p>
    <w:p w:rsidR="00C15209" w:rsidRPr="00C15209" w:rsidRDefault="00C15209" w:rsidP="00C15209">
      <w:pPr>
        <w:spacing w:before="120"/>
        <w:rPr>
          <w:b/>
        </w:rPr>
      </w:pPr>
      <w:r w:rsidRPr="00C15209">
        <w:rPr>
          <w:b/>
        </w:rPr>
        <w:t>111-я сессия</w:t>
      </w:r>
    </w:p>
    <w:p w:rsidR="00C15209" w:rsidRPr="00413061" w:rsidRDefault="00C15209" w:rsidP="00C15209">
      <w:r w:rsidRPr="00413061">
        <w:t>Женева, 25</w:t>
      </w:r>
      <w:r w:rsidR="000D7A50">
        <w:t>–</w:t>
      </w:r>
      <w:r w:rsidRPr="00413061">
        <w:t>26 октября 2016 года</w:t>
      </w:r>
    </w:p>
    <w:p w:rsidR="00C15209" w:rsidRPr="00C15209" w:rsidRDefault="00C15209" w:rsidP="00C15209">
      <w:pPr>
        <w:pStyle w:val="HChGR"/>
      </w:pPr>
      <w:r w:rsidRPr="009D19A3">
        <w:tab/>
      </w:r>
      <w:r w:rsidRPr="009D19A3">
        <w:tab/>
      </w:r>
      <w:r w:rsidRPr="00C15209">
        <w:t>Доклад Рабочей группы по автомобильному транспорту о работе ее 111-й сессии</w:t>
      </w:r>
    </w:p>
    <w:p w:rsidR="00C15209" w:rsidRDefault="00C15209" w:rsidP="00C15209">
      <w:pPr>
        <w:pStyle w:val="SingleTxtGR"/>
        <w:suppressAutoHyphens/>
        <w:ind w:left="0" w:right="0"/>
        <w:jc w:val="left"/>
        <w:rPr>
          <w:sz w:val="28"/>
        </w:rPr>
      </w:pPr>
      <w:r>
        <w:rPr>
          <w:sz w:val="28"/>
        </w:rPr>
        <w:t>Содержание</w:t>
      </w:r>
    </w:p>
    <w:p w:rsidR="00C15209" w:rsidRDefault="00C15209" w:rsidP="00C1520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9D19A3">
        <w:tab/>
      </w:r>
      <w:r w:rsidRPr="00130B54">
        <w:rPr>
          <w:lang w:val="en-US"/>
        </w:rPr>
        <w:t>I</w:t>
      </w:r>
      <w:r w:rsidRPr="00130B54">
        <w:t>.</w:t>
      </w:r>
      <w:r w:rsidRPr="00130B54">
        <w:tab/>
        <w:t>Участники</w:t>
      </w:r>
      <w:r w:rsidRPr="00130B54">
        <w:tab/>
      </w:r>
      <w:r w:rsidRPr="00130B54">
        <w:tab/>
        <w:t>1</w:t>
      </w:r>
      <w:r>
        <w:t>–</w:t>
      </w:r>
      <w:r w:rsidRPr="00130B54">
        <w:t>3</w:t>
      </w:r>
      <w:r w:rsidRPr="00130B54">
        <w:tab/>
        <w:t>3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II</w:t>
      </w:r>
      <w:r w:rsidRPr="00130B54">
        <w:t>.</w:t>
      </w:r>
      <w:r w:rsidRPr="00130B54">
        <w:tab/>
        <w:t>Утверждение повестки дня (пункт 1 повестки дня)</w:t>
      </w:r>
      <w:r w:rsidRPr="00130B54">
        <w:tab/>
      </w:r>
      <w:r w:rsidRPr="00130B54">
        <w:tab/>
        <w:t>4</w:t>
      </w:r>
      <w:r w:rsidRPr="00130B54">
        <w:tab/>
        <w:t>3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III</w:t>
      </w:r>
      <w:r w:rsidRPr="00130B54">
        <w:t>.</w:t>
      </w:r>
      <w:r w:rsidRPr="00130B54">
        <w:tab/>
        <w:t xml:space="preserve">Деятельность, представляющая интерес для Рабочей группы </w:t>
      </w:r>
      <w:r w:rsidRPr="00130B54">
        <w:br/>
      </w:r>
      <w:r w:rsidRPr="00130B54">
        <w:tab/>
      </w:r>
      <w:r w:rsidRPr="00130B54">
        <w:tab/>
        <w:t>(пункт 2 повестки дня)</w:t>
      </w:r>
      <w:r w:rsidRPr="00130B54">
        <w:tab/>
      </w:r>
      <w:r w:rsidRPr="00130B54">
        <w:tab/>
        <w:t>5</w:t>
      </w:r>
      <w:r>
        <w:t>–</w:t>
      </w:r>
      <w:r w:rsidRPr="00130B54">
        <w:t>10</w:t>
      </w:r>
      <w:r w:rsidRPr="00130B54">
        <w:tab/>
        <w:t>3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tab/>
      </w:r>
      <w:r w:rsidRPr="00130B54">
        <w:rPr>
          <w:lang w:val="en-GB"/>
        </w:rPr>
        <w:t>A</w:t>
      </w:r>
      <w:r w:rsidRPr="00130B54">
        <w:t>.</w:t>
      </w:r>
      <w:r w:rsidRPr="00130B54">
        <w:tab/>
        <w:t>Национальные делегации</w:t>
      </w:r>
      <w:r w:rsidRPr="00130B54">
        <w:tab/>
      </w:r>
      <w:r w:rsidRPr="00130B54">
        <w:tab/>
        <w:t>5</w:t>
      </w:r>
      <w:r w:rsidRPr="00130B54">
        <w:tab/>
        <w:t>3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tab/>
      </w:r>
      <w:r w:rsidRPr="00130B54">
        <w:rPr>
          <w:lang w:val="en-GB"/>
        </w:rPr>
        <w:t>B</w:t>
      </w:r>
      <w:r w:rsidRPr="00130B54">
        <w:t>.</w:t>
      </w:r>
      <w:r w:rsidRPr="00130B54">
        <w:tab/>
        <w:t>Международные организации</w:t>
      </w:r>
      <w:r w:rsidRPr="00130B54">
        <w:tab/>
      </w:r>
      <w:r w:rsidRPr="00130B54">
        <w:tab/>
        <w:t>8</w:t>
      </w:r>
      <w:r w:rsidRPr="00130B54">
        <w:tab/>
        <w:t>3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tab/>
      </w:r>
      <w:r w:rsidRPr="00130B54">
        <w:rPr>
          <w:lang w:val="en-GB"/>
        </w:rPr>
        <w:t>C</w:t>
      </w:r>
      <w:r w:rsidRPr="00130B54">
        <w:t>.</w:t>
      </w:r>
      <w:r w:rsidRPr="00130B54">
        <w:tab/>
        <w:t xml:space="preserve">Деятельность органов ЕЭК ООН и других организаций </w:t>
      </w:r>
      <w:r w:rsidRPr="00130B54">
        <w:br/>
      </w:r>
      <w:r w:rsidRPr="00130B54">
        <w:tab/>
      </w:r>
      <w:r w:rsidRPr="00130B54">
        <w:tab/>
      </w:r>
      <w:r w:rsidRPr="00130B54">
        <w:tab/>
        <w:t>системы Организации Объединенных Наций</w:t>
      </w:r>
      <w:r w:rsidRPr="00130B54">
        <w:tab/>
      </w:r>
      <w:r w:rsidRPr="00130B54">
        <w:tab/>
        <w:t>9</w:t>
      </w:r>
      <w:r>
        <w:t>–</w:t>
      </w:r>
      <w:r w:rsidRPr="00130B54">
        <w:t>10</w:t>
      </w:r>
      <w:r w:rsidRPr="00130B54">
        <w:tab/>
        <w:t>4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IV</w:t>
      </w:r>
      <w:r w:rsidRPr="00130B54">
        <w:t>.</w:t>
      </w:r>
      <w:r w:rsidRPr="00130B54">
        <w:tab/>
        <w:t xml:space="preserve">Европейское соглашение, касающееся работы экипажей </w:t>
      </w:r>
      <w:r w:rsidRPr="00130B54">
        <w:br/>
      </w:r>
      <w:r w:rsidRPr="00130B54">
        <w:tab/>
      </w:r>
      <w:r w:rsidRPr="00130B54">
        <w:tab/>
        <w:t xml:space="preserve">транспортных средств, производящих международные </w:t>
      </w:r>
      <w:r w:rsidRPr="00130B54">
        <w:br/>
      </w:r>
      <w:r w:rsidRPr="00130B54">
        <w:tab/>
      </w:r>
      <w:r w:rsidRPr="00130B54">
        <w:tab/>
        <w:t>автомобильные перевозки (ЕСТР) (пункт 3 повестки дня)</w:t>
      </w:r>
      <w:r w:rsidRPr="00130B54">
        <w:tab/>
      </w:r>
      <w:r w:rsidRPr="00130B54">
        <w:tab/>
        <w:t>11</w:t>
      </w:r>
      <w:r>
        <w:t>–</w:t>
      </w:r>
      <w:r w:rsidRPr="00130B54">
        <w:t>18</w:t>
      </w:r>
      <w:r w:rsidRPr="00130B54">
        <w:tab/>
        <w:t>4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tab/>
      </w:r>
      <w:r w:rsidRPr="00130B54">
        <w:rPr>
          <w:lang w:val="en-GB"/>
        </w:rPr>
        <w:t>A</w:t>
      </w:r>
      <w:r w:rsidRPr="00130B54">
        <w:t>.</w:t>
      </w:r>
      <w:r w:rsidRPr="00130B54">
        <w:tab/>
        <w:t>Статус Соглашения</w:t>
      </w:r>
      <w:r w:rsidRPr="00130B54">
        <w:tab/>
      </w:r>
      <w:r w:rsidRPr="00130B54">
        <w:tab/>
        <w:t>11</w:t>
      </w:r>
      <w:r w:rsidRPr="00130B54">
        <w:tab/>
        <w:t>4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tab/>
      </w:r>
      <w:r w:rsidRPr="00130B54">
        <w:rPr>
          <w:lang w:val="en-GB"/>
        </w:rPr>
        <w:t>B</w:t>
      </w:r>
      <w:r w:rsidRPr="00130B54">
        <w:t>.</w:t>
      </w:r>
      <w:r w:rsidRPr="00130B54">
        <w:tab/>
        <w:t>Группа экспертов по ЕСТР</w:t>
      </w:r>
      <w:r w:rsidRPr="00130B54">
        <w:tab/>
      </w:r>
      <w:r w:rsidRPr="00130B54">
        <w:tab/>
        <w:t>12</w:t>
      </w:r>
      <w:r>
        <w:t>–</w:t>
      </w:r>
      <w:r w:rsidR="007B4D55">
        <w:t>18</w:t>
      </w:r>
      <w:r w:rsidR="007B4D55">
        <w:tab/>
        <w:t>5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V</w:t>
      </w:r>
      <w:r w:rsidRPr="00130B54">
        <w:t>.</w:t>
      </w:r>
      <w:r w:rsidRPr="00130B54">
        <w:tab/>
        <w:t xml:space="preserve">Европейское соглашение о международных автомагистралях (СМА) </w:t>
      </w:r>
      <w:r w:rsidR="009D19A3">
        <w:br/>
      </w:r>
      <w:r w:rsidR="009D19A3">
        <w:tab/>
      </w:r>
      <w:r w:rsidR="009D19A3">
        <w:tab/>
      </w:r>
      <w:r w:rsidRPr="00130B54">
        <w:t>(пункт 4 повестки дня)</w:t>
      </w:r>
      <w:r w:rsidRPr="00130B54">
        <w:tab/>
      </w:r>
      <w:r w:rsidRPr="00130B54">
        <w:tab/>
        <w:t>19</w:t>
      </w:r>
      <w:r>
        <w:t>–</w:t>
      </w:r>
      <w:r w:rsidR="007B4D55">
        <w:t>23</w:t>
      </w:r>
      <w:r w:rsidR="007B4D55">
        <w:tab/>
        <w:t>6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tab/>
      </w:r>
      <w:r w:rsidRPr="00130B54">
        <w:rPr>
          <w:lang w:val="en-GB"/>
        </w:rPr>
        <w:t>A</w:t>
      </w:r>
      <w:r w:rsidR="007B4D55">
        <w:t>.</w:t>
      </w:r>
      <w:r w:rsidR="007B4D55">
        <w:tab/>
        <w:t>Статус Соглашения</w:t>
      </w:r>
      <w:r w:rsidR="007B4D55">
        <w:tab/>
      </w:r>
      <w:r w:rsidR="007B4D55">
        <w:tab/>
        <w:t>19</w:t>
      </w:r>
      <w:r w:rsidR="007B4D55">
        <w:tab/>
        <w:t>6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tab/>
      </w:r>
      <w:r w:rsidRPr="00130B54">
        <w:rPr>
          <w:lang w:val="en-GB"/>
        </w:rPr>
        <w:t>B</w:t>
      </w:r>
      <w:r w:rsidRPr="00130B54">
        <w:t>.</w:t>
      </w:r>
      <w:r w:rsidRPr="00130B54">
        <w:tab/>
        <w:t>Поправки к Соглашению</w:t>
      </w:r>
      <w:r w:rsidRPr="00130B54">
        <w:tab/>
      </w:r>
      <w:r w:rsidRPr="00130B54">
        <w:tab/>
        <w:t>20</w:t>
      </w:r>
      <w:r>
        <w:t>–</w:t>
      </w:r>
      <w:r w:rsidR="007B4D55">
        <w:t>21</w:t>
      </w:r>
      <w:r w:rsidR="007B4D55">
        <w:tab/>
        <w:t>6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tab/>
      </w:r>
      <w:r w:rsidRPr="00130B54">
        <w:rPr>
          <w:lang w:val="en-GB"/>
        </w:rPr>
        <w:t>C</w:t>
      </w:r>
      <w:r w:rsidRPr="00130B54">
        <w:t>.</w:t>
      </w:r>
      <w:r w:rsidRPr="00130B54">
        <w:tab/>
        <w:t>Сводный текст Соглашения</w:t>
      </w:r>
      <w:r w:rsidRPr="00130B54">
        <w:tab/>
      </w:r>
      <w:r w:rsidRPr="00130B54">
        <w:tab/>
        <w:t>22</w:t>
      </w:r>
      <w:r>
        <w:t>–</w:t>
      </w:r>
      <w:r w:rsidR="007B4D55">
        <w:t>23</w:t>
      </w:r>
      <w:r w:rsidR="007B4D55">
        <w:tab/>
        <w:t>6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lastRenderedPageBreak/>
        <w:tab/>
      </w:r>
      <w:r w:rsidRPr="00130B54">
        <w:rPr>
          <w:lang w:val="en-GB"/>
        </w:rPr>
        <w:t>VI</w:t>
      </w:r>
      <w:r w:rsidRPr="00130B54">
        <w:t>.</w:t>
      </w:r>
      <w:r w:rsidRPr="00130B54">
        <w:tab/>
        <w:t xml:space="preserve">Проект Трансъевропейской магистрали Север−Юг (ТЕА) </w:t>
      </w:r>
      <w:r w:rsidRPr="00130B54">
        <w:br/>
      </w:r>
      <w:r w:rsidRPr="00130B54">
        <w:tab/>
      </w:r>
      <w:r w:rsidRPr="00130B54">
        <w:tab/>
      </w:r>
      <w:r w:rsidR="007B4D55">
        <w:t>(пункт 5 повестки дня)</w:t>
      </w:r>
      <w:r w:rsidR="007B4D55">
        <w:tab/>
      </w:r>
      <w:r w:rsidR="007B4D55">
        <w:tab/>
        <w:t>24</w:t>
      </w:r>
      <w:r w:rsidR="007B4D55">
        <w:tab/>
        <w:t>6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VII</w:t>
      </w:r>
      <w:r w:rsidRPr="00130B54">
        <w:t>.</w:t>
      </w:r>
      <w:r w:rsidRPr="00130B54">
        <w:tab/>
        <w:t xml:space="preserve">Конвенция о договоре международной дорожной перевозки </w:t>
      </w:r>
      <w:r w:rsidRPr="00130B54">
        <w:br/>
      </w:r>
      <w:r w:rsidRPr="00130B54">
        <w:tab/>
      </w:r>
      <w:r w:rsidRPr="00130B54">
        <w:tab/>
        <w:t>грузов (КДПГ) (пункт 6 повестки дня)</w:t>
      </w:r>
      <w:r w:rsidRPr="00130B54">
        <w:tab/>
      </w:r>
      <w:r w:rsidRPr="00130B54">
        <w:tab/>
        <w:t>25</w:t>
      </w:r>
      <w:r>
        <w:t>–</w:t>
      </w:r>
      <w:r w:rsidR="007B4D55">
        <w:t>30</w:t>
      </w:r>
      <w:r w:rsidR="007B4D55">
        <w:tab/>
        <w:t>7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tab/>
      </w:r>
      <w:r w:rsidRPr="00130B54">
        <w:rPr>
          <w:lang w:val="en-GB"/>
        </w:rPr>
        <w:t>A</w:t>
      </w:r>
      <w:r w:rsidR="007B4D55">
        <w:t>.</w:t>
      </w:r>
      <w:r w:rsidR="007B4D55">
        <w:tab/>
        <w:t>Статус Конвенции</w:t>
      </w:r>
      <w:r w:rsidR="007B4D55">
        <w:tab/>
      </w:r>
      <w:r w:rsidR="007B4D55">
        <w:tab/>
        <w:t>25</w:t>
      </w:r>
      <w:r w:rsidR="007B4D55">
        <w:tab/>
        <w:t>7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tab/>
      </w:r>
      <w:r w:rsidRPr="00130B54">
        <w:rPr>
          <w:lang w:val="en-GB"/>
        </w:rPr>
        <w:t>B</w:t>
      </w:r>
      <w:r w:rsidRPr="00130B54">
        <w:t>.</w:t>
      </w:r>
      <w:r w:rsidRPr="00130B54">
        <w:tab/>
        <w:t xml:space="preserve">Протокол к Конвенции о договоре международной дорожной </w:t>
      </w:r>
      <w:r w:rsidRPr="00130B54">
        <w:br/>
      </w:r>
      <w:r w:rsidRPr="00130B54">
        <w:tab/>
      </w:r>
      <w:r w:rsidRPr="00130B54">
        <w:tab/>
      </w:r>
      <w:r w:rsidRPr="00130B54">
        <w:tab/>
      </w:r>
      <w:r w:rsidR="007B4D55">
        <w:t>перевозки грузов (КДПГ)</w:t>
      </w:r>
      <w:r w:rsidR="007B4D55">
        <w:tab/>
      </w:r>
      <w:r w:rsidR="007B4D55">
        <w:tab/>
        <w:t>26</w:t>
      </w:r>
      <w:r w:rsidR="007B4D55">
        <w:tab/>
        <w:t>7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tab/>
      </w:r>
      <w:r w:rsidRPr="00130B54">
        <w:rPr>
          <w:lang w:val="en-GB"/>
        </w:rPr>
        <w:t>C</w:t>
      </w:r>
      <w:r w:rsidRPr="00130B54">
        <w:t>.</w:t>
      </w:r>
      <w:r w:rsidRPr="00130B54">
        <w:tab/>
        <w:t xml:space="preserve">Дополнительный протокол к КДПГ, касающийся электронной </w:t>
      </w:r>
      <w:r w:rsidR="007B4D55">
        <w:br/>
      </w:r>
      <w:r w:rsidR="007B4D55">
        <w:tab/>
      </w:r>
      <w:r w:rsidR="007B4D55">
        <w:tab/>
      </w:r>
      <w:r w:rsidR="007B4D55">
        <w:tab/>
      </w:r>
      <w:r w:rsidRPr="00130B54">
        <w:t>накладной</w:t>
      </w:r>
      <w:r w:rsidRPr="00130B54">
        <w:tab/>
      </w:r>
      <w:r w:rsidR="007B4D55">
        <w:tab/>
      </w:r>
      <w:r w:rsidRPr="00130B54">
        <w:t>27</w:t>
      </w:r>
      <w:r>
        <w:t>–</w:t>
      </w:r>
      <w:r w:rsidR="007B4D55">
        <w:t>30</w:t>
      </w:r>
      <w:r w:rsidR="007B4D55">
        <w:tab/>
        <w:t>7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VIII</w:t>
      </w:r>
      <w:r w:rsidRPr="00985591">
        <w:t>.</w:t>
      </w:r>
      <w:r w:rsidRPr="00985591">
        <w:tab/>
      </w:r>
      <w:r w:rsidRPr="00130B54">
        <w:t xml:space="preserve">Облегчение международных автомобильных перевозок </w:t>
      </w:r>
      <w:r w:rsidRPr="00130B54">
        <w:br/>
      </w:r>
      <w:r w:rsidRPr="00130B54">
        <w:tab/>
      </w:r>
      <w:r w:rsidRPr="00130B54">
        <w:tab/>
        <w:t xml:space="preserve">(пункт </w:t>
      </w:r>
      <w:r w:rsidR="009D19A3">
        <w:t>7</w:t>
      </w:r>
      <w:r w:rsidRPr="00130B54">
        <w:t xml:space="preserve"> повестки дня)</w:t>
      </w:r>
      <w:r w:rsidRPr="00130B54">
        <w:tab/>
      </w:r>
      <w:r w:rsidRPr="00130B54">
        <w:tab/>
        <w:t>31</w:t>
      </w:r>
      <w:r>
        <w:t>–</w:t>
      </w:r>
      <w:r w:rsidRPr="00130B54">
        <w:t>39</w:t>
      </w:r>
      <w:r w:rsidRPr="00130B54">
        <w:tab/>
        <w:t>7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tab/>
      </w:r>
      <w:r w:rsidRPr="00130B54">
        <w:rPr>
          <w:lang w:val="en-GB"/>
        </w:rPr>
        <w:t>A</w:t>
      </w:r>
      <w:r w:rsidRPr="00130B54">
        <w:t>.</w:t>
      </w:r>
      <w:r w:rsidRPr="00130B54">
        <w:tab/>
        <w:t xml:space="preserve">Международная система страхования автотранспортных </w:t>
      </w:r>
      <w:r w:rsidRPr="00130B54">
        <w:br/>
      </w:r>
      <w:r w:rsidRPr="00130B54">
        <w:tab/>
      </w:r>
      <w:r w:rsidRPr="00130B54">
        <w:tab/>
      </w:r>
      <w:r w:rsidRPr="00130B54">
        <w:tab/>
        <w:t>средств (</w:t>
      </w:r>
      <w:r>
        <w:t>«</w:t>
      </w:r>
      <w:r w:rsidRPr="00130B54">
        <w:t>Зеленая карта</w:t>
      </w:r>
      <w:r>
        <w:t>»</w:t>
      </w:r>
      <w:r w:rsidRPr="00130B54">
        <w:t>)</w:t>
      </w:r>
      <w:r w:rsidRPr="00130B54">
        <w:tab/>
      </w:r>
      <w:r w:rsidRPr="00130B54">
        <w:tab/>
        <w:t>31</w:t>
      </w:r>
      <w:r w:rsidRPr="00130B54">
        <w:tab/>
        <w:t>7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tab/>
      </w:r>
      <w:r w:rsidRPr="00130B54">
        <w:rPr>
          <w:lang w:val="en-GB"/>
        </w:rPr>
        <w:t>B</w:t>
      </w:r>
      <w:r w:rsidRPr="00130B54">
        <w:t>.</w:t>
      </w:r>
      <w:r w:rsidRPr="00130B54">
        <w:tab/>
        <w:t xml:space="preserve">Предложение по глобальному многостороннему соглашению </w:t>
      </w:r>
      <w:r w:rsidRPr="00985591">
        <w:br/>
      </w:r>
      <w:r w:rsidRPr="00985591">
        <w:tab/>
      </w:r>
      <w:r w:rsidRPr="00985591">
        <w:tab/>
      </w:r>
      <w:r w:rsidRPr="00985591">
        <w:tab/>
      </w:r>
      <w:r w:rsidRPr="00130B54">
        <w:t xml:space="preserve">о международных регулярных перевозках пассажиров </w:t>
      </w:r>
      <w:r w:rsidRPr="00130B54">
        <w:br/>
      </w:r>
      <w:r w:rsidRPr="00130B54">
        <w:tab/>
      </w:r>
      <w:r w:rsidRPr="00130B54">
        <w:tab/>
      </w:r>
      <w:r w:rsidRPr="00130B54">
        <w:tab/>
        <w:t>междугородными и городскими автобусами (</w:t>
      </w:r>
      <w:r>
        <w:t>«</w:t>
      </w:r>
      <w:r w:rsidRPr="00130B54">
        <w:t>ОмниБУС</w:t>
      </w:r>
      <w:r>
        <w:t>»</w:t>
      </w:r>
      <w:r w:rsidRPr="00130B54">
        <w:t>)</w:t>
      </w:r>
      <w:r w:rsidRPr="00130B54">
        <w:tab/>
      </w:r>
      <w:r w:rsidRPr="00130B54">
        <w:tab/>
        <w:t>32</w:t>
      </w:r>
      <w:r>
        <w:t>–</w:t>
      </w:r>
      <w:r w:rsidR="007B4D55">
        <w:t>34</w:t>
      </w:r>
      <w:r w:rsidR="007B4D55">
        <w:tab/>
        <w:t>8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tab/>
      </w:r>
      <w:r w:rsidRPr="00130B54">
        <w:rPr>
          <w:lang w:val="en-GB"/>
        </w:rPr>
        <w:t>C</w:t>
      </w:r>
      <w:r w:rsidRPr="00130B54">
        <w:t>.</w:t>
      </w:r>
      <w:r w:rsidRPr="00130B54">
        <w:tab/>
        <w:t xml:space="preserve">Количественные ограничения на международные автомобильные </w:t>
      </w:r>
      <w:r w:rsidR="000D7A50">
        <w:br/>
      </w:r>
      <w:r w:rsidR="000D7A50">
        <w:tab/>
      </w:r>
      <w:r w:rsidR="000D7A50">
        <w:tab/>
      </w:r>
      <w:r w:rsidR="000D7A50">
        <w:tab/>
      </w:r>
      <w:r w:rsidRPr="00130B54">
        <w:t>перевозки грузов</w:t>
      </w:r>
      <w:r w:rsidRPr="00130B54">
        <w:tab/>
      </w:r>
      <w:r w:rsidRPr="00130B54">
        <w:tab/>
        <w:t>35</w:t>
      </w:r>
      <w:r>
        <w:t>–</w:t>
      </w:r>
      <w:r w:rsidR="007B4D55">
        <w:t>38</w:t>
      </w:r>
      <w:r w:rsidR="007B4D55">
        <w:tab/>
        <w:t>8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tab/>
      </w:r>
      <w:r w:rsidRPr="00130B54">
        <w:rPr>
          <w:lang w:val="en-GB"/>
        </w:rPr>
        <w:t>D</w:t>
      </w:r>
      <w:r w:rsidRPr="00130B54">
        <w:t>.</w:t>
      </w:r>
      <w:r w:rsidRPr="00130B54">
        <w:tab/>
        <w:t xml:space="preserve">Связь между происхождением товаров и транспортными </w:t>
      </w:r>
      <w:r w:rsidRPr="00130B54">
        <w:br/>
      </w:r>
      <w:r w:rsidRPr="00130B54">
        <w:tab/>
      </w:r>
      <w:r w:rsidRPr="00130B54">
        <w:tab/>
      </w:r>
      <w:r w:rsidRPr="00130B54">
        <w:tab/>
      </w:r>
      <w:r w:rsidR="007B4D55">
        <w:t>операциями</w:t>
      </w:r>
      <w:r w:rsidR="007B4D55">
        <w:tab/>
      </w:r>
      <w:r w:rsidR="007B4D55">
        <w:tab/>
        <w:t>39</w:t>
      </w:r>
      <w:r w:rsidR="007B4D55">
        <w:tab/>
        <w:t>9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IX</w:t>
      </w:r>
      <w:r w:rsidRPr="00130B54">
        <w:t>.</w:t>
      </w:r>
      <w:r w:rsidRPr="00130B54">
        <w:tab/>
        <w:t xml:space="preserve">Группа экспертов по безопасности на железнодорожных переездах </w:t>
      </w:r>
      <w:r w:rsidRPr="00130B54">
        <w:br/>
      </w:r>
      <w:r w:rsidRPr="00130B54">
        <w:tab/>
      </w:r>
      <w:r w:rsidRPr="00130B54">
        <w:tab/>
      </w:r>
      <w:r w:rsidR="007B4D55">
        <w:t>(пункт 8 повестки дня)</w:t>
      </w:r>
      <w:r w:rsidR="007B4D55">
        <w:tab/>
      </w:r>
      <w:r w:rsidR="007B4D55">
        <w:tab/>
        <w:t>40</w:t>
      </w:r>
      <w:r w:rsidR="007B4D55">
        <w:tab/>
        <w:t>9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X</w:t>
      </w:r>
      <w:r w:rsidRPr="00130B54">
        <w:t>.</w:t>
      </w:r>
      <w:r w:rsidRPr="00130B54">
        <w:tab/>
        <w:t xml:space="preserve">Пересмотр круга ведения и правил процедуры SC.1 </w:t>
      </w:r>
      <w:r w:rsidRPr="00130B54">
        <w:br/>
      </w:r>
      <w:r w:rsidRPr="00130B54">
        <w:tab/>
      </w:r>
      <w:r w:rsidRPr="00130B54">
        <w:tab/>
      </w:r>
      <w:r w:rsidR="007B4D55">
        <w:t>(пункт 9 повестки дня)</w:t>
      </w:r>
      <w:r w:rsidR="007B4D55">
        <w:tab/>
      </w:r>
      <w:r w:rsidR="007B4D55">
        <w:tab/>
        <w:t>41</w:t>
      </w:r>
      <w:r w:rsidR="007B4D55">
        <w:tab/>
        <w:t>10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XI</w:t>
      </w:r>
      <w:r w:rsidRPr="00130B54">
        <w:t>.</w:t>
      </w:r>
      <w:r w:rsidRPr="00130B54">
        <w:tab/>
        <w:t xml:space="preserve">Программа работы и двухгодичная оценка </w:t>
      </w:r>
      <w:r w:rsidR="007B4D55">
        <w:t>(пункт 10 повестки дня)</w:t>
      </w:r>
      <w:r w:rsidR="007B4D55">
        <w:tab/>
      </w:r>
      <w:r w:rsidR="007B4D55">
        <w:tab/>
        <w:t>42</w:t>
      </w:r>
      <w:r w:rsidR="007B4D55">
        <w:tab/>
        <w:t>10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XII</w:t>
      </w:r>
      <w:r w:rsidRPr="00130B54">
        <w:t>.</w:t>
      </w:r>
      <w:r w:rsidRPr="00130B54">
        <w:tab/>
        <w:t>Прочие вопро</w:t>
      </w:r>
      <w:r w:rsidR="007B4D55">
        <w:t>сы (пункт 11 повестки дня)</w:t>
      </w:r>
      <w:r w:rsidR="007B4D55">
        <w:tab/>
      </w:r>
      <w:r w:rsidR="007B4D55">
        <w:tab/>
        <w:t>43</w:t>
      </w:r>
      <w:r w:rsidR="007B4D55">
        <w:tab/>
        <w:t>10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XIII</w:t>
      </w:r>
      <w:r w:rsidR="008F0098">
        <w:t>.</w:t>
      </w:r>
      <w:r w:rsidRPr="00130B54">
        <w:tab/>
        <w:t>Сроки проведения следующей сесс</w:t>
      </w:r>
      <w:r w:rsidR="000D7A50">
        <w:t>ии (пункт 12 повестки дня)</w:t>
      </w:r>
      <w:r w:rsidR="000D7A50">
        <w:tab/>
      </w:r>
      <w:r w:rsidR="000D7A50">
        <w:tab/>
        <w:t>44</w:t>
      </w:r>
      <w:r w:rsidR="000D7A50">
        <w:tab/>
        <w:t>10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XIV</w:t>
      </w:r>
      <w:r w:rsidR="008F0098">
        <w:t>.</w:t>
      </w:r>
      <w:r w:rsidRPr="00130B54">
        <w:tab/>
        <w:t>Выборы должностных л</w:t>
      </w:r>
      <w:r w:rsidR="000D7A50">
        <w:t>иц (пункт 13 повестки дня)</w:t>
      </w:r>
      <w:r w:rsidR="000D7A50">
        <w:tab/>
      </w:r>
      <w:r w:rsidR="000D7A50">
        <w:tab/>
        <w:t>45</w:t>
      </w:r>
      <w:r w:rsidR="000D7A50">
        <w:tab/>
        <w:t>11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XV</w:t>
      </w:r>
      <w:r w:rsidRPr="00130B54">
        <w:t>.</w:t>
      </w:r>
      <w:r w:rsidRPr="00130B54">
        <w:tab/>
        <w:t>Утверждение докла</w:t>
      </w:r>
      <w:r w:rsidR="000D7A50">
        <w:t>да (пункт 14 повестки дня)</w:t>
      </w:r>
      <w:r w:rsidR="000D7A50">
        <w:tab/>
      </w:r>
      <w:r w:rsidR="000D7A50">
        <w:tab/>
        <w:t>46</w:t>
      </w:r>
      <w:r w:rsidR="000D7A50">
        <w:tab/>
        <w:t>11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130B54">
        <w:t>Приложения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I</w:t>
      </w:r>
      <w:r w:rsidRPr="00130B54">
        <w:t>.</w:t>
      </w:r>
      <w:r w:rsidRPr="00130B54">
        <w:tab/>
        <w:t xml:space="preserve">Предложение о поправке к приложению I к Европейскому соглашению </w:t>
      </w:r>
      <w:r w:rsidRPr="00130B54">
        <w:br/>
      </w:r>
      <w:r w:rsidRPr="00130B54">
        <w:tab/>
      </w:r>
      <w:r w:rsidRPr="00130B54">
        <w:tab/>
        <w:t>о междуна</w:t>
      </w:r>
      <w:r w:rsidR="000D7A50">
        <w:t>родных автомагистралях (СМА)</w:t>
      </w:r>
      <w:r w:rsidR="000D7A50">
        <w:tab/>
      </w:r>
      <w:r w:rsidR="000D7A50">
        <w:tab/>
        <w:t>12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II</w:t>
      </w:r>
      <w:r w:rsidRPr="00130B54">
        <w:t>.</w:t>
      </w:r>
      <w:r w:rsidRPr="00130B54">
        <w:tab/>
        <w:t xml:space="preserve">Предложение о поправке к приложению I к Европейскому соглашению </w:t>
      </w:r>
      <w:r w:rsidRPr="00130B54">
        <w:br/>
      </w:r>
      <w:r>
        <w:tab/>
      </w:r>
      <w:r>
        <w:tab/>
      </w:r>
      <w:r w:rsidRPr="00130B54">
        <w:t>о междуна</w:t>
      </w:r>
      <w:r w:rsidR="000D7A50">
        <w:t>родных автомагистралях (СМА)</w:t>
      </w:r>
      <w:r w:rsidR="000D7A50">
        <w:tab/>
      </w:r>
      <w:r w:rsidR="000D7A50">
        <w:tab/>
        <w:t>13</w:t>
      </w:r>
    </w:p>
    <w:p w:rsidR="00985591" w:rsidRPr="00130B54" w:rsidRDefault="00985591" w:rsidP="0098559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ind w:left="0" w:right="0"/>
        <w:jc w:val="left"/>
      </w:pPr>
      <w:r w:rsidRPr="00130B54">
        <w:tab/>
      </w:r>
      <w:r w:rsidRPr="00130B54">
        <w:rPr>
          <w:lang w:val="en-GB"/>
        </w:rPr>
        <w:t>III</w:t>
      </w:r>
      <w:r w:rsidRPr="00130B54">
        <w:t>.</w:t>
      </w:r>
      <w:r w:rsidRPr="00130B54">
        <w:tab/>
        <w:t>Резолюция SC.1 для представления сессии КВТ 2017 го</w:t>
      </w:r>
      <w:r w:rsidR="000D7A50">
        <w:t>да</w:t>
      </w:r>
      <w:r w:rsidR="000D7A50">
        <w:tab/>
      </w:r>
      <w:r w:rsidR="000D7A50">
        <w:tab/>
        <w:t>14</w:t>
      </w:r>
    </w:p>
    <w:p w:rsidR="00C15209" w:rsidRDefault="00C15209">
      <w:pPr>
        <w:spacing w:line="240" w:lineRule="auto"/>
      </w:pPr>
      <w:r>
        <w:br w:type="page"/>
      </w:r>
    </w:p>
    <w:p w:rsidR="00C15209" w:rsidRPr="00C15209" w:rsidRDefault="00C15209" w:rsidP="00611771">
      <w:pPr>
        <w:pStyle w:val="HChGR"/>
      </w:pPr>
      <w:r w:rsidRPr="00C15209">
        <w:lastRenderedPageBreak/>
        <w:tab/>
        <w:t>I.</w:t>
      </w:r>
      <w:r w:rsidRPr="00C15209">
        <w:tab/>
        <w:t>Участники</w:t>
      </w:r>
    </w:p>
    <w:p w:rsidR="00C15209" w:rsidRPr="00C15209" w:rsidRDefault="00C15209" w:rsidP="00C15209">
      <w:pPr>
        <w:pStyle w:val="SingleTxtGR"/>
      </w:pPr>
      <w:r w:rsidRPr="00C15209">
        <w:t>1.</w:t>
      </w:r>
      <w:r w:rsidRPr="00C15209">
        <w:tab/>
        <w:t xml:space="preserve">Рабочая группа по автомобильному транспорту (SC.1) провела свою </w:t>
      </w:r>
      <w:r w:rsidR="00985591">
        <w:br/>
      </w:r>
      <w:r w:rsidRPr="00C15209">
        <w:t>111-ю сессию 25–26 октября 2016 года под председательством г-на Р. Симоне</w:t>
      </w:r>
      <w:r w:rsidRPr="00C15209">
        <w:t>н</w:t>
      </w:r>
      <w:r w:rsidRPr="00C15209">
        <w:t xml:space="preserve">ко (Украина). На сессии были представлены следующие государства − члены Европейской экономической комиссии Организации Объединенных Наций (ЕЭК ООН): Австрия, Азербайджан, Венгрия, Германия, Италия, Латвия, </w:t>
      </w:r>
      <w:r w:rsidR="00985591">
        <w:br/>
      </w:r>
      <w:r w:rsidRPr="00C15209">
        <w:t xml:space="preserve">Нидерланды, Норвегия, Польша, Словакия, Турция, Украина, Швейцария и Швеция. </w:t>
      </w:r>
    </w:p>
    <w:p w:rsidR="00C15209" w:rsidRPr="00C15209" w:rsidRDefault="00C15209" w:rsidP="00C15209">
      <w:pPr>
        <w:pStyle w:val="SingleTxtGR"/>
      </w:pPr>
      <w:r w:rsidRPr="00C15209">
        <w:t>2.</w:t>
      </w:r>
      <w:r w:rsidRPr="00C15209">
        <w:tab/>
        <w:t>На сессии были представлены следующие государства, не являющиеся членами ЕЭК ООН: Алжир, Иордания и Тунис.</w:t>
      </w:r>
    </w:p>
    <w:p w:rsidR="00C15209" w:rsidRPr="00C15209" w:rsidRDefault="00C15209" w:rsidP="00C15209">
      <w:pPr>
        <w:pStyle w:val="SingleTxtGR"/>
      </w:pPr>
      <w:r w:rsidRPr="00C15209">
        <w:t>3.</w:t>
      </w:r>
      <w:r w:rsidRPr="00C15209">
        <w:tab/>
        <w:t>На сессии были также представлены Европейский союз (ЕС), ЕвроМед и следующие неправительственные организации: Совет страховых бюро (ССБ) и Международный союз автомобильного транспорта (МСАТ). В качестве набл</w:t>
      </w:r>
      <w:r w:rsidRPr="00C15209">
        <w:t>ю</w:t>
      </w:r>
      <w:r w:rsidRPr="00C15209">
        <w:t xml:space="preserve">дателя в ее работе принимала участие компания </w:t>
      </w:r>
      <w:r w:rsidR="00985591">
        <w:t>«</w:t>
      </w:r>
      <w:r w:rsidRPr="00C15209">
        <w:t>Континентал отомоутив ГмбХ</w:t>
      </w:r>
      <w:r w:rsidR="00985591">
        <w:t>»</w:t>
      </w:r>
      <w:r w:rsidRPr="00C15209">
        <w:t>.</w:t>
      </w:r>
    </w:p>
    <w:p w:rsidR="00C15209" w:rsidRPr="00C15209" w:rsidRDefault="00C15209" w:rsidP="00611771">
      <w:pPr>
        <w:pStyle w:val="HChGR"/>
      </w:pPr>
      <w:r w:rsidRPr="00C15209">
        <w:tab/>
        <w:t>II.</w:t>
      </w:r>
      <w:r w:rsidRPr="00C15209">
        <w:tab/>
        <w:t>Утверждение повестки дня (пункт 1 повестки дня)</w:t>
      </w:r>
    </w:p>
    <w:p w:rsidR="00C15209" w:rsidRPr="00C15209" w:rsidRDefault="00C15209" w:rsidP="00C15209">
      <w:pPr>
        <w:pStyle w:val="SingleTxtGR"/>
      </w:pPr>
      <w:r w:rsidRPr="00C15209">
        <w:t>4.</w:t>
      </w:r>
      <w:r w:rsidRPr="00C15209">
        <w:tab/>
        <w:t>SC.1 утвердила повестку дня сессии, содержащуюся в документе ECE/TRANS/SC.1/405. Секретариат сообщил SC.1, что неофициальный док</w:t>
      </w:r>
      <w:r w:rsidRPr="00C15209">
        <w:t>у</w:t>
      </w:r>
      <w:r w:rsidRPr="00C15209">
        <w:t>мент № 1, упомянутый в пункте 4 с) повестки дня, был издан в качестве неоф</w:t>
      </w:r>
      <w:r w:rsidRPr="00C15209">
        <w:t>и</w:t>
      </w:r>
      <w:r w:rsidRPr="00C15209">
        <w:t>циального документа № 9. Секретариат выразил также сожаление по поводу т</w:t>
      </w:r>
      <w:r w:rsidRPr="00C15209">
        <w:t>о</w:t>
      </w:r>
      <w:r w:rsidRPr="00C15209">
        <w:t>го, что в аннотациях к пункту 13 повестки дня было пропущено имя заместит</w:t>
      </w:r>
      <w:r w:rsidRPr="00C15209">
        <w:t>е</w:t>
      </w:r>
      <w:r w:rsidRPr="00C15209">
        <w:t>ля Председателя г-на Кшиштофа Левчака из Польши. Наконец, секретариат проинформировал SC.1 о двух неофициальных документах (неофициальные д</w:t>
      </w:r>
      <w:r w:rsidRPr="00C15209">
        <w:t>о</w:t>
      </w:r>
      <w:r w:rsidRPr="00C15209">
        <w:t>кументы № 7 и 8), представленных непосредственно перед сессией правител</w:t>
      </w:r>
      <w:r w:rsidRPr="00C15209">
        <w:t>ь</w:t>
      </w:r>
      <w:r w:rsidRPr="00C15209">
        <w:t xml:space="preserve">ством Словакии от имени стран − членов ЕС, являющихся Договаривающимися сторонами ЕСТР. </w:t>
      </w:r>
    </w:p>
    <w:p w:rsidR="00C15209" w:rsidRPr="00C15209" w:rsidRDefault="00C15209" w:rsidP="00611771">
      <w:pPr>
        <w:pStyle w:val="HChGR"/>
      </w:pPr>
      <w:r w:rsidRPr="00C15209">
        <w:tab/>
        <w:t>III.</w:t>
      </w:r>
      <w:r w:rsidRPr="00C15209">
        <w:tab/>
        <w:t>Деятельность, представляющая интерес для Рабочей группы (пункт 2 повестки дня)</w:t>
      </w:r>
    </w:p>
    <w:p w:rsidR="00C15209" w:rsidRPr="00C15209" w:rsidRDefault="00C15209" w:rsidP="00611771">
      <w:pPr>
        <w:pStyle w:val="H1GR"/>
      </w:pPr>
      <w:r w:rsidRPr="00C15209">
        <w:tab/>
        <w:t>A.</w:t>
      </w:r>
      <w:r w:rsidRPr="00C15209">
        <w:tab/>
        <w:t>Национальные делегации</w:t>
      </w:r>
    </w:p>
    <w:p w:rsidR="00C15209" w:rsidRPr="00C15209" w:rsidRDefault="00C15209" w:rsidP="00C15209">
      <w:pPr>
        <w:pStyle w:val="SingleTxtGR"/>
      </w:pPr>
      <w:r w:rsidRPr="00C15209">
        <w:t>5.</w:t>
      </w:r>
      <w:r w:rsidRPr="00C15209">
        <w:tab/>
        <w:t>Турция проинформировала SC.1 о двух турецких компаниях, которые з</w:t>
      </w:r>
      <w:r w:rsidRPr="00C15209">
        <w:t>а</w:t>
      </w:r>
      <w:r w:rsidRPr="00C15209">
        <w:t xml:space="preserve">вершили прохождение необходимых процедур сертификации для производства цифровых тахографов. Турция проинформировала также SC.1 о том, что все транспортные средства, зарегистрированные в Турции с 1996 года, должны быть оборудованы цифровым тахографом. </w:t>
      </w:r>
    </w:p>
    <w:p w:rsidR="00C15209" w:rsidRPr="00C15209" w:rsidRDefault="00C15209" w:rsidP="00611771">
      <w:pPr>
        <w:pStyle w:val="H1GR"/>
      </w:pPr>
      <w:r w:rsidRPr="00C15209">
        <w:tab/>
        <w:t>B.</w:t>
      </w:r>
      <w:r w:rsidRPr="00C15209">
        <w:tab/>
        <w:t>Международные организации</w:t>
      </w:r>
    </w:p>
    <w:p w:rsidR="00C15209" w:rsidRPr="00C15209" w:rsidRDefault="00C15209" w:rsidP="00C15209">
      <w:pPr>
        <w:pStyle w:val="SingleTxtGR"/>
      </w:pPr>
      <w:r w:rsidRPr="00C15209">
        <w:t>6.</w:t>
      </w:r>
      <w:r w:rsidRPr="00C15209">
        <w:tab/>
        <w:t>Европейская комиссия сообщила о текущем обзоре законодательства Е</w:t>
      </w:r>
      <w:r w:rsidRPr="00C15209">
        <w:t>в</w:t>
      </w:r>
      <w:r w:rsidRPr="00C15209">
        <w:t>ропейского союза в области автомобильного транспорта (561/2006), направле</w:t>
      </w:r>
      <w:r w:rsidRPr="00C15209">
        <w:t>н</w:t>
      </w:r>
      <w:r w:rsidRPr="00C15209">
        <w:t>ного на оценку его эффективности. После заключительного анализа будут пр</w:t>
      </w:r>
      <w:r w:rsidRPr="00C15209">
        <w:t>о</w:t>
      </w:r>
      <w:r w:rsidRPr="00C15209">
        <w:t>ведены общественные консультации и оценка воздействия. Новые законод</w:t>
      </w:r>
      <w:r w:rsidRPr="00C15209">
        <w:t>а</w:t>
      </w:r>
      <w:r w:rsidRPr="00C15209">
        <w:t>тельные предложения должны поступить не ранее середины 2017 года.</w:t>
      </w:r>
    </w:p>
    <w:p w:rsidR="00C15209" w:rsidRPr="00C15209" w:rsidRDefault="00C15209" w:rsidP="00C15209">
      <w:pPr>
        <w:pStyle w:val="SingleTxtGR"/>
      </w:pPr>
      <w:r w:rsidRPr="00C15209">
        <w:t>7.</w:t>
      </w:r>
      <w:r w:rsidRPr="00C15209">
        <w:tab/>
        <w:t>МСАТ проинформировал SC.1 об исследовании в области автономных транспортных средств, предпринятом совместно с Международным транспор</w:t>
      </w:r>
      <w:r w:rsidRPr="00C15209">
        <w:t>т</w:t>
      </w:r>
      <w:r w:rsidRPr="00C15209">
        <w:t>ным форумом (МТФ), Международной федерацией транспортников (МФТ) и изготовителями транспортных средств для оценки воздействия автоматизации на работников автомобильного транспорта. Результаты этого исследования б</w:t>
      </w:r>
      <w:r w:rsidRPr="00C15209">
        <w:t>у</w:t>
      </w:r>
      <w:r w:rsidRPr="00C15209">
        <w:t>дут представлены в 2017 году на Форуме МТФ в Лейпциге. Учитывая важность новых технологий, МСАТ предложил организовать на следующей сессии SC.1 семинар по вопросу о будущем автомобильного транспорта продолжительн</w:t>
      </w:r>
      <w:r w:rsidRPr="00C15209">
        <w:t>о</w:t>
      </w:r>
      <w:r w:rsidRPr="00C15209">
        <w:t>стью в полдня. Секретариат сообщил о деятельности Рабочей группой по бе</w:t>
      </w:r>
      <w:r w:rsidRPr="00C15209">
        <w:t>з</w:t>
      </w:r>
      <w:r w:rsidRPr="00C15209">
        <w:t xml:space="preserve">опасности дорожного движения в области автоматизированного и автономного вождения. </w:t>
      </w:r>
    </w:p>
    <w:p w:rsidR="00C15209" w:rsidRPr="00C15209" w:rsidRDefault="00C15209" w:rsidP="00C15209">
      <w:pPr>
        <w:pStyle w:val="SingleTxtGR"/>
      </w:pPr>
      <w:r w:rsidRPr="00C15209">
        <w:t>8.</w:t>
      </w:r>
      <w:r w:rsidRPr="00C15209">
        <w:tab/>
        <w:t xml:space="preserve">Турция сообщила SC.1 о работе Группы по автомобильному транспорту МТФ/ЕКМТ над </w:t>
      </w:r>
      <w:r w:rsidR="00985591">
        <w:t>«</w:t>
      </w:r>
      <w:r w:rsidRPr="00C15209">
        <w:t>Хартией качества</w:t>
      </w:r>
      <w:r w:rsidR="00985591">
        <w:t>»</w:t>
      </w:r>
      <w:r w:rsidRPr="00C15209">
        <w:t xml:space="preserve"> и о текущем обсуждении вопроса о сн</w:t>
      </w:r>
      <w:r w:rsidRPr="00C15209">
        <w:t>и</w:t>
      </w:r>
      <w:r w:rsidRPr="00C15209">
        <w:t>жении критериев для квот ЕКМТ исходя из соображений эффективности и р</w:t>
      </w:r>
      <w:r w:rsidRPr="00C15209">
        <w:t>е</w:t>
      </w:r>
      <w:r w:rsidRPr="00C15209">
        <w:t>альной необходимости. Турция сообщила также, что Всемирная торговая орг</w:t>
      </w:r>
      <w:r w:rsidRPr="00C15209">
        <w:t>а</w:t>
      </w:r>
      <w:r w:rsidRPr="00C15209">
        <w:t>низация начала переговоры по соглашению о торговле услугами, которое будет охватывать транспортные услуги и другие аспекты, такие как устранение бар</w:t>
      </w:r>
      <w:r w:rsidRPr="00C15209">
        <w:t>ь</w:t>
      </w:r>
      <w:r w:rsidRPr="00C15209">
        <w:t xml:space="preserve">еров и введение многоразовых въездных виз для водителей. </w:t>
      </w:r>
    </w:p>
    <w:p w:rsidR="00C15209" w:rsidRPr="00C15209" w:rsidRDefault="00C15209" w:rsidP="00611771">
      <w:pPr>
        <w:pStyle w:val="H1GR"/>
      </w:pPr>
      <w:r w:rsidRPr="00C15209">
        <w:tab/>
        <w:t>C.</w:t>
      </w:r>
      <w:r w:rsidRPr="00C15209">
        <w:tab/>
        <w:t>Деятельность органов ЕЭК ООН и других организаций системы Организации Объединенных Наций</w:t>
      </w:r>
    </w:p>
    <w:p w:rsidR="00C15209" w:rsidRPr="00C15209" w:rsidRDefault="00C15209" w:rsidP="00C15209">
      <w:pPr>
        <w:pStyle w:val="SingleTxtGR"/>
      </w:pPr>
      <w:r w:rsidRPr="00C15209">
        <w:t>9.</w:t>
      </w:r>
      <w:r w:rsidRPr="00C15209">
        <w:tab/>
        <w:t>Секретариат проинформировал SC.1 об итогах сессий Комитета по вну</w:t>
      </w:r>
      <w:r w:rsidRPr="00C15209">
        <w:t>т</w:t>
      </w:r>
      <w:r w:rsidRPr="00C15209">
        <w:t>реннему транспорту, его вспомогательных органов и других подразделений О</w:t>
      </w:r>
      <w:r w:rsidRPr="00C15209">
        <w:t>р</w:t>
      </w:r>
      <w:r w:rsidRPr="00C15209">
        <w:t>ганизации Объединенных Наций относительно вопросов, представляющих и</w:t>
      </w:r>
      <w:r w:rsidRPr="00C15209">
        <w:t>н</w:t>
      </w:r>
      <w:r w:rsidRPr="00C15209">
        <w:t>терес для Рабочей группы. В частности, секретариат сообщил SC.1 о ключевых решениях, принятых на семьдесят восьмой годовой сессии Комитета по вну</w:t>
      </w:r>
      <w:r w:rsidRPr="00C15209">
        <w:t>т</w:t>
      </w:r>
      <w:r w:rsidRPr="00C15209">
        <w:t>реннему транспорту (ECE/TRANS/254).</w:t>
      </w:r>
    </w:p>
    <w:p w:rsidR="00C15209" w:rsidRPr="00C15209" w:rsidRDefault="00C15209" w:rsidP="00C15209">
      <w:pPr>
        <w:pStyle w:val="SingleTxtGR"/>
      </w:pPr>
      <w:r w:rsidRPr="00C15209">
        <w:t>10.</w:t>
      </w:r>
      <w:r w:rsidRPr="00C15209">
        <w:tab/>
        <w:t>Секретариат напомнил SC.1, что меморандум о взаимопонимании с Об</w:t>
      </w:r>
      <w:r w:rsidRPr="00C15209">
        <w:t>ъ</w:t>
      </w:r>
      <w:r w:rsidRPr="00C15209">
        <w:t>единенным исследовательским центром (ОИЦ), признающий ОИЦ в качестве главного сертифицирующего органа ЕСТР и центра сертификации эксплуат</w:t>
      </w:r>
      <w:r w:rsidRPr="00C15209">
        <w:t>а</w:t>
      </w:r>
      <w:r w:rsidRPr="00C15209">
        <w:t>ционной совместимости для Договаривающихся сторон ЕСТР, не являющихся членами ЕС, истекает в конце июня 2017 года и что необходимо принять соо</w:t>
      </w:r>
      <w:r w:rsidRPr="00C15209">
        <w:t>т</w:t>
      </w:r>
      <w:r w:rsidRPr="00C15209">
        <w:t xml:space="preserve">ветствующие меры для его продления еще на два года. </w:t>
      </w:r>
    </w:p>
    <w:p w:rsidR="00C15209" w:rsidRPr="00C15209" w:rsidRDefault="00C15209" w:rsidP="00611771">
      <w:pPr>
        <w:pStyle w:val="HChGR"/>
      </w:pPr>
      <w:r w:rsidRPr="00C15209">
        <w:tab/>
        <w:t>IV.</w:t>
      </w:r>
      <w:r w:rsidRPr="00C15209">
        <w:tab/>
        <w:t>Европейское соглашение, касающееся работы экипажей транспортных средств, производящих международные автомобильные перевозки (ЕСТР) (пункт 3 повестки дня)</w:t>
      </w:r>
    </w:p>
    <w:p w:rsidR="00C15209" w:rsidRPr="00C15209" w:rsidRDefault="00C15209" w:rsidP="00611771">
      <w:pPr>
        <w:pStyle w:val="H1GR"/>
      </w:pPr>
      <w:r w:rsidRPr="00C15209">
        <w:tab/>
        <w:t>A.</w:t>
      </w:r>
      <w:r w:rsidRPr="00C15209">
        <w:tab/>
        <w:t>Статус Соглашения</w:t>
      </w:r>
    </w:p>
    <w:p w:rsidR="00C15209" w:rsidRPr="00C15209" w:rsidRDefault="00C15209" w:rsidP="00C15209">
      <w:pPr>
        <w:pStyle w:val="SingleTxtGR"/>
      </w:pPr>
      <w:r w:rsidRPr="00C15209">
        <w:t>11.</w:t>
      </w:r>
      <w:r w:rsidRPr="00C15209">
        <w:tab/>
        <w:t>Секретариат проинформировал SC.1 о состоянии Соглашения ЕСТР и предложения по поправке, допускающей присоединение к Соглашению ЕСТР четырех стран, не являющихся членами ЕЭК ООН (Алжир, Иордания, Марокко и Тунис). Предложение о поправке было принято и вступит в силу 5 июля 2016</w:t>
      </w:r>
      <w:r w:rsidR="00EF6825">
        <w:t> </w:t>
      </w:r>
      <w:r w:rsidRPr="00C15209">
        <w:t xml:space="preserve">года. </w:t>
      </w:r>
    </w:p>
    <w:p w:rsidR="00C15209" w:rsidRPr="00C15209" w:rsidRDefault="00C15209" w:rsidP="00611771">
      <w:pPr>
        <w:pStyle w:val="H1GR"/>
      </w:pPr>
      <w:r w:rsidRPr="00C15209">
        <w:tab/>
        <w:t>В.</w:t>
      </w:r>
      <w:r w:rsidRPr="00C15209">
        <w:tab/>
        <w:t>Группа экспертов по ЕСТР</w:t>
      </w:r>
    </w:p>
    <w:p w:rsidR="00C15209" w:rsidRPr="00C15209" w:rsidRDefault="00C15209" w:rsidP="00C15209">
      <w:pPr>
        <w:pStyle w:val="SingleTxtGR"/>
      </w:pPr>
      <w:r w:rsidRPr="00C15209">
        <w:t>12.</w:t>
      </w:r>
      <w:r w:rsidRPr="00C15209">
        <w:tab/>
        <w:t>Председатель Группы экспертов по ЕСТР представил обновленную и</w:t>
      </w:r>
      <w:r w:rsidRPr="00C15209">
        <w:t>н</w:t>
      </w:r>
      <w:r w:rsidRPr="00C15209">
        <w:t>формацию о работе Группы экспертов по ЕСТР со времени проведения после</w:t>
      </w:r>
      <w:r w:rsidRPr="00C15209">
        <w:t>д</w:t>
      </w:r>
      <w:r w:rsidRPr="00C15209">
        <w:t xml:space="preserve">ней сессии SC.1. </w:t>
      </w:r>
    </w:p>
    <w:p w:rsidR="00C15209" w:rsidRPr="00C15209" w:rsidRDefault="00C15209" w:rsidP="00C15209">
      <w:pPr>
        <w:pStyle w:val="SingleTxtGR"/>
      </w:pPr>
      <w:r w:rsidRPr="00C15209">
        <w:t>13.</w:t>
      </w:r>
      <w:r w:rsidRPr="00C15209">
        <w:tab/>
        <w:t>Председатель Группы экспертов по ЕСТР сообщил SC.1, что правител</w:t>
      </w:r>
      <w:r w:rsidRPr="00C15209">
        <w:t>ь</w:t>
      </w:r>
      <w:r w:rsidRPr="00C15209">
        <w:t>ство Словакии представило предложение о поправке (неофициальный док</w:t>
      </w:r>
      <w:r w:rsidRPr="00C15209">
        <w:t>у</w:t>
      </w:r>
      <w:r w:rsidRPr="00C15209">
        <w:t>мент</w:t>
      </w:r>
      <w:r w:rsidR="00EF6825">
        <w:t> </w:t>
      </w:r>
      <w:r w:rsidRPr="00C15209">
        <w:t>№</w:t>
      </w:r>
      <w:r w:rsidR="00EF6825">
        <w:t> </w:t>
      </w:r>
      <w:r w:rsidRPr="00C15209">
        <w:t>7), предусматривающее включение новой статьи 10-бис. Группа экспе</w:t>
      </w:r>
      <w:r w:rsidRPr="00C15209">
        <w:t>р</w:t>
      </w:r>
      <w:r w:rsidRPr="00C15209">
        <w:t>тов рассмотрела этот документ и просила, чтобы предложение о поправке было представлено правительством Словакии с соблюдением надлежащих сроков в качестве официального документа на трех рабочих языках ЕЭК ООН на след</w:t>
      </w:r>
      <w:r w:rsidRPr="00C15209">
        <w:t>у</w:t>
      </w:r>
      <w:r w:rsidRPr="00C15209">
        <w:t xml:space="preserve">ющей сессии Рабочей группы по автомобильному транспорту. </w:t>
      </w:r>
    </w:p>
    <w:p w:rsidR="00C15209" w:rsidRPr="00C15209" w:rsidRDefault="00C15209" w:rsidP="00C15209">
      <w:pPr>
        <w:pStyle w:val="SingleTxtGR"/>
      </w:pPr>
      <w:r w:rsidRPr="00C15209">
        <w:t>14.</w:t>
      </w:r>
      <w:r w:rsidRPr="00C15209">
        <w:tab/>
        <w:t>Председатель Группы экспертов по ЕСТР сообщил также, что правител</w:t>
      </w:r>
      <w:r w:rsidRPr="00C15209">
        <w:t>ь</w:t>
      </w:r>
      <w:r w:rsidRPr="00C15209">
        <w:t>ство Словакии представило неофициальный документ № 8, в котором предлаг</w:t>
      </w:r>
      <w:r w:rsidRPr="00C15209">
        <w:t>а</w:t>
      </w:r>
      <w:r w:rsidRPr="00C15209">
        <w:t>ется внести поправки в статьи 14 и 22 и исключить статью 22-бис Соглашения ЕСТР. В соответствии с этим предложением все будущие поправки к добавл</w:t>
      </w:r>
      <w:r w:rsidRPr="00C15209">
        <w:t>е</w:t>
      </w:r>
      <w:r w:rsidRPr="00C15209">
        <w:t>ниям 1, 1В (недавно предложенному), 1C и 2 следует вносить с использованием (измененных) процедур, перечисленных в статье 22. Предложением предусма</w:t>
      </w:r>
      <w:r w:rsidRPr="00C15209">
        <w:t>т</w:t>
      </w:r>
      <w:r w:rsidRPr="00C15209">
        <w:t>ривается также уточнение всех соответствующих частей Соглашения ЕСТР для указания ссылок на регламенты ЕС 165/2014 и 2016/799. Европейский союз п</w:t>
      </w:r>
      <w:r w:rsidRPr="00C15209">
        <w:t>о</w:t>
      </w:r>
      <w:r w:rsidRPr="00C15209">
        <w:t xml:space="preserve">яснил важность того, чтобы </w:t>
      </w:r>
      <w:r w:rsidR="00985591">
        <w:t>«</w:t>
      </w:r>
      <w:r w:rsidRPr="00C15209">
        <w:t>интеллектуальные</w:t>
      </w:r>
      <w:r w:rsidR="00985591">
        <w:t>»</w:t>
      </w:r>
      <w:r w:rsidRPr="00C15209">
        <w:t xml:space="preserve"> тахографы признавались странами Договаривающихся сторон ЕСТР, не являющимися членами ЕС, нач</w:t>
      </w:r>
      <w:r w:rsidRPr="00C15209">
        <w:t>и</w:t>
      </w:r>
      <w:r w:rsidRPr="00C15209">
        <w:t xml:space="preserve">ная с июня 2019 года. </w:t>
      </w:r>
    </w:p>
    <w:p w:rsidR="00C15209" w:rsidRPr="00C15209" w:rsidRDefault="00C15209" w:rsidP="00C15209">
      <w:pPr>
        <w:pStyle w:val="SingleTxtGR"/>
      </w:pPr>
      <w:r w:rsidRPr="00C15209">
        <w:t>15.</w:t>
      </w:r>
      <w:r w:rsidRPr="00C15209">
        <w:tab/>
        <w:t>Турция отметила, что в целом она не поддерживает возможность получ</w:t>
      </w:r>
      <w:r w:rsidRPr="00C15209">
        <w:t>е</w:t>
      </w:r>
      <w:r w:rsidRPr="00C15209">
        <w:t>ния региональными организациями экономической интеграции права прис</w:t>
      </w:r>
      <w:r w:rsidRPr="00C15209">
        <w:t>о</w:t>
      </w:r>
      <w:r w:rsidRPr="00C15209">
        <w:t xml:space="preserve">единиться к Соглашению. Что касается внедрения </w:t>
      </w:r>
      <w:r w:rsidR="00985591">
        <w:t>«</w:t>
      </w:r>
      <w:r w:rsidRPr="00C15209">
        <w:t>интеллектуальных</w:t>
      </w:r>
      <w:r w:rsidR="00985591">
        <w:t>»</w:t>
      </w:r>
      <w:r w:rsidRPr="00C15209">
        <w:t xml:space="preserve"> тах</w:t>
      </w:r>
      <w:r w:rsidRPr="00C15209">
        <w:t>о</w:t>
      </w:r>
      <w:r w:rsidRPr="00C15209">
        <w:t xml:space="preserve">графов в Договаривающихся сторонах ЕСТР, не являющихся членами ЕС </w:t>
      </w:r>
      <w:r w:rsidR="00EF6825">
        <w:br/>
      </w:r>
      <w:r w:rsidRPr="00C15209">
        <w:t>(согласно предложению о включении ссылки на регламент 2016/799 в новое приложение 1C), то, по мнению Турции, необходимо также предусмотреть п</w:t>
      </w:r>
      <w:r w:rsidRPr="00C15209">
        <w:t>е</w:t>
      </w:r>
      <w:r w:rsidRPr="00C15209">
        <w:t xml:space="preserve">реходный период со ссылкой на статью 13. </w:t>
      </w:r>
    </w:p>
    <w:p w:rsidR="00C15209" w:rsidRPr="00C15209" w:rsidRDefault="00C15209" w:rsidP="00C15209">
      <w:pPr>
        <w:pStyle w:val="SingleTxtGR"/>
      </w:pPr>
      <w:r w:rsidRPr="00C15209">
        <w:t>16.</w:t>
      </w:r>
      <w:r w:rsidRPr="00C15209">
        <w:tab/>
        <w:t>По просьбе Группы экспертов предложение правительства Словакии б</w:t>
      </w:r>
      <w:r w:rsidRPr="00C15209">
        <w:t>у</w:t>
      </w:r>
      <w:r w:rsidRPr="00C15209">
        <w:t>дет представлено в качестве официального документа на следующей сессии Группы экспертов, с тем чтобы она могла изучить, в частности, предлагаемые изменения процедуры внесения поправок, касающиеся предоставления орган</w:t>
      </w:r>
      <w:r w:rsidRPr="00C15209">
        <w:t>и</w:t>
      </w:r>
      <w:r w:rsidRPr="00C15209">
        <w:t>зациям региональной интеграции права присоединиться к Соглашению и вкл</w:t>
      </w:r>
      <w:r w:rsidRPr="00C15209">
        <w:t>ю</w:t>
      </w:r>
      <w:r w:rsidRPr="00C15209">
        <w:t xml:space="preserve">чения </w:t>
      </w:r>
      <w:r w:rsidR="00985591">
        <w:t>«</w:t>
      </w:r>
      <w:r w:rsidRPr="00C15209">
        <w:t>интеллектуальных</w:t>
      </w:r>
      <w:r w:rsidR="00985591">
        <w:t>»</w:t>
      </w:r>
      <w:r w:rsidRPr="00C15209">
        <w:t xml:space="preserve"> тахографов в Соглашение. </w:t>
      </w:r>
    </w:p>
    <w:p w:rsidR="00C15209" w:rsidRPr="00C15209" w:rsidRDefault="00C15209" w:rsidP="00C15209">
      <w:pPr>
        <w:pStyle w:val="SingleTxtGR"/>
      </w:pPr>
      <w:r w:rsidRPr="00C15209">
        <w:t>17.</w:t>
      </w:r>
      <w:r w:rsidRPr="00C15209">
        <w:tab/>
        <w:t>Председатель сообщил также SC.1 о том, что Турция представила Группе экспертов свой проект по созданию национального центра мониторинга данных о продолжительности периодов управления транспортным средством и отдыха.</w:t>
      </w:r>
    </w:p>
    <w:p w:rsidR="00C15209" w:rsidRPr="00C15209" w:rsidRDefault="00C15209" w:rsidP="00C15209">
      <w:pPr>
        <w:pStyle w:val="SingleTxtGR"/>
      </w:pPr>
      <w:r w:rsidRPr="00C15209">
        <w:t>18.</w:t>
      </w:r>
      <w:r w:rsidRPr="00C15209">
        <w:tab/>
        <w:t>SC.1 приняла к сведению представленную информацию и предложила Турции периодически информировать ее по этому вопросу.</w:t>
      </w:r>
    </w:p>
    <w:p w:rsidR="00C15209" w:rsidRPr="00C15209" w:rsidRDefault="00C15209" w:rsidP="00611771">
      <w:pPr>
        <w:pStyle w:val="HChGR"/>
      </w:pPr>
      <w:r w:rsidRPr="00C15209">
        <w:tab/>
        <w:t>V.</w:t>
      </w:r>
      <w:r w:rsidRPr="00C15209">
        <w:tab/>
        <w:t>Европейское соглашение о международных автомагистралях (СМА) (пункт 4 повестки дня)</w:t>
      </w:r>
    </w:p>
    <w:p w:rsidR="00C15209" w:rsidRPr="00C15209" w:rsidRDefault="00C15209" w:rsidP="00611771">
      <w:pPr>
        <w:pStyle w:val="H1GR"/>
      </w:pPr>
      <w:r w:rsidRPr="00C15209">
        <w:tab/>
        <w:t>A.</w:t>
      </w:r>
      <w:r w:rsidRPr="00C15209">
        <w:tab/>
        <w:t>Статус Соглашения</w:t>
      </w:r>
    </w:p>
    <w:p w:rsidR="00C15209" w:rsidRPr="00C15209" w:rsidRDefault="00C15209" w:rsidP="00C15209">
      <w:pPr>
        <w:pStyle w:val="SingleTxtGR"/>
      </w:pPr>
      <w:r w:rsidRPr="00C15209">
        <w:t>19.</w:t>
      </w:r>
      <w:r w:rsidRPr="00C15209">
        <w:tab/>
        <w:t>Секретариат проинформировал SC.1 о статусе Соглашения СМА. Со вр</w:t>
      </w:r>
      <w:r w:rsidRPr="00C15209">
        <w:t>е</w:t>
      </w:r>
      <w:r w:rsidRPr="00C15209">
        <w:t>мени проведения последней сессии SC.1 число Договаривающихся сторон осталось неизменным.</w:t>
      </w:r>
    </w:p>
    <w:p w:rsidR="00C15209" w:rsidRPr="00C15209" w:rsidRDefault="00C15209" w:rsidP="00611771">
      <w:pPr>
        <w:pStyle w:val="H1GR"/>
      </w:pPr>
      <w:r w:rsidRPr="00C15209">
        <w:tab/>
        <w:t>B.</w:t>
      </w:r>
      <w:r w:rsidRPr="00C15209">
        <w:tab/>
        <w:t>Поправки к Соглашению</w:t>
      </w:r>
    </w:p>
    <w:p w:rsidR="00C15209" w:rsidRPr="00C15209" w:rsidRDefault="00C15209" w:rsidP="00C15209">
      <w:pPr>
        <w:pStyle w:val="SingleTxtGR"/>
      </w:pPr>
      <w:r w:rsidRPr="00C15209">
        <w:t>20.</w:t>
      </w:r>
      <w:r w:rsidRPr="00C15209">
        <w:tab/>
        <w:t>SC.1 просили рассмотреть предложения по поправкам к приложению I к</w:t>
      </w:r>
      <w:r w:rsidR="00EF6825">
        <w:t> </w:t>
      </w:r>
      <w:r w:rsidRPr="00C15209">
        <w:t xml:space="preserve">Соглашению, представленные Норвегией (ECE/TRANS/SC.1/2016/1), а также Финляндией и Норвегией (ECE/TRANS/SC.1/2016/2), </w:t>
      </w:r>
      <w:r w:rsidRPr="00EF6825">
        <w:rPr>
          <w:spacing w:val="2"/>
        </w:rPr>
        <w:t xml:space="preserve">в целях (соответственно) продления E134 от Драммена до Вассума (Норвегия) и E45 от </w:t>
      </w:r>
      <w:r w:rsidRPr="00C15209">
        <w:t>Каресуандо (Шв</w:t>
      </w:r>
      <w:r w:rsidRPr="00C15209">
        <w:t>е</w:t>
      </w:r>
      <w:r w:rsidRPr="00C15209">
        <w:t xml:space="preserve">ция) до Алты (Норвегия). </w:t>
      </w:r>
    </w:p>
    <w:p w:rsidR="00C15209" w:rsidRPr="00C15209" w:rsidRDefault="00C15209" w:rsidP="00C15209">
      <w:pPr>
        <w:pStyle w:val="SingleTxtGR"/>
      </w:pPr>
      <w:r w:rsidRPr="00C15209">
        <w:t>21.</w:t>
      </w:r>
      <w:r w:rsidRPr="00C15209">
        <w:tab/>
        <w:t>SC.1 приняла эти два предложения о поправках от Норвегии и от Фи</w:t>
      </w:r>
      <w:r w:rsidRPr="00C15209">
        <w:t>н</w:t>
      </w:r>
      <w:r w:rsidRPr="00C15209">
        <w:t>ляндии и Норвегии. Эти предложения содержатся в приложениях I и II.</w:t>
      </w:r>
    </w:p>
    <w:p w:rsidR="00C15209" w:rsidRPr="00C15209" w:rsidRDefault="00C15209" w:rsidP="00611771">
      <w:pPr>
        <w:pStyle w:val="H1GR"/>
      </w:pPr>
      <w:r w:rsidRPr="00C15209">
        <w:tab/>
        <w:t>C.</w:t>
      </w:r>
      <w:r w:rsidRPr="00C15209">
        <w:tab/>
        <w:t>Сводный текст Соглашения</w:t>
      </w:r>
    </w:p>
    <w:p w:rsidR="00C15209" w:rsidRPr="00C15209" w:rsidRDefault="00C15209" w:rsidP="00C15209">
      <w:pPr>
        <w:pStyle w:val="SingleTxtGR"/>
      </w:pPr>
      <w:r w:rsidRPr="00C15209">
        <w:t>22.</w:t>
      </w:r>
      <w:r w:rsidRPr="00C15209">
        <w:tab/>
        <w:t>На последней сессии Германия просила секретариат подготовить сводный вариант Соглашения СМА, включающий все поправки, принятые на тот момент со времени публикации последнего сводного текста. Секретариат предоставил документ ECE/TRANS/SC.1/2016/3 (и соответствующий неофициальный док</w:t>
      </w:r>
      <w:r w:rsidRPr="00C15209">
        <w:t>у</w:t>
      </w:r>
      <w:r w:rsidRPr="00C15209">
        <w:t>мент № 9), содержащий сводный вариант Соглашения СМА.</w:t>
      </w:r>
    </w:p>
    <w:p w:rsidR="00C15209" w:rsidRPr="00C15209" w:rsidRDefault="00C15209" w:rsidP="00C15209">
      <w:pPr>
        <w:pStyle w:val="SingleTxtGR"/>
      </w:pPr>
      <w:r w:rsidRPr="00C15209">
        <w:t>23.</w:t>
      </w:r>
      <w:r w:rsidRPr="00C15209">
        <w:tab/>
        <w:t xml:space="preserve">Германия указала на пропуск на странице 21 и на неоднозначный текст пояснения на первой странице. SC.1 просил секретариат восполнить пробел и уточнить текст пояснения. </w:t>
      </w:r>
    </w:p>
    <w:p w:rsidR="00C15209" w:rsidRPr="00C15209" w:rsidRDefault="00C15209" w:rsidP="00611771">
      <w:pPr>
        <w:pStyle w:val="HChGR"/>
      </w:pPr>
      <w:r w:rsidRPr="00C15209">
        <w:tab/>
        <w:t>VI.</w:t>
      </w:r>
      <w:r w:rsidRPr="00C15209">
        <w:tab/>
        <w:t>Проект Трансъевропейской магистрали Север−Юг (ТЕА) (пункт 5 повестки дня)</w:t>
      </w:r>
    </w:p>
    <w:p w:rsidR="00C15209" w:rsidRPr="00C15209" w:rsidRDefault="00C15209" w:rsidP="00C15209">
      <w:pPr>
        <w:pStyle w:val="SingleTxtGR"/>
      </w:pPr>
      <w:r w:rsidRPr="00C15209">
        <w:t>24.</w:t>
      </w:r>
      <w:r w:rsidRPr="00C15209">
        <w:tab/>
        <w:t>SC.1 приняла к сведению представленную информацию о проекте ТЕА. Региональный советник от имени Центрального управления проекта ТЕА пр</w:t>
      </w:r>
      <w:r w:rsidRPr="00C15209">
        <w:t>о</w:t>
      </w:r>
      <w:r w:rsidRPr="00C15209">
        <w:t>информировал о недавнем рабочем совещании по вопросам осуществления и</w:t>
      </w:r>
      <w:r w:rsidRPr="00C15209">
        <w:t>н</w:t>
      </w:r>
      <w:r w:rsidRPr="00C15209">
        <w:t>формационного моделирования (Варшава) и о рабочем совещании по вопросам обслуживания дорог (Прага). Кроме того, были представлены материалы иссл</w:t>
      </w:r>
      <w:r w:rsidRPr="00C15209">
        <w:t>е</w:t>
      </w:r>
      <w:r w:rsidRPr="00C15209">
        <w:t>дования в области аудита безопасности дорог и инспекции безопасности д</w:t>
      </w:r>
      <w:r w:rsidRPr="00C15209">
        <w:t>о</w:t>
      </w:r>
      <w:r w:rsidRPr="00C15209">
        <w:t>рожного движения в рамках сети ТЕА, а также рабочие материалы, которые легли в основу стратегии ТЕА на 2017</w:t>
      </w:r>
      <w:r w:rsidR="00EF6825">
        <w:t>–</w:t>
      </w:r>
      <w:r w:rsidRPr="00C15209">
        <w:t>2021 годы. Эта стратегия разрабатыв</w:t>
      </w:r>
      <w:r w:rsidRPr="00C15209">
        <w:t>а</w:t>
      </w:r>
      <w:r w:rsidRPr="00C15209">
        <w:t>ется для содействия осуществлению Целей устойчивого развития (ЦУР), им</w:t>
      </w:r>
      <w:r w:rsidRPr="00C15209">
        <w:t>е</w:t>
      </w:r>
      <w:r w:rsidRPr="00C15209">
        <w:t>ющих отношение к развитию дорожной инфраструктуры. Основное внимание в ней уделяется шести областям: i) окружающая среда и ее защита; ii) система дорог и автомагистралей</w:t>
      </w:r>
      <w:r w:rsidRPr="00116AB1">
        <w:rPr>
          <w:spacing w:val="2"/>
        </w:rPr>
        <w:t xml:space="preserve"> − организация и финансирование; iii) управление сетью </w:t>
      </w:r>
      <w:r w:rsidRPr="00D834C3">
        <w:t xml:space="preserve">автомагистралей; iv) </w:t>
      </w:r>
      <w:r w:rsidRPr="00C15209">
        <w:t>информационные системы в области управления доро</w:t>
      </w:r>
      <w:r w:rsidRPr="00C15209">
        <w:t>ж</w:t>
      </w:r>
      <w:r w:rsidRPr="00C15209">
        <w:t>ной инфраструктурой; v) инновации</w:t>
      </w:r>
      <w:r w:rsidR="00D834C3">
        <w:t>;</w:t>
      </w:r>
      <w:r w:rsidRPr="00C15209">
        <w:t xml:space="preserve"> и vi) безопасность дорожного движения.</w:t>
      </w:r>
    </w:p>
    <w:p w:rsidR="00C15209" w:rsidRPr="00C15209" w:rsidRDefault="00C15209" w:rsidP="00611771">
      <w:pPr>
        <w:pStyle w:val="HChGR"/>
      </w:pPr>
      <w:r w:rsidRPr="00C15209">
        <w:tab/>
        <w:t>VII.</w:t>
      </w:r>
      <w:r w:rsidRPr="00C15209">
        <w:tab/>
        <w:t>Конвенция о договоре международной дорожной перевозки грузов (КДПГ) (пункт 6 повестки дня)</w:t>
      </w:r>
    </w:p>
    <w:p w:rsidR="00C15209" w:rsidRPr="00C15209" w:rsidRDefault="00C15209" w:rsidP="00611771">
      <w:pPr>
        <w:pStyle w:val="H1GR"/>
      </w:pPr>
      <w:r w:rsidRPr="00C15209">
        <w:tab/>
        <w:t>A.</w:t>
      </w:r>
      <w:r w:rsidRPr="00C15209">
        <w:tab/>
        <w:t>Статус Конвенции</w:t>
      </w:r>
    </w:p>
    <w:p w:rsidR="00C15209" w:rsidRPr="00C15209" w:rsidRDefault="00C15209" w:rsidP="00C15209">
      <w:pPr>
        <w:pStyle w:val="SingleTxtGR"/>
      </w:pPr>
      <w:r w:rsidRPr="00C15209">
        <w:t>25.</w:t>
      </w:r>
      <w:r w:rsidRPr="00C15209">
        <w:tab/>
        <w:t xml:space="preserve">Секретариат проинформировал SC.1 о том, что со времени проведения последней сессии SC.1 число Договаривающихся сторон Конвенции осталось неизменным. </w:t>
      </w:r>
    </w:p>
    <w:p w:rsidR="00C15209" w:rsidRPr="00C15209" w:rsidRDefault="00C15209" w:rsidP="00611771">
      <w:pPr>
        <w:pStyle w:val="H1GR"/>
      </w:pPr>
      <w:r w:rsidRPr="00C15209">
        <w:tab/>
        <w:t>B.</w:t>
      </w:r>
      <w:r w:rsidRPr="00C15209">
        <w:tab/>
        <w:t>Протокол к Конвенции о договоре международной дорожной перевозки грузов (КДПГ)</w:t>
      </w:r>
    </w:p>
    <w:p w:rsidR="00C15209" w:rsidRPr="00C15209" w:rsidRDefault="00C15209" w:rsidP="00C15209">
      <w:pPr>
        <w:pStyle w:val="SingleTxtGR"/>
      </w:pPr>
      <w:r w:rsidRPr="00C15209">
        <w:t>26.</w:t>
      </w:r>
      <w:r w:rsidRPr="00C15209">
        <w:tab/>
        <w:t>Секретариат сообщил, что со времени проведения последней сессии SC.1 только одно государство (Российская Федерация) присоединилось к этому Пр</w:t>
      </w:r>
      <w:r w:rsidRPr="00C15209">
        <w:t>о</w:t>
      </w:r>
      <w:r w:rsidRPr="00C15209">
        <w:t>токолу, в результате чего общее число Договаривающихся сторон достигло 43.</w:t>
      </w:r>
    </w:p>
    <w:p w:rsidR="00C15209" w:rsidRPr="00C15209" w:rsidRDefault="00C15209" w:rsidP="00611771">
      <w:pPr>
        <w:pStyle w:val="H1GR"/>
      </w:pPr>
      <w:r w:rsidRPr="00C15209">
        <w:tab/>
        <w:t>С.</w:t>
      </w:r>
      <w:r w:rsidRPr="00C15209">
        <w:tab/>
        <w:t>Дополнительный протокол к КДПГ, касающийся электронной накладной</w:t>
      </w:r>
    </w:p>
    <w:p w:rsidR="00C15209" w:rsidRPr="00C15209" w:rsidRDefault="00C15209" w:rsidP="00C15209">
      <w:pPr>
        <w:pStyle w:val="SingleTxtGR"/>
      </w:pPr>
      <w:r w:rsidRPr="00C15209">
        <w:t>27.</w:t>
      </w:r>
      <w:r w:rsidRPr="00C15209">
        <w:tab/>
        <w:t>Секретариат проинформировал SC.1 о статусе Дополнительного проток</w:t>
      </w:r>
      <w:r w:rsidRPr="00C15209">
        <w:t>о</w:t>
      </w:r>
      <w:r w:rsidRPr="00C15209">
        <w:t>ла к Конвенции. Со времени последнего совещания к Дополнительному прот</w:t>
      </w:r>
      <w:r w:rsidRPr="00C15209">
        <w:t>о</w:t>
      </w:r>
      <w:r w:rsidRPr="00C15209">
        <w:t>колу присоединилась Франция, в результате чего число Договаривающихся ст</w:t>
      </w:r>
      <w:r w:rsidRPr="00C15209">
        <w:t>о</w:t>
      </w:r>
      <w:r w:rsidRPr="00C15209">
        <w:t xml:space="preserve">рон достигло 10. </w:t>
      </w:r>
    </w:p>
    <w:p w:rsidR="00C15209" w:rsidRPr="00C15209" w:rsidRDefault="00C15209" w:rsidP="00C15209">
      <w:pPr>
        <w:pStyle w:val="SingleTxtGR"/>
      </w:pPr>
      <w:r w:rsidRPr="00C15209">
        <w:t>28.</w:t>
      </w:r>
      <w:r w:rsidRPr="00C15209">
        <w:tab/>
        <w:t>Секретариат обратил особое внимание на то, что Договаривающимся сторонам следует начать работу (в соответствии со статьей 5) по введению эт</w:t>
      </w:r>
      <w:r w:rsidRPr="00C15209">
        <w:t>о</w:t>
      </w:r>
      <w:r w:rsidRPr="00C15209">
        <w:t xml:space="preserve">го Дополнительного протокола в действие, с тем чтобы электронная накладная стала стандартным инструментом. </w:t>
      </w:r>
    </w:p>
    <w:p w:rsidR="00C15209" w:rsidRPr="00C15209" w:rsidRDefault="00C15209" w:rsidP="00C15209">
      <w:pPr>
        <w:pStyle w:val="SingleTxtGR"/>
      </w:pPr>
      <w:r w:rsidRPr="00C15209">
        <w:t>29.</w:t>
      </w:r>
      <w:r w:rsidRPr="00C15209">
        <w:tab/>
        <w:t>МСАТ сообщил SC.1 о двух экспериментальных проектах (для Бельгии, Франции, Нидерландов и Испании и для Болгарии, Греции и Румынии), напра</w:t>
      </w:r>
      <w:r w:rsidRPr="00C15209">
        <w:t>в</w:t>
      </w:r>
      <w:r w:rsidRPr="00C15209">
        <w:t xml:space="preserve">ленных на содействие использованию электронной накладной. </w:t>
      </w:r>
    </w:p>
    <w:p w:rsidR="00C15209" w:rsidRPr="00C15209" w:rsidRDefault="00C15209" w:rsidP="00C15209">
      <w:pPr>
        <w:pStyle w:val="SingleTxtGR"/>
      </w:pPr>
      <w:r w:rsidRPr="00C15209">
        <w:t>30.</w:t>
      </w:r>
      <w:r w:rsidRPr="00C15209">
        <w:tab/>
        <w:t>Секретариат выразил признательность МСАТ за продвижение правовых документов Организации Объединенных Наций и за организацию в Женеве и</w:t>
      </w:r>
      <w:r w:rsidRPr="00C15209">
        <w:t>н</w:t>
      </w:r>
      <w:r w:rsidRPr="00C15209">
        <w:t>формационно-разъяснительных мероприятий и мероприятий по наращиванию потенциала, связанных с этими документами, для Лиги арабских государств, Китая и Пакистана.</w:t>
      </w:r>
    </w:p>
    <w:p w:rsidR="00C15209" w:rsidRPr="00C15209" w:rsidRDefault="00C15209" w:rsidP="00611771">
      <w:pPr>
        <w:pStyle w:val="HChGR"/>
      </w:pPr>
      <w:r w:rsidRPr="00C15209">
        <w:tab/>
        <w:t>VIII.</w:t>
      </w:r>
      <w:r w:rsidRPr="00C15209">
        <w:tab/>
        <w:t xml:space="preserve">Облегчение международных автомобильных перевозок (пункт </w:t>
      </w:r>
      <w:r w:rsidR="000B66AB">
        <w:t>7</w:t>
      </w:r>
      <w:r w:rsidRPr="00C15209">
        <w:t xml:space="preserve"> повестки дня)</w:t>
      </w:r>
    </w:p>
    <w:p w:rsidR="00C15209" w:rsidRPr="00C15209" w:rsidRDefault="00C15209" w:rsidP="00611771">
      <w:pPr>
        <w:pStyle w:val="H1GR"/>
      </w:pPr>
      <w:r w:rsidRPr="00C15209">
        <w:tab/>
        <w:t>A.</w:t>
      </w:r>
      <w:r w:rsidRPr="00C15209">
        <w:tab/>
        <w:t>Международная система страхования автотранспортных средств (</w:t>
      </w:r>
      <w:r w:rsidR="00985591">
        <w:t>«</w:t>
      </w:r>
      <w:r w:rsidRPr="00C15209">
        <w:t>Зеленая карта</w:t>
      </w:r>
      <w:r w:rsidR="00985591">
        <w:t>»</w:t>
      </w:r>
      <w:r w:rsidRPr="00C15209">
        <w:t>)</w:t>
      </w:r>
    </w:p>
    <w:p w:rsidR="00C15209" w:rsidRPr="00C15209" w:rsidRDefault="00C15209" w:rsidP="00C15209">
      <w:pPr>
        <w:pStyle w:val="SingleTxtGR"/>
      </w:pPr>
      <w:r w:rsidRPr="00C15209">
        <w:t>31.</w:t>
      </w:r>
      <w:r w:rsidRPr="00C15209">
        <w:tab/>
        <w:t xml:space="preserve">Рабочая группа была проинформирована Генеральным секретарем Совета страховых бюро о последних изменениях в системе </w:t>
      </w:r>
      <w:r w:rsidR="00985591">
        <w:t>«</w:t>
      </w:r>
      <w:r w:rsidRPr="00C15209">
        <w:t>Зеленой карты</w:t>
      </w:r>
      <w:r w:rsidR="00985591">
        <w:t>»</w:t>
      </w:r>
      <w:r w:rsidRPr="00C15209">
        <w:t xml:space="preserve"> (подро</w:t>
      </w:r>
      <w:r w:rsidRPr="00C15209">
        <w:t>б</w:t>
      </w:r>
      <w:r w:rsidRPr="00C15209">
        <w:t>ная информация содержится в неофициальном документе № 5). Турция отмет</w:t>
      </w:r>
      <w:r w:rsidRPr="00C15209">
        <w:t>и</w:t>
      </w:r>
      <w:r w:rsidRPr="00C15209">
        <w:t xml:space="preserve">ла интерес к системе </w:t>
      </w:r>
      <w:r w:rsidR="00985591">
        <w:t>«</w:t>
      </w:r>
      <w:r w:rsidRPr="00C15209">
        <w:t>Зеленой карты</w:t>
      </w:r>
      <w:r w:rsidR="00985591">
        <w:t>»</w:t>
      </w:r>
      <w:r w:rsidRPr="00C15209">
        <w:t xml:space="preserve"> в Китае и Пакистане и предложила Ген</w:t>
      </w:r>
      <w:r w:rsidRPr="00C15209">
        <w:t>е</w:t>
      </w:r>
      <w:r w:rsidRPr="00C15209">
        <w:t>ральному секретарю ССБ изучить возможности для обмена опытом ССБ с эт</w:t>
      </w:r>
      <w:r w:rsidRPr="00C15209">
        <w:t>и</w:t>
      </w:r>
      <w:r w:rsidRPr="00C15209">
        <w:t xml:space="preserve">ми странами. </w:t>
      </w:r>
    </w:p>
    <w:p w:rsidR="00C15209" w:rsidRPr="00C15209" w:rsidRDefault="00C15209" w:rsidP="00611771">
      <w:pPr>
        <w:pStyle w:val="H1GR"/>
      </w:pPr>
      <w:r w:rsidRPr="00C15209">
        <w:tab/>
        <w:t>B.</w:t>
      </w:r>
      <w:r w:rsidRPr="00C15209">
        <w:tab/>
        <w:t>Предложение по глобальному многостороннему соглашению о</w:t>
      </w:r>
      <w:r w:rsidR="00116AB1">
        <w:t> </w:t>
      </w:r>
      <w:r w:rsidRPr="00C15209">
        <w:t>международных регулярных перевозках пассажиров междугородными и городскими автобусами (</w:t>
      </w:r>
      <w:r w:rsidR="00985591">
        <w:t>«</w:t>
      </w:r>
      <w:r w:rsidRPr="00C15209">
        <w:t>ОмниБУС</w:t>
      </w:r>
      <w:r w:rsidR="00985591">
        <w:t>»</w:t>
      </w:r>
      <w:r w:rsidRPr="00C15209">
        <w:t>)</w:t>
      </w:r>
    </w:p>
    <w:p w:rsidR="00C15209" w:rsidRPr="00C15209" w:rsidRDefault="00C15209" w:rsidP="00C15209">
      <w:pPr>
        <w:pStyle w:val="SingleTxtGR"/>
      </w:pPr>
      <w:r w:rsidRPr="00C15209">
        <w:t>32.</w:t>
      </w:r>
      <w:r w:rsidRPr="00C15209">
        <w:tab/>
        <w:t>Секретариат напомнил о том, что Комитет по внутреннему транспорту предложил SC.1 занять соответствующую позицию в отношении завершения подготовки глобального многостороннего соглашения о международных рег</w:t>
      </w:r>
      <w:r w:rsidRPr="00C15209">
        <w:t>у</w:t>
      </w:r>
      <w:r w:rsidRPr="00C15209">
        <w:t>лярных перевозках пассажиров междугородными и городскими автобусами (</w:t>
      </w:r>
      <w:r w:rsidR="00985591">
        <w:t>«</w:t>
      </w:r>
      <w:r w:rsidRPr="00C15209">
        <w:t>ОмниБус</w:t>
      </w:r>
      <w:r w:rsidR="00985591">
        <w:t>»</w:t>
      </w:r>
      <w:r w:rsidRPr="00C15209">
        <w:t>) (ECE/TRANS/254, пункты 88</w:t>
      </w:r>
      <w:r w:rsidR="000B66AB">
        <w:t>–</w:t>
      </w:r>
      <w:r w:rsidRPr="00C15209">
        <w:t xml:space="preserve">90). Швейцария приветствовала бы завершение подготовки соглашения </w:t>
      </w:r>
      <w:r w:rsidR="00985591">
        <w:t>«</w:t>
      </w:r>
      <w:r w:rsidRPr="00C15209">
        <w:t>ОмниБус</w:t>
      </w:r>
      <w:r w:rsidR="00985591">
        <w:t>»</w:t>
      </w:r>
      <w:r w:rsidRPr="00C15209">
        <w:t>. Европейский союз проинфо</w:t>
      </w:r>
      <w:r w:rsidRPr="00C15209">
        <w:t>р</w:t>
      </w:r>
      <w:r w:rsidRPr="00C15209">
        <w:t>мировал SC.1 о включении в охват соглашения ИнтерБус международных рег</w:t>
      </w:r>
      <w:r w:rsidRPr="00C15209">
        <w:t>у</w:t>
      </w:r>
      <w:r w:rsidRPr="00C15209">
        <w:t>лярных автобусных перевозок. Члены ЕС завершают работу над проектом этого нового соглашения, и ожидается, что переговоры с Договаривающимися стор</w:t>
      </w:r>
      <w:r w:rsidRPr="00C15209">
        <w:t>о</w:t>
      </w:r>
      <w:r w:rsidRPr="00C15209">
        <w:t xml:space="preserve">нами действующего соглашения ИнтерБус начнутся в начале 2017 года. Затем новое соглашение ИнтерБус будет открыто для присоединения всех членов ЕКМТ. </w:t>
      </w:r>
    </w:p>
    <w:p w:rsidR="00C15209" w:rsidRPr="00C15209" w:rsidRDefault="00C15209" w:rsidP="00C15209">
      <w:pPr>
        <w:pStyle w:val="SingleTxtGR"/>
      </w:pPr>
      <w:r w:rsidRPr="00C15209">
        <w:t>33.</w:t>
      </w:r>
      <w:r w:rsidRPr="00C15209">
        <w:tab/>
        <w:t>SC.1 приняла к сведению информацию, представленную Европейским союзом. Она далее отметила, что процедура, использованная Европейским со</w:t>
      </w:r>
      <w:r w:rsidRPr="00C15209">
        <w:t>ю</w:t>
      </w:r>
      <w:r w:rsidRPr="00C15209">
        <w:t xml:space="preserve">зом при разработке нового </w:t>
      </w:r>
      <w:r w:rsidR="000B66AB">
        <w:t>с</w:t>
      </w:r>
      <w:r w:rsidRPr="00C15209">
        <w:t xml:space="preserve">оглашения ИнтерБус, не позволит всем членам ЕКМТ участвовать в переговорах, если они не являются Договаривающимися сторонами </w:t>
      </w:r>
      <w:r w:rsidR="000B66AB">
        <w:t>с</w:t>
      </w:r>
      <w:r w:rsidRPr="00C15209">
        <w:t>оглашения ИнтерБус. SC.1 предложила Европейскому союзу пер</w:t>
      </w:r>
      <w:r w:rsidRPr="00C15209">
        <w:t>е</w:t>
      </w:r>
      <w:r w:rsidRPr="00C15209">
        <w:t xml:space="preserve">смотреть эту процедуру, с тем чтобы переговоры были открыты для всех членов ЕКМТ, включая те страны, которые сыграли важную роль в разработке проекта соглашения </w:t>
      </w:r>
      <w:r w:rsidR="00985591">
        <w:t>«</w:t>
      </w:r>
      <w:r w:rsidRPr="00C15209">
        <w:t>ОмниБус</w:t>
      </w:r>
      <w:r w:rsidR="00985591">
        <w:t>»</w:t>
      </w:r>
      <w:r w:rsidRPr="00C15209">
        <w:t>.</w:t>
      </w:r>
    </w:p>
    <w:p w:rsidR="00C15209" w:rsidRPr="00C15209" w:rsidRDefault="00C15209" w:rsidP="00C15209">
      <w:pPr>
        <w:pStyle w:val="SingleTxtGR"/>
      </w:pPr>
      <w:r w:rsidRPr="00C15209">
        <w:t>34.</w:t>
      </w:r>
      <w:r w:rsidRPr="00C15209">
        <w:tab/>
        <w:t xml:space="preserve">Что касается заявлений Европейского союза, то Швейцария предлагает дождаться более подробной информации о содержании нового </w:t>
      </w:r>
      <w:r w:rsidR="000B66AB">
        <w:t>с</w:t>
      </w:r>
      <w:r w:rsidRPr="00C15209">
        <w:t xml:space="preserve">оглашения </w:t>
      </w:r>
      <w:r w:rsidR="00116AB1">
        <w:br/>
      </w:r>
      <w:r w:rsidRPr="00C15209">
        <w:t xml:space="preserve">ИнтерБус до принятия дальнейших мер. </w:t>
      </w:r>
    </w:p>
    <w:p w:rsidR="00C15209" w:rsidRPr="00C15209" w:rsidRDefault="00C15209" w:rsidP="00611771">
      <w:pPr>
        <w:pStyle w:val="H1GR"/>
      </w:pPr>
      <w:r w:rsidRPr="00C15209">
        <w:tab/>
        <w:t>C.</w:t>
      </w:r>
      <w:r w:rsidRPr="00C15209">
        <w:tab/>
        <w:t>Количественные ограничения на международные автомобильные перевозки грузов</w:t>
      </w:r>
    </w:p>
    <w:p w:rsidR="00C15209" w:rsidRPr="00C15209" w:rsidRDefault="00C15209" w:rsidP="00C15209">
      <w:pPr>
        <w:pStyle w:val="SingleTxtGR"/>
      </w:pPr>
      <w:r w:rsidRPr="00C15209">
        <w:t>35.</w:t>
      </w:r>
      <w:r w:rsidRPr="00C15209">
        <w:tab/>
        <w:t>SC.1 продолжила обсуждение исследования, касающегося экономическ</w:t>
      </w:r>
      <w:r w:rsidRPr="00C15209">
        <w:t>о</w:t>
      </w:r>
      <w:r w:rsidRPr="00C15209">
        <w:t>го анализа соглашения между Европейским союзом и Турцией, которое было проведено Европейской комиссией и в котором делается вывод о том, что Евр</w:t>
      </w:r>
      <w:r w:rsidRPr="00C15209">
        <w:t>о</w:t>
      </w:r>
      <w:r w:rsidRPr="00C15209">
        <w:t>пейский союз и Турция понесли большие финансовые потери из-за транспор</w:t>
      </w:r>
      <w:r w:rsidRPr="00C15209">
        <w:t>т</w:t>
      </w:r>
      <w:r w:rsidRPr="00C15209">
        <w:t xml:space="preserve">ных квот и ограничений. Она предложила всем заинтересованным сторонам продолжать работу по оценке воздействия квот на автомобильные перевозки и представить SC.1 информацию о результатах этой оценки. </w:t>
      </w:r>
    </w:p>
    <w:p w:rsidR="00C15209" w:rsidRPr="00C15209" w:rsidRDefault="00C15209" w:rsidP="00C15209">
      <w:pPr>
        <w:pStyle w:val="SingleTxtGR"/>
      </w:pPr>
      <w:r w:rsidRPr="00C15209">
        <w:t>36.</w:t>
      </w:r>
      <w:r w:rsidRPr="00C15209">
        <w:tab/>
        <w:t>Турция кратко изложила результаты этого исследования, которое выявило значительные экономические убытки, оцениваемые в 3,5 млрд. евро, как со ст</w:t>
      </w:r>
      <w:r w:rsidRPr="00C15209">
        <w:t>о</w:t>
      </w:r>
      <w:r w:rsidRPr="00C15209">
        <w:t>роны Европейского союза, так и Турции. Турция считает, что соглашение о св</w:t>
      </w:r>
      <w:r w:rsidRPr="00C15209">
        <w:t>о</w:t>
      </w:r>
      <w:r w:rsidRPr="00C15209">
        <w:t>боде транзита между Турцией и ЕС может способствовать снижению или ли</w:t>
      </w:r>
      <w:r w:rsidRPr="00C15209">
        <w:t>к</w:t>
      </w:r>
      <w:r w:rsidRPr="00C15209">
        <w:t>видации этих убытков. В этой связи Турция предложила Европейскому союзу проинформировать SC.1 о любых возможных мер для решения этого вопроса.</w:t>
      </w:r>
    </w:p>
    <w:p w:rsidR="00C15209" w:rsidRPr="00C15209" w:rsidRDefault="00C15209" w:rsidP="00116AB1">
      <w:pPr>
        <w:pStyle w:val="SingleTxtGR"/>
        <w:keepNext/>
        <w:keepLines/>
      </w:pPr>
      <w:r w:rsidRPr="00C15209">
        <w:t>37.</w:t>
      </w:r>
      <w:r w:rsidRPr="00C15209">
        <w:tab/>
        <w:t>Европейский союз высоко оценил результаты исследования, отмечая при этом, что оно не дает полную оценку, в частности, социальных и экологических последствий. Европейский союз сообщил SC.1, что в настоящее время намер</w:t>
      </w:r>
      <w:r w:rsidRPr="00C15209">
        <w:t>е</w:t>
      </w:r>
      <w:r w:rsidRPr="00C15209">
        <w:t>ния заключить соглашение о транзите с Турцией нет. В то же время ведется подготовка к включению услуг в сферу охвата Таможенного соглашения. Одн</w:t>
      </w:r>
      <w:r w:rsidRPr="00C15209">
        <w:t>а</w:t>
      </w:r>
      <w:r w:rsidRPr="00C15209">
        <w:t>ко решение о том, будут ли включены транспортные услуги, принято не было.</w:t>
      </w:r>
    </w:p>
    <w:p w:rsidR="00C15209" w:rsidRPr="00C15209" w:rsidRDefault="00C15209" w:rsidP="00C15209">
      <w:pPr>
        <w:pStyle w:val="SingleTxtGR"/>
      </w:pPr>
      <w:r w:rsidRPr="00C15209">
        <w:t>38.</w:t>
      </w:r>
      <w:r w:rsidRPr="00C15209">
        <w:tab/>
        <w:t>SC.1 предложила Европейской комиссии представить информацию о н</w:t>
      </w:r>
      <w:r w:rsidRPr="00C15209">
        <w:t>о</w:t>
      </w:r>
      <w:r w:rsidRPr="00C15209">
        <w:t xml:space="preserve">вых изменениях, касающихся расширения мандата Таможенного соглашения и связанных с этим мероприятиях, на следующем совещании. </w:t>
      </w:r>
    </w:p>
    <w:p w:rsidR="00C15209" w:rsidRPr="00C15209" w:rsidRDefault="00C15209" w:rsidP="00611771">
      <w:pPr>
        <w:pStyle w:val="H1GR"/>
      </w:pPr>
      <w:r w:rsidRPr="00C15209">
        <w:tab/>
        <w:t>D.</w:t>
      </w:r>
      <w:r w:rsidRPr="00C15209">
        <w:tab/>
        <w:t>Связь между происхождением товаров и транспортными операциями</w:t>
      </w:r>
    </w:p>
    <w:p w:rsidR="00C15209" w:rsidRPr="00C15209" w:rsidRDefault="00C15209" w:rsidP="00C15209">
      <w:pPr>
        <w:pStyle w:val="SingleTxtGR"/>
      </w:pPr>
      <w:r w:rsidRPr="00C15209">
        <w:t>39.</w:t>
      </w:r>
      <w:r w:rsidRPr="00C15209">
        <w:tab/>
        <w:t>На последней сессии SC.1 решила учредить неофициальную группу эк</w:t>
      </w:r>
      <w:r w:rsidRPr="00C15209">
        <w:t>с</w:t>
      </w:r>
      <w:r w:rsidRPr="00C15209">
        <w:t>пертов, с тем чтобы рассмотреть возможные поправки к Сводной резолюции об облегчении международных автомобильных перевозок (СР.4). С этой целью Латвия и Польша представили предложение (неофициальный документ № 6) о</w:t>
      </w:r>
      <w:r w:rsidR="00116AB1">
        <w:t> </w:t>
      </w:r>
      <w:r w:rsidRPr="00C15209">
        <w:t xml:space="preserve">внесении поправки в СР.4 для включения определения понятия </w:t>
      </w:r>
      <w:r w:rsidR="00985591">
        <w:t>«</w:t>
      </w:r>
      <w:r w:rsidRPr="00C15209">
        <w:t>двусторо</w:t>
      </w:r>
      <w:r w:rsidRPr="00C15209">
        <w:t>н</w:t>
      </w:r>
      <w:r w:rsidRPr="00C15209">
        <w:t>ние перевозки</w:t>
      </w:r>
      <w:r w:rsidR="00985591">
        <w:t>»</w:t>
      </w:r>
      <w:r w:rsidRPr="00C15209">
        <w:t>. Страны, представившие это предложение, исходят из необх</w:t>
      </w:r>
      <w:r w:rsidRPr="00C15209">
        <w:t>о</w:t>
      </w:r>
      <w:r w:rsidRPr="00C15209">
        <w:t>димости облегчения автомобильных перевозок и считают, что включение такого определения позволит контролирующим органам разных стран правильно кла</w:t>
      </w:r>
      <w:r w:rsidRPr="00C15209">
        <w:t>с</w:t>
      </w:r>
      <w:r w:rsidRPr="00C15209">
        <w:t>сифицировать транспортные операции. SC.1 не возражала против этого пре</w:t>
      </w:r>
      <w:r w:rsidRPr="00C15209">
        <w:t>д</w:t>
      </w:r>
      <w:r w:rsidRPr="00C15209">
        <w:t>ложения и просила обе страны представить на следующей сессии официальный документ (на базе неофициального документа № 6), который служил бы осн</w:t>
      </w:r>
      <w:r w:rsidRPr="00C15209">
        <w:t>о</w:t>
      </w:r>
      <w:r w:rsidRPr="00C15209">
        <w:t xml:space="preserve">вой для рассмотрения и возможного принятия SC.1. </w:t>
      </w:r>
    </w:p>
    <w:p w:rsidR="00C15209" w:rsidRPr="00C15209" w:rsidRDefault="00C15209" w:rsidP="00611771">
      <w:pPr>
        <w:pStyle w:val="HChGR"/>
      </w:pPr>
      <w:r w:rsidRPr="00C15209">
        <w:tab/>
        <w:t>IX.</w:t>
      </w:r>
      <w:r w:rsidRPr="00C15209">
        <w:tab/>
        <w:t>Группа</w:t>
      </w:r>
      <w:r w:rsidRPr="001178BF">
        <w:rPr>
          <w:spacing w:val="0"/>
        </w:rPr>
        <w:t xml:space="preserve"> </w:t>
      </w:r>
      <w:r w:rsidRPr="00C15209">
        <w:t>экспертов</w:t>
      </w:r>
      <w:r w:rsidRPr="001178BF">
        <w:rPr>
          <w:spacing w:val="0"/>
        </w:rPr>
        <w:t xml:space="preserve"> по безопасности на железнодорожных </w:t>
      </w:r>
      <w:r w:rsidRPr="00C15209">
        <w:t>переездах (пункт 8 повестки дня)</w:t>
      </w:r>
    </w:p>
    <w:p w:rsidR="00C15209" w:rsidRPr="00C15209" w:rsidRDefault="00C15209" w:rsidP="00C15209">
      <w:pPr>
        <w:pStyle w:val="SingleTxtGR"/>
      </w:pPr>
      <w:r w:rsidRPr="00C15209">
        <w:t>40.</w:t>
      </w:r>
      <w:r w:rsidRPr="00C15209">
        <w:tab/>
        <w:t>SC.1 приняла к сведению информацию о результатах, достигнутых Гру</w:t>
      </w:r>
      <w:r w:rsidRPr="00C15209">
        <w:t>п</w:t>
      </w:r>
      <w:r w:rsidRPr="00C15209">
        <w:t>пой экспертов по повышению безопасности на железнодорожных переездах, и</w:t>
      </w:r>
      <w:r w:rsidR="001178BF">
        <w:t> </w:t>
      </w:r>
      <w:r w:rsidRPr="00C15209">
        <w:t>представленную предварительную информацию</w:t>
      </w:r>
      <w:r w:rsidRPr="00976D2E">
        <w:rPr>
          <w:spacing w:val="2"/>
        </w:rPr>
        <w:t xml:space="preserve"> о проекте окончательного </w:t>
      </w:r>
      <w:r w:rsidRPr="00C15209">
        <w:t>д</w:t>
      </w:r>
      <w:r w:rsidRPr="00C15209">
        <w:t>о</w:t>
      </w:r>
      <w:r w:rsidRPr="00C15209">
        <w:t>клада группы. Проект доклада состоит из двух частей. В первой части привед</w:t>
      </w:r>
      <w:r w:rsidRPr="00C15209">
        <w:t>е</w:t>
      </w:r>
      <w:r w:rsidRPr="00C15209">
        <w:t>но описание знаний и практики, имеющихся в государствах − членах ЕЭК ООН и других странах, а также пробелов и проблем, выявленных в следующих обл</w:t>
      </w:r>
      <w:r w:rsidRPr="00C15209">
        <w:t>а</w:t>
      </w:r>
      <w:r w:rsidRPr="00C15209">
        <w:t>стях: данные об уровне безопасности на железнодорожных переездах, издер</w:t>
      </w:r>
      <w:r w:rsidRPr="00C15209">
        <w:t>ж</w:t>
      </w:r>
      <w:r w:rsidRPr="00C15209">
        <w:t>ки, связанные с дорожно-транспортными происшествиями, инфраструктура, просветительская деятельность, профессиональная подготовка, законодател</w:t>
      </w:r>
      <w:r w:rsidRPr="00C15209">
        <w:t>ь</w:t>
      </w:r>
      <w:r w:rsidRPr="00C15209">
        <w:t>ство, правоприменение, институциональные рамки, человеческие факторы и управление рисками. В первой части содержится ряд рекомендаций по каждой из этих областей. Во второй части приводится информация о безопасном с</w:t>
      </w:r>
      <w:r w:rsidRPr="00C15209">
        <w:t>и</w:t>
      </w:r>
      <w:r w:rsidRPr="00C15209">
        <w:t>стемном подходе к проблеме железнодорожных переездов и способах его э</w:t>
      </w:r>
      <w:r w:rsidRPr="00C15209">
        <w:t>ф</w:t>
      </w:r>
      <w:r w:rsidRPr="00C15209">
        <w:t>фективной реализации, включая планы действий. Кроме того, секретариат с</w:t>
      </w:r>
      <w:r w:rsidRPr="00C15209">
        <w:t>о</w:t>
      </w:r>
      <w:r w:rsidRPr="00C15209">
        <w:t>общил SC.1, что Группа экспертов рассматривает вопрос о том, можно ли пов</w:t>
      </w:r>
      <w:r w:rsidRPr="00C15209">
        <w:t>ы</w:t>
      </w:r>
      <w:r w:rsidRPr="00C15209">
        <w:t xml:space="preserve">сить безопасность на железнодорожных переездах благодаря созданию рабочей группы по железнодорожным переездам в ЕЭК ООН. </w:t>
      </w:r>
    </w:p>
    <w:p w:rsidR="00C15209" w:rsidRPr="00C15209" w:rsidRDefault="00C15209" w:rsidP="00611771">
      <w:pPr>
        <w:pStyle w:val="HChGR"/>
      </w:pPr>
      <w:r w:rsidRPr="00C15209">
        <w:tab/>
        <w:t>X.</w:t>
      </w:r>
      <w:r w:rsidRPr="00C15209">
        <w:tab/>
        <w:t>Пересмотр круга ведения и правил процедуры SC.1 (пункт 9 повестки дня)</w:t>
      </w:r>
    </w:p>
    <w:p w:rsidR="00C15209" w:rsidRPr="00C15209" w:rsidRDefault="00C15209" w:rsidP="00C15209">
      <w:pPr>
        <w:pStyle w:val="SingleTxtGR"/>
      </w:pPr>
      <w:r w:rsidRPr="00C15209">
        <w:t>41.</w:t>
      </w:r>
      <w:r w:rsidRPr="00C15209">
        <w:tab/>
        <w:t>На последней сессии SC.1 учредила неофициальную группу в составе Бельгии и Германии для выработки предложения по поправкам к кругу ведения и правилам процедуры SC.1. Эта неофициальная группа представила предл</w:t>
      </w:r>
      <w:r w:rsidRPr="00C15209">
        <w:t>о</w:t>
      </w:r>
      <w:r w:rsidRPr="00C15209">
        <w:t xml:space="preserve">жение о внесении изменений в действующий вариант круга ведения и правил процедуры (неофициальные документы № 3 и 4). SC.1 решила рассмотреть это предложение на следующей сессии. </w:t>
      </w:r>
    </w:p>
    <w:p w:rsidR="00C15209" w:rsidRPr="00C15209" w:rsidRDefault="00C15209" w:rsidP="00611771">
      <w:pPr>
        <w:pStyle w:val="HChGR"/>
      </w:pPr>
      <w:r w:rsidRPr="00C15209">
        <w:tab/>
        <w:t>XI.</w:t>
      </w:r>
      <w:r w:rsidRPr="00C15209">
        <w:tab/>
        <w:t xml:space="preserve">Программа работы и двухгодичная оценка </w:t>
      </w:r>
      <w:r w:rsidR="001178BF">
        <w:br/>
      </w:r>
      <w:r w:rsidRPr="00C15209">
        <w:t>(пункт 10 повестки дня)</w:t>
      </w:r>
    </w:p>
    <w:p w:rsidR="00C15209" w:rsidRPr="00C15209" w:rsidRDefault="00C15209" w:rsidP="00C15209">
      <w:pPr>
        <w:pStyle w:val="SingleTxtGR"/>
      </w:pPr>
      <w:r w:rsidRPr="00C15209">
        <w:t>42.</w:t>
      </w:r>
      <w:r w:rsidRPr="00C15209">
        <w:tab/>
        <w:t>На последней сессии SC.1 рассмотрела и приняла с незначительными и</w:t>
      </w:r>
      <w:r w:rsidRPr="00C15209">
        <w:t>з</w:t>
      </w:r>
      <w:r w:rsidRPr="00C15209">
        <w:t>менениями свою программу работы на 2016−2017 годы (ECE/TRANS/</w:t>
      </w:r>
      <w:r w:rsidR="001178BF">
        <w:t xml:space="preserve"> </w:t>
      </w:r>
      <w:r w:rsidRPr="00C15209">
        <w:t>SC.1/2015/4). SC.1 поручила секретариату представить пересмотренный док</w:t>
      </w:r>
      <w:r w:rsidRPr="00C15209">
        <w:t>у</w:t>
      </w:r>
      <w:r w:rsidRPr="00C15209">
        <w:t xml:space="preserve">мент ECE/TRANS/SC.1/2015/4 КВТ и передать пересмотренный документ (ECE/TRANS/SC.1/2015/4/Rev.1) для </w:t>
      </w:r>
      <w:r w:rsidR="00985591">
        <w:t>«</w:t>
      </w:r>
      <w:r w:rsidRPr="00C15209">
        <w:t>официального</w:t>
      </w:r>
      <w:r w:rsidR="00985591">
        <w:t>»</w:t>
      </w:r>
      <w:r w:rsidRPr="00C15209">
        <w:t xml:space="preserve"> утверждения на следу</w:t>
      </w:r>
      <w:r w:rsidRPr="00C15209">
        <w:t>ю</w:t>
      </w:r>
      <w:r w:rsidRPr="00C15209">
        <w:t xml:space="preserve">щей сессии. SC.1 </w:t>
      </w:r>
      <w:r w:rsidR="00985591">
        <w:t>«</w:t>
      </w:r>
      <w:r w:rsidRPr="00C15209">
        <w:t>официально утвердила</w:t>
      </w:r>
      <w:r w:rsidR="00985591">
        <w:t>»</w:t>
      </w:r>
      <w:r w:rsidRPr="00C15209">
        <w:t xml:space="preserve"> ECE/TRANS/SC.1/2015/4/Rev.1 на нынешней сессии.</w:t>
      </w:r>
    </w:p>
    <w:p w:rsidR="00C15209" w:rsidRPr="00C15209" w:rsidRDefault="00C15209" w:rsidP="00611771">
      <w:pPr>
        <w:pStyle w:val="HChGR"/>
      </w:pPr>
      <w:r w:rsidRPr="00C15209">
        <w:tab/>
        <w:t>XII</w:t>
      </w:r>
      <w:r w:rsidR="00976D2E">
        <w:t>.</w:t>
      </w:r>
      <w:r w:rsidRPr="00C15209">
        <w:tab/>
        <w:t>Прочие вопросы (пункт 11 повестки дня)</w:t>
      </w:r>
    </w:p>
    <w:p w:rsidR="00C15209" w:rsidRPr="00C15209" w:rsidRDefault="00C15209" w:rsidP="00C15209">
      <w:pPr>
        <w:pStyle w:val="SingleTxtGR"/>
      </w:pPr>
      <w:r w:rsidRPr="00C15209">
        <w:t>43.</w:t>
      </w:r>
      <w:r w:rsidRPr="00C15209">
        <w:tab/>
        <w:t>SC.1 обсудила проект резолюции, подготовленный МСАТ (неофициал</w:t>
      </w:r>
      <w:r w:rsidRPr="00C15209">
        <w:t>ь</w:t>
      </w:r>
      <w:r w:rsidRPr="00C15209">
        <w:t>ный документ № 1), внесла изменения и приняла его (приложение III). Она п</w:t>
      </w:r>
      <w:r w:rsidRPr="00C15209">
        <w:t>о</w:t>
      </w:r>
      <w:r w:rsidRPr="00C15209">
        <w:t>ручила секретариату представить этот проект следующей сессии КВТ (ECE/TRANS/254, пункт 147). По просьбе МСАТ SC.1 решила не обсуждать проект резолюции, касающийся неконтролируемой миграции и международн</w:t>
      </w:r>
      <w:r w:rsidRPr="00C15209">
        <w:t>о</w:t>
      </w:r>
      <w:r w:rsidRPr="00C15209">
        <w:t>го кризиса, связанного с беженцами, и преодоления его последствий для авт</w:t>
      </w:r>
      <w:r w:rsidRPr="00C15209">
        <w:t>о</w:t>
      </w:r>
      <w:r w:rsidRPr="00C15209">
        <w:t>транспортной отрасли (неофициальный документ № 2).</w:t>
      </w:r>
    </w:p>
    <w:p w:rsidR="00C15209" w:rsidRPr="00C15209" w:rsidRDefault="00C15209" w:rsidP="00611771">
      <w:pPr>
        <w:pStyle w:val="HChGR"/>
      </w:pPr>
      <w:r w:rsidRPr="00C15209">
        <w:tab/>
        <w:t>XIII.</w:t>
      </w:r>
      <w:r w:rsidRPr="00C15209">
        <w:tab/>
        <w:t xml:space="preserve">Сроки проведения следующей сессии </w:t>
      </w:r>
      <w:r w:rsidR="001178BF">
        <w:br/>
      </w:r>
      <w:r w:rsidRPr="00C15209">
        <w:t>(пункт 12 повестки дня)</w:t>
      </w:r>
    </w:p>
    <w:p w:rsidR="00C15209" w:rsidRPr="00C15209" w:rsidRDefault="00C15209" w:rsidP="00C15209">
      <w:pPr>
        <w:pStyle w:val="SingleTxtGR"/>
      </w:pPr>
      <w:r w:rsidRPr="00C15209">
        <w:t>44.</w:t>
      </w:r>
      <w:r w:rsidRPr="00C15209">
        <w:tab/>
        <w:t>Рабочая группа была проинформирована о том, что секретариат заплан</w:t>
      </w:r>
      <w:r w:rsidRPr="00C15209">
        <w:t>и</w:t>
      </w:r>
      <w:r w:rsidRPr="00C15209">
        <w:t>ровал провести ее следующую сессию 16–18 октября 2017 года. SC.1 поручила секретариату изучить совместно с МСАТ возможность организации в рамках следующей сессии семинара продолжительностью полдня по вопросу о буд</w:t>
      </w:r>
      <w:r w:rsidRPr="00C15209">
        <w:t>у</w:t>
      </w:r>
      <w:r w:rsidRPr="00C15209">
        <w:t xml:space="preserve">щем автомобильного транспорта. </w:t>
      </w:r>
    </w:p>
    <w:p w:rsidR="00C15209" w:rsidRPr="00C15209" w:rsidRDefault="00C15209" w:rsidP="00611771">
      <w:pPr>
        <w:pStyle w:val="HChGR"/>
      </w:pPr>
      <w:r w:rsidRPr="00C15209">
        <w:tab/>
        <w:t>XIV.</w:t>
      </w:r>
      <w:r w:rsidRPr="00C15209">
        <w:tab/>
        <w:t>Выборы должностных лиц (пункт 13 повестки дня)</w:t>
      </w:r>
    </w:p>
    <w:p w:rsidR="00C15209" w:rsidRPr="00C15209" w:rsidRDefault="00C15209" w:rsidP="002A53D6">
      <w:pPr>
        <w:pStyle w:val="SingleTxtGR"/>
        <w:keepNext/>
        <w:keepLines/>
      </w:pPr>
      <w:r w:rsidRPr="00C15209">
        <w:t>45.</w:t>
      </w:r>
      <w:r w:rsidRPr="00C15209">
        <w:tab/>
        <w:t>Рабочая группа избрала своих должностных лиц на период с ноября 2016</w:t>
      </w:r>
      <w:r w:rsidR="001178BF">
        <w:t> </w:t>
      </w:r>
      <w:r w:rsidRPr="00C15209">
        <w:t>года по октябрь 2018 года. Г-н Р. Симоненко (Украина) был избран Пре</w:t>
      </w:r>
      <w:r w:rsidRPr="00C15209">
        <w:t>д</w:t>
      </w:r>
      <w:r w:rsidRPr="00C15209">
        <w:t>седателем; г-жа Н. Туфекджиоглу (Турция) и г-н К. Левчак (Польша) были и</w:t>
      </w:r>
      <w:r w:rsidRPr="00C15209">
        <w:t>з</w:t>
      </w:r>
      <w:r w:rsidRPr="00C15209">
        <w:t>браны заместителями Председателя.</w:t>
      </w:r>
    </w:p>
    <w:p w:rsidR="00C15209" w:rsidRPr="00C15209" w:rsidRDefault="00C15209" w:rsidP="002A53D6">
      <w:pPr>
        <w:pStyle w:val="HChGR"/>
      </w:pPr>
      <w:r w:rsidRPr="00C15209">
        <w:tab/>
        <w:t>XV.</w:t>
      </w:r>
      <w:r w:rsidRPr="00C15209">
        <w:tab/>
        <w:t>Утверждение доклада (пункт 14 повестки дня)</w:t>
      </w:r>
    </w:p>
    <w:p w:rsidR="00C15209" w:rsidRPr="00C15209" w:rsidRDefault="00C15209" w:rsidP="00C15209">
      <w:pPr>
        <w:pStyle w:val="SingleTxtGR"/>
      </w:pPr>
      <w:r w:rsidRPr="00C15209">
        <w:t>46.</w:t>
      </w:r>
      <w:r w:rsidRPr="00C15209">
        <w:tab/>
        <w:t>Рабочая группа утвердила доклад о работе нынешней сессии.</w:t>
      </w:r>
    </w:p>
    <w:p w:rsidR="00C15209" w:rsidRPr="00C15209" w:rsidRDefault="00C15209" w:rsidP="00C15209">
      <w:pPr>
        <w:pStyle w:val="SingleTxtGR"/>
      </w:pPr>
      <w:r w:rsidRPr="00C15209">
        <w:br w:type="page"/>
      </w:r>
    </w:p>
    <w:p w:rsidR="00C15209" w:rsidRPr="00C15209" w:rsidRDefault="00C15209" w:rsidP="00611771">
      <w:pPr>
        <w:pStyle w:val="HChGR"/>
      </w:pPr>
      <w:r w:rsidRPr="00C15209">
        <w:t>Приложение I</w:t>
      </w:r>
    </w:p>
    <w:p w:rsidR="00C15209" w:rsidRPr="00C15209" w:rsidRDefault="00C15209" w:rsidP="00611771">
      <w:pPr>
        <w:pStyle w:val="HChGR"/>
      </w:pPr>
      <w:r w:rsidRPr="00C15209">
        <w:tab/>
      </w:r>
      <w:r w:rsidRPr="00C15209">
        <w:tab/>
        <w:t>Предложение о поправке к приложению I к</w:t>
      </w:r>
      <w:r w:rsidR="002A53D6">
        <w:t> </w:t>
      </w:r>
      <w:r w:rsidRPr="00C15209">
        <w:t xml:space="preserve">Европейскому соглашению о международных автомагистралях (СМА) </w:t>
      </w:r>
    </w:p>
    <w:p w:rsidR="00C15209" w:rsidRPr="00C15209" w:rsidRDefault="00C15209" w:rsidP="00C15209">
      <w:pPr>
        <w:pStyle w:val="SingleTxtGR"/>
      </w:pPr>
      <w:r w:rsidRPr="00C15209">
        <w:tab/>
        <w:t>Правительство Норвегии предложило продлить маршрут E134 от Дра</w:t>
      </w:r>
      <w:r w:rsidRPr="00C15209">
        <w:t>м</w:t>
      </w:r>
      <w:r w:rsidRPr="00C15209">
        <w:t xml:space="preserve">мена до Вассума (Норвегия). В связи с этим оно предложило внести следующие поправки в приложение I к Соглашению СМА (добавленный текст выделен </w:t>
      </w:r>
      <w:r w:rsidRPr="00C15209">
        <w:rPr>
          <w:b/>
          <w:bCs/>
        </w:rPr>
        <w:t>жирным шрифтом</w:t>
      </w:r>
      <w:r w:rsidRPr="00C15209">
        <w:t xml:space="preserve">): </w:t>
      </w:r>
    </w:p>
    <w:p w:rsidR="00C15209" w:rsidRPr="00C15209" w:rsidRDefault="001D0B4B" w:rsidP="00C15209">
      <w:pPr>
        <w:pStyle w:val="SingleTxtGR"/>
        <w:rPr>
          <w:b/>
        </w:rPr>
      </w:pPr>
      <w:r>
        <w:t xml:space="preserve">E 134 </w:t>
      </w:r>
      <w:r>
        <w:tab/>
      </w:r>
      <w:r w:rsidR="00C15209" w:rsidRPr="00C15209">
        <w:tab/>
        <w:t>Хеугесунн</w:t>
      </w:r>
      <w:r>
        <w:t xml:space="preserve"> – </w:t>
      </w:r>
      <w:r w:rsidR="00C15209" w:rsidRPr="00C15209">
        <w:t>Хеукилигренн</w:t>
      </w:r>
      <w:r>
        <w:t xml:space="preserve"> </w:t>
      </w:r>
      <w:r w:rsidR="00C15209" w:rsidRPr="00C15209">
        <w:t>–</w:t>
      </w:r>
      <w:r>
        <w:t xml:space="preserve"> </w:t>
      </w:r>
      <w:r w:rsidR="00C15209" w:rsidRPr="00C15209">
        <w:t>Драммен</w:t>
      </w:r>
      <w:r>
        <w:t xml:space="preserve"> </w:t>
      </w:r>
      <w:r w:rsidR="00C15209" w:rsidRPr="00C15209">
        <w:t>–</w:t>
      </w:r>
      <w:r>
        <w:t xml:space="preserve"> </w:t>
      </w:r>
      <w:r w:rsidR="00C15209" w:rsidRPr="00C15209">
        <w:rPr>
          <w:b/>
          <w:bCs/>
        </w:rPr>
        <w:t>Дрёбак</w:t>
      </w:r>
      <w:r>
        <w:rPr>
          <w:b/>
          <w:bCs/>
        </w:rPr>
        <w:t xml:space="preserve"> </w:t>
      </w:r>
      <w:r w:rsidR="00C15209" w:rsidRPr="00C15209">
        <w:rPr>
          <w:b/>
          <w:bCs/>
        </w:rPr>
        <w:t>–</w:t>
      </w:r>
      <w:r>
        <w:rPr>
          <w:b/>
          <w:bCs/>
        </w:rPr>
        <w:t xml:space="preserve"> </w:t>
      </w:r>
      <w:r w:rsidR="00C15209" w:rsidRPr="00C15209">
        <w:rPr>
          <w:b/>
          <w:bCs/>
        </w:rPr>
        <w:t>Вассум</w:t>
      </w:r>
    </w:p>
    <w:p w:rsidR="00C15209" w:rsidRPr="00C15209" w:rsidRDefault="00C15209" w:rsidP="00C15209">
      <w:pPr>
        <w:pStyle w:val="SingleTxtGR"/>
      </w:pPr>
      <w:r w:rsidRPr="00C15209">
        <w:tab/>
        <w:t>SC.1 приняла это предложение о поправке в соответствии со статьей 8 Соглашения СМА.</w:t>
      </w:r>
    </w:p>
    <w:p w:rsidR="00C15209" w:rsidRPr="00C15209" w:rsidRDefault="00C15209" w:rsidP="00C15209">
      <w:pPr>
        <w:pStyle w:val="SingleTxtGR"/>
        <w:rPr>
          <w:b/>
        </w:rPr>
      </w:pPr>
      <w:r w:rsidRPr="00C15209">
        <w:rPr>
          <w:b/>
        </w:rPr>
        <w:br w:type="page"/>
      </w:r>
    </w:p>
    <w:p w:rsidR="00C15209" w:rsidRPr="00C15209" w:rsidRDefault="00C15209" w:rsidP="00611771">
      <w:pPr>
        <w:pStyle w:val="HChGR"/>
      </w:pPr>
      <w:r w:rsidRPr="00C15209">
        <w:t>Приложение II</w:t>
      </w:r>
    </w:p>
    <w:p w:rsidR="00C15209" w:rsidRPr="00C15209" w:rsidRDefault="00C15209" w:rsidP="00611771">
      <w:pPr>
        <w:pStyle w:val="HChGR"/>
      </w:pPr>
      <w:r w:rsidRPr="00C15209">
        <w:tab/>
      </w:r>
      <w:r w:rsidRPr="00C15209">
        <w:tab/>
        <w:t>Предложение о поправке к приложению I к</w:t>
      </w:r>
      <w:r w:rsidR="002A53D6">
        <w:t> </w:t>
      </w:r>
      <w:r w:rsidRPr="00C15209">
        <w:t xml:space="preserve">Европейскому соглашению о международных автомагистралях (СМА) </w:t>
      </w:r>
    </w:p>
    <w:p w:rsidR="00C15209" w:rsidRPr="00C15209" w:rsidRDefault="00C15209" w:rsidP="00C15209">
      <w:pPr>
        <w:pStyle w:val="SingleTxtGR"/>
      </w:pPr>
      <w:r w:rsidRPr="00C15209">
        <w:tab/>
        <w:t>Правительства Финляндии и Норвегии предложили продлить мар</w:t>
      </w:r>
      <w:r w:rsidRPr="00C15209">
        <w:t>ш</w:t>
      </w:r>
      <w:r w:rsidRPr="00C15209">
        <w:t>рут</w:t>
      </w:r>
      <w:r w:rsidR="002A53D6">
        <w:t> </w:t>
      </w:r>
      <w:r w:rsidRPr="00C15209">
        <w:t>E45 от Каресуандо (Швеция) через территорию Финляндии до Алты (Но</w:t>
      </w:r>
      <w:r w:rsidRPr="00C15209">
        <w:t>р</w:t>
      </w:r>
      <w:r w:rsidRPr="00C15209">
        <w:t>вегия).</w:t>
      </w:r>
    </w:p>
    <w:p w:rsidR="00C15209" w:rsidRPr="00C15209" w:rsidRDefault="00C15209" w:rsidP="00C15209">
      <w:pPr>
        <w:pStyle w:val="SingleTxtGR"/>
      </w:pPr>
      <w:r w:rsidRPr="00C15209">
        <w:tab/>
        <w:t>В связи с этим они предложили внести следующую поправку в прилож</w:t>
      </w:r>
      <w:r w:rsidRPr="00C15209">
        <w:t>е</w:t>
      </w:r>
      <w:r w:rsidRPr="00C15209">
        <w:t xml:space="preserve">ние I к Соглашению СМА (добавленный текст выделен </w:t>
      </w:r>
      <w:r w:rsidRPr="00C15209">
        <w:rPr>
          <w:b/>
          <w:bCs/>
        </w:rPr>
        <w:t>жирным шрифтом</w:t>
      </w:r>
      <w:r w:rsidRPr="00C15209">
        <w:t xml:space="preserve">): </w:t>
      </w:r>
    </w:p>
    <w:p w:rsidR="00C15209" w:rsidRPr="00C15209" w:rsidRDefault="00C15209" w:rsidP="00C15209">
      <w:pPr>
        <w:pStyle w:val="SingleTxtGR"/>
      </w:pPr>
      <w:r w:rsidRPr="00C15209">
        <w:rPr>
          <w:b/>
          <w:bCs/>
        </w:rPr>
        <w:t xml:space="preserve">Алта – Кёутукейну – Хетта – Палойоэнсуу – Кааресуванто </w:t>
      </w:r>
      <w:r w:rsidRPr="00C15209">
        <w:t>– Каресуандо – Хетта – Палойоэнсуу – Елливаре – Стуруман – Эстесунд – Мура – Грумс – Тролльхеттан – Гётеборг – Фредериксхавн – Ольборг – Орхус – Вайле – Ко</w:t>
      </w:r>
      <w:r w:rsidRPr="00C15209">
        <w:t>л</w:t>
      </w:r>
      <w:r w:rsidRPr="00C15209">
        <w:t>линг – Фрёслев – Фленсбург – Гамбург – Ганновер – Гёттинген – Кассель – Фульда – Вюрцбург – Нюрнберг – Мюнхен – Розенгейм – Вергль – Инсбрук – пер. Бреннер – Фортецца – Больцано – Тренто – Верона – Модена – Болонья – Чезена – Перуджа – Фиано (Рим) – Сан-Чезарео (Рим) – Неаполь – Салерно – Сичиньяно – Козенца – Вилла-Сан-Джованни ... Мессина – Катания – Сирак</w:t>
      </w:r>
      <w:r w:rsidRPr="00C15209">
        <w:t>у</w:t>
      </w:r>
      <w:r w:rsidR="001D0B4B">
        <w:t>зы – Джела</w:t>
      </w:r>
    </w:p>
    <w:p w:rsidR="00C15209" w:rsidRPr="00C15209" w:rsidRDefault="00C15209" w:rsidP="00C15209">
      <w:pPr>
        <w:pStyle w:val="SingleTxtGR"/>
      </w:pPr>
      <w:r w:rsidRPr="00C15209">
        <w:tab/>
        <w:t>SC.1 приняла это предложение о поправке в соответствии со статьей 8 Соглашения СМА.</w:t>
      </w:r>
    </w:p>
    <w:p w:rsidR="00C15209" w:rsidRPr="00C15209" w:rsidRDefault="00C15209" w:rsidP="00C15209">
      <w:pPr>
        <w:pStyle w:val="SingleTxtGR"/>
      </w:pPr>
      <w:r w:rsidRPr="00C15209">
        <w:br w:type="page"/>
      </w:r>
    </w:p>
    <w:p w:rsidR="00C15209" w:rsidRPr="00C15209" w:rsidRDefault="00C15209" w:rsidP="00A044F5">
      <w:pPr>
        <w:pStyle w:val="HChGR"/>
      </w:pPr>
      <w:r w:rsidRPr="00C15209">
        <w:t>Приложение III</w:t>
      </w:r>
    </w:p>
    <w:p w:rsidR="00C15209" w:rsidRPr="00C15209" w:rsidRDefault="00C15209" w:rsidP="00A044F5">
      <w:pPr>
        <w:pStyle w:val="HChGR"/>
      </w:pPr>
      <w:r w:rsidRPr="00C15209">
        <w:tab/>
      </w:r>
      <w:r w:rsidRPr="00C15209">
        <w:tab/>
        <w:t xml:space="preserve">Резолюция SC.1 для представления сессии КВТ </w:t>
      </w:r>
      <w:r w:rsidR="002A53D6">
        <w:br/>
      </w:r>
      <w:r w:rsidRPr="00C15209">
        <w:t>2017 года</w:t>
      </w:r>
    </w:p>
    <w:p w:rsidR="00C15209" w:rsidRPr="00C15209" w:rsidRDefault="00A044F5" w:rsidP="00A044F5">
      <w:pPr>
        <w:pStyle w:val="H23GR"/>
      </w:pPr>
      <w:r w:rsidRPr="002A53D6">
        <w:tab/>
      </w:r>
      <w:r w:rsidRPr="002A53D6">
        <w:tab/>
      </w:r>
      <w:r w:rsidR="00C15209" w:rsidRPr="00C15209">
        <w:t>Резолюция SC.1 для представления сессии КВТ 2017 года</w:t>
      </w:r>
    </w:p>
    <w:p w:rsidR="00C15209" w:rsidRPr="00C15209" w:rsidRDefault="00A044F5" w:rsidP="00A044F5">
      <w:pPr>
        <w:pStyle w:val="H23GR"/>
      </w:pPr>
      <w:r w:rsidRPr="002A53D6">
        <w:tab/>
      </w:r>
      <w:r w:rsidRPr="002A53D6">
        <w:tab/>
      </w:r>
      <w:r w:rsidR="00C15209" w:rsidRPr="00C15209">
        <w:t>Рабочая группа по автомобильному транспорту ЕЭК ООН (SC.1):</w:t>
      </w:r>
    </w:p>
    <w:p w:rsidR="00C15209" w:rsidRPr="00C15209" w:rsidRDefault="00C15209" w:rsidP="00C15209">
      <w:pPr>
        <w:pStyle w:val="SingleTxtGR"/>
      </w:pPr>
      <w:r w:rsidRPr="00C15209">
        <w:rPr>
          <w:b/>
          <w:bCs/>
        </w:rPr>
        <w:t>высоко оценивая</w:t>
      </w:r>
      <w:r w:rsidRPr="00C15209">
        <w:t xml:space="preserve"> работу КВТ, национальных правительств и секретариата ЕЭК ООН, направленную на развитие устойчивых автомобильных перевозок, по случаю семидесятой юбилейной сессии КВТ;</w:t>
      </w:r>
    </w:p>
    <w:p w:rsidR="00C15209" w:rsidRPr="00C15209" w:rsidRDefault="00C15209" w:rsidP="00C15209">
      <w:pPr>
        <w:pStyle w:val="SingleTxtGR"/>
      </w:pPr>
      <w:r w:rsidRPr="00C15209">
        <w:rPr>
          <w:b/>
          <w:bCs/>
        </w:rPr>
        <w:t>подтверждая</w:t>
      </w:r>
      <w:r w:rsidRPr="00C15209">
        <w:t xml:space="preserve"> важность существующих международно-правовых документов Организации Объединенных Наций, касающихся автомобильных перевозок;</w:t>
      </w:r>
    </w:p>
    <w:p w:rsidR="00C15209" w:rsidRPr="00C15209" w:rsidRDefault="00C15209" w:rsidP="00C15209">
      <w:pPr>
        <w:pStyle w:val="SingleTxtGR"/>
      </w:pPr>
      <w:r w:rsidRPr="00C15209">
        <w:rPr>
          <w:b/>
          <w:bCs/>
        </w:rPr>
        <w:t>признавая</w:t>
      </w:r>
      <w:r w:rsidRPr="00C15209">
        <w:t xml:space="preserve"> роль автомобильного транспорта в качестве эффективного инстр</w:t>
      </w:r>
      <w:r w:rsidRPr="00C15209">
        <w:t>у</w:t>
      </w:r>
      <w:r w:rsidRPr="00C15209">
        <w:t>мента глобализированной экономики и одного из факторов, способствующих реализации Целей устойчивого развития Организации Объединенных Наций;</w:t>
      </w:r>
    </w:p>
    <w:p w:rsidR="00C15209" w:rsidRPr="00C15209" w:rsidRDefault="00C15209" w:rsidP="00C15209">
      <w:pPr>
        <w:pStyle w:val="SingleTxtGR"/>
      </w:pPr>
      <w:r w:rsidRPr="00C15209">
        <w:rPr>
          <w:b/>
          <w:bCs/>
        </w:rPr>
        <w:t>принимая во внимание</w:t>
      </w:r>
      <w:r w:rsidRPr="00C15209">
        <w:t xml:space="preserve"> продолжающиеся усилия и мероприятия по облегч</w:t>
      </w:r>
      <w:r w:rsidRPr="00C15209">
        <w:t>е</w:t>
      </w:r>
      <w:r w:rsidRPr="00C15209">
        <w:t>нию международных автомобильных перевозок пассажиров и грузов путем с</w:t>
      </w:r>
      <w:r w:rsidRPr="00C15209">
        <w:t>о</w:t>
      </w:r>
      <w:r w:rsidRPr="00C15209">
        <w:t>вершенствования нормативно-правовой базы международных автомобильных перевозок;</w:t>
      </w:r>
    </w:p>
    <w:p w:rsidR="00C15209" w:rsidRPr="00C15209" w:rsidRDefault="00C15209" w:rsidP="00C15209">
      <w:pPr>
        <w:pStyle w:val="SingleTxtGR"/>
      </w:pPr>
      <w:r w:rsidRPr="00C15209">
        <w:rPr>
          <w:b/>
          <w:bCs/>
        </w:rPr>
        <w:t>учитывая</w:t>
      </w:r>
      <w:r w:rsidRPr="00C15209">
        <w:t xml:space="preserve"> непрерывное обновление Европейского соглашения, касающегося работы экипажей транспортных средств, производящих международные авт</w:t>
      </w:r>
      <w:r w:rsidRPr="00C15209">
        <w:t>о</w:t>
      </w:r>
      <w:r w:rsidRPr="00C15209">
        <w:t>мобильные перевозки (ЕСТР), которое представляет собой передовую и согл</w:t>
      </w:r>
      <w:r w:rsidRPr="00C15209">
        <w:t>а</w:t>
      </w:r>
      <w:r w:rsidRPr="00C15209">
        <w:t>сованную на международном уровне систему для повышения безопасности д</w:t>
      </w:r>
      <w:r w:rsidRPr="00C15209">
        <w:t>о</w:t>
      </w:r>
      <w:r w:rsidRPr="00C15209">
        <w:t>рожного движения, обеспечения добросовестной конкуренции и улучшения с</w:t>
      </w:r>
      <w:r w:rsidRPr="00C15209">
        <w:t>о</w:t>
      </w:r>
      <w:r w:rsidRPr="00C15209">
        <w:t>циальных условий профессиональных водителей;</w:t>
      </w:r>
    </w:p>
    <w:p w:rsidR="00C15209" w:rsidRPr="00C15209" w:rsidRDefault="00C15209" w:rsidP="00C15209">
      <w:pPr>
        <w:pStyle w:val="SingleTxtGR"/>
        <w:rPr>
          <w:b/>
        </w:rPr>
      </w:pPr>
      <w:r w:rsidRPr="00C15209">
        <w:rPr>
          <w:b/>
          <w:bCs/>
        </w:rPr>
        <w:t>приветствуя</w:t>
      </w:r>
      <w:r w:rsidRPr="00C15209">
        <w:t xml:space="preserve"> открытие Соглашения ЕСТР для присоединения Алжира, Иорд</w:t>
      </w:r>
      <w:r w:rsidRPr="00C15209">
        <w:t>а</w:t>
      </w:r>
      <w:r w:rsidRPr="00C15209">
        <w:t>нии, Марокко и Туниса как первого шага в деле продвижения Соглашения ЕСТР в качестве приемлемой и согласованной на международном уровне с</w:t>
      </w:r>
      <w:r w:rsidRPr="00C15209">
        <w:t>и</w:t>
      </w:r>
      <w:r w:rsidRPr="00C15209">
        <w:t>стемы регулирования времени работы и отдыха водителей за пределами реги</w:t>
      </w:r>
      <w:r w:rsidRPr="00C15209">
        <w:t>о</w:t>
      </w:r>
      <w:r w:rsidRPr="00C15209">
        <w:t>на ЕЭК ООН;</w:t>
      </w:r>
    </w:p>
    <w:p w:rsidR="00C15209" w:rsidRPr="00C15209" w:rsidRDefault="00C15209" w:rsidP="00C15209">
      <w:pPr>
        <w:pStyle w:val="SingleTxtGR"/>
      </w:pPr>
      <w:r w:rsidRPr="00C15209">
        <w:rPr>
          <w:b/>
          <w:bCs/>
        </w:rPr>
        <w:t>приветствуя</w:t>
      </w:r>
      <w:r w:rsidRPr="00C15209">
        <w:t xml:space="preserve"> работу над Европейским соглашением о международных автом</w:t>
      </w:r>
      <w:r w:rsidRPr="00C15209">
        <w:t>а</w:t>
      </w:r>
      <w:r w:rsidRPr="00C15209">
        <w:t>гистралях (СМА) и в рамках проекта Трансъевропейской автомагистрали (ТЕА), благодаря которой создаются скоординированные планы строительства и развития дорог международного значения в регионе ЕЭК ООН;</w:t>
      </w:r>
    </w:p>
    <w:p w:rsidR="00C15209" w:rsidRPr="00C15209" w:rsidRDefault="00C15209" w:rsidP="00C15209">
      <w:pPr>
        <w:pStyle w:val="SingleTxtGR"/>
      </w:pPr>
      <w:r w:rsidRPr="00C15209">
        <w:rPr>
          <w:b/>
          <w:bCs/>
        </w:rPr>
        <w:t>подчеркивая</w:t>
      </w:r>
      <w:r w:rsidRPr="00C15209">
        <w:t xml:space="preserve"> важное значение Конвенции о договоре международной доро</w:t>
      </w:r>
      <w:r w:rsidRPr="00C15209">
        <w:t>ж</w:t>
      </w:r>
      <w:r w:rsidRPr="00C15209">
        <w:t>ной перевозки грузов (КДПГ) и Дополнительного протокола к КДПГ, касающ</w:t>
      </w:r>
      <w:r w:rsidRPr="00C15209">
        <w:t>е</w:t>
      </w:r>
      <w:r w:rsidRPr="00C15209">
        <w:t>гося электронной накладной, для облегчения международных автомобильных перевозок путем обеспечения согласованных договорных условий, а также о</w:t>
      </w:r>
      <w:r w:rsidRPr="00C15209">
        <w:t>с</w:t>
      </w:r>
      <w:r w:rsidRPr="00C15209">
        <w:t>новы для разработки электронной накладной;</w:t>
      </w:r>
    </w:p>
    <w:p w:rsidR="00C15209" w:rsidRPr="00C15209" w:rsidRDefault="00C15209" w:rsidP="00C15209">
      <w:pPr>
        <w:pStyle w:val="SingleTxtGR"/>
      </w:pPr>
      <w:r w:rsidRPr="00C15209">
        <w:rPr>
          <w:b/>
          <w:bCs/>
        </w:rPr>
        <w:t>приветствуя</w:t>
      </w:r>
      <w:r w:rsidRPr="00C15209">
        <w:t xml:space="preserve"> повышение уровня профессионализма в автотранспортной отра</w:t>
      </w:r>
      <w:r w:rsidRPr="00C15209">
        <w:t>с</w:t>
      </w:r>
      <w:r w:rsidRPr="00C15209">
        <w:t xml:space="preserve">ли благодаря программам подготовки, проводимым национальными учебными заведениями с учетом передовой практики Академии МСАТ; </w:t>
      </w:r>
    </w:p>
    <w:p w:rsidR="00C15209" w:rsidRPr="00C15209" w:rsidRDefault="00C15209" w:rsidP="00C15209">
      <w:pPr>
        <w:pStyle w:val="SingleTxtGR"/>
        <w:rPr>
          <w:b/>
        </w:rPr>
      </w:pPr>
      <w:r w:rsidRPr="00C15209">
        <w:rPr>
          <w:b/>
          <w:bCs/>
        </w:rPr>
        <w:t>отмечая</w:t>
      </w:r>
      <w:r w:rsidRPr="00C15209">
        <w:t xml:space="preserve"> существенную роль, которую играют обязательные международные принципы и согласованные рекомендации для обеспечения устойчивых автом</w:t>
      </w:r>
      <w:r w:rsidRPr="00C15209">
        <w:t>о</w:t>
      </w:r>
      <w:r w:rsidRPr="00C15209">
        <w:t>бильных перевозок, SC.1:</w:t>
      </w:r>
    </w:p>
    <w:p w:rsidR="00611771" w:rsidRPr="00611771" w:rsidRDefault="00611771" w:rsidP="00A044F5">
      <w:pPr>
        <w:pStyle w:val="SingleTxtGR"/>
        <w:ind w:left="1701" w:hanging="567"/>
      </w:pPr>
      <w:r w:rsidRPr="00611771">
        <w:rPr>
          <w:b/>
        </w:rPr>
        <w:t>1.</w:t>
      </w:r>
      <w:r w:rsidRPr="00611771">
        <w:rPr>
          <w:b/>
        </w:rPr>
        <w:tab/>
      </w:r>
      <w:r w:rsidRPr="00611771">
        <w:rPr>
          <w:b/>
          <w:bCs/>
        </w:rPr>
        <w:t>твердо намерена</w:t>
      </w:r>
      <w:r w:rsidRPr="00611771">
        <w:t xml:space="preserve"> добиваться эффективного осуществления и расширения географического охвата Соглашения ЕСТР и, в частности, использования отвечающего требованиям ЕСТР контрольного устройства для обеспеч</w:t>
      </w:r>
      <w:r w:rsidRPr="00611771">
        <w:t>е</w:t>
      </w:r>
      <w:r w:rsidRPr="00611771">
        <w:t>ния соблюдения продолжительности работы и отдыха профессиональных водителей;</w:t>
      </w:r>
    </w:p>
    <w:p w:rsidR="00611771" w:rsidRPr="00611771" w:rsidRDefault="00611771" w:rsidP="00A044F5">
      <w:pPr>
        <w:pStyle w:val="SingleTxtGR"/>
        <w:ind w:left="1701" w:hanging="567"/>
      </w:pPr>
      <w:r w:rsidRPr="00611771">
        <w:rPr>
          <w:b/>
        </w:rPr>
        <w:t>2.</w:t>
      </w:r>
      <w:r w:rsidRPr="00611771">
        <w:rPr>
          <w:b/>
        </w:rPr>
        <w:tab/>
      </w:r>
      <w:r w:rsidRPr="00611771">
        <w:rPr>
          <w:b/>
          <w:bCs/>
        </w:rPr>
        <w:t>подтверждает</w:t>
      </w:r>
      <w:r w:rsidRPr="00611771">
        <w:t xml:space="preserve"> свою роль в содействии применению стандартов СМА, цель которых состоит в усилении региональной интеграции, ускорении экономического развития, повышении социальной вовлеченности и сн</w:t>
      </w:r>
      <w:r w:rsidRPr="00611771">
        <w:t>и</w:t>
      </w:r>
      <w:r w:rsidRPr="00611771">
        <w:t>жении зависимости транспортного сектора от углеводородов;</w:t>
      </w:r>
    </w:p>
    <w:p w:rsidR="00611771" w:rsidRPr="00611771" w:rsidRDefault="00611771" w:rsidP="00A044F5">
      <w:pPr>
        <w:pStyle w:val="SingleTxtGR"/>
        <w:ind w:left="1701" w:hanging="567"/>
      </w:pPr>
      <w:r w:rsidRPr="00611771">
        <w:rPr>
          <w:b/>
        </w:rPr>
        <w:t>3.</w:t>
      </w:r>
      <w:r w:rsidRPr="00611771">
        <w:rPr>
          <w:b/>
        </w:rPr>
        <w:tab/>
      </w:r>
      <w:r w:rsidRPr="00611771">
        <w:rPr>
          <w:b/>
          <w:bCs/>
        </w:rPr>
        <w:t>призывает</w:t>
      </w:r>
      <w:r w:rsidRPr="00611771">
        <w:t xml:space="preserve"> международное сообщество прилагать усилия в целях дал</w:t>
      </w:r>
      <w:r w:rsidRPr="00611771">
        <w:t>ь</w:t>
      </w:r>
      <w:r w:rsidRPr="00611771">
        <w:t>нейшего развития безбумажной трансграничной торговли и стимулиров</w:t>
      </w:r>
      <w:r w:rsidRPr="00611771">
        <w:t>а</w:t>
      </w:r>
      <w:r w:rsidRPr="00611771">
        <w:t>ния устойчивых автомобильных перевозок;</w:t>
      </w:r>
    </w:p>
    <w:p w:rsidR="00611771" w:rsidRPr="00611771" w:rsidRDefault="00611771" w:rsidP="00A044F5">
      <w:pPr>
        <w:pStyle w:val="SingleTxtGR"/>
        <w:ind w:left="1701" w:hanging="567"/>
      </w:pPr>
      <w:r w:rsidRPr="00611771">
        <w:rPr>
          <w:b/>
        </w:rPr>
        <w:t>4.</w:t>
      </w:r>
      <w:r w:rsidRPr="00611771">
        <w:rPr>
          <w:b/>
        </w:rPr>
        <w:tab/>
      </w:r>
      <w:r w:rsidRPr="00611771">
        <w:rPr>
          <w:b/>
          <w:bCs/>
        </w:rPr>
        <w:t>предлагает</w:t>
      </w:r>
      <w:r w:rsidRPr="00611771">
        <w:t xml:space="preserve"> правительствам присоединиться к Дополнительному прот</w:t>
      </w:r>
      <w:r w:rsidRPr="00611771">
        <w:t>о</w:t>
      </w:r>
      <w:r w:rsidRPr="00611771">
        <w:t>колу к КДПГ, касающемуся электронной накладной, и содействовать его практической реализации;</w:t>
      </w:r>
    </w:p>
    <w:p w:rsidR="00611771" w:rsidRPr="00611771" w:rsidRDefault="00611771" w:rsidP="00A044F5">
      <w:pPr>
        <w:pStyle w:val="SingleTxtGR"/>
        <w:ind w:left="1701" w:hanging="567"/>
      </w:pPr>
      <w:r w:rsidRPr="00611771">
        <w:rPr>
          <w:b/>
        </w:rPr>
        <w:t>5.</w:t>
      </w:r>
      <w:r w:rsidRPr="00611771">
        <w:rPr>
          <w:b/>
        </w:rPr>
        <w:tab/>
      </w:r>
      <w:r w:rsidRPr="00611771">
        <w:rPr>
          <w:b/>
          <w:bCs/>
        </w:rPr>
        <w:t>предлагает</w:t>
      </w:r>
      <w:r w:rsidRPr="00611771">
        <w:t xml:space="preserve"> правительствам присоединиться к хорошо зарекомендова</w:t>
      </w:r>
      <w:r w:rsidRPr="00611771">
        <w:t>в</w:t>
      </w:r>
      <w:r w:rsidRPr="00611771">
        <w:t>шим себя конвенциям Организации Объединенных Наций, которые сп</w:t>
      </w:r>
      <w:r w:rsidRPr="00611771">
        <w:t>о</w:t>
      </w:r>
      <w:r w:rsidRPr="00611771">
        <w:t>собствуют развитию устойчивого транспорта и тем самым междунаро</w:t>
      </w:r>
      <w:r w:rsidRPr="00611771">
        <w:t>д</w:t>
      </w:r>
      <w:r w:rsidRPr="00611771">
        <w:t>ной торговле, и в полной мере осуществлять их;</w:t>
      </w:r>
    </w:p>
    <w:p w:rsidR="00611771" w:rsidRPr="00611771" w:rsidRDefault="00611771" w:rsidP="00A044F5">
      <w:pPr>
        <w:pStyle w:val="SingleTxtGR"/>
        <w:ind w:left="1701" w:hanging="567"/>
      </w:pPr>
      <w:r w:rsidRPr="00611771">
        <w:rPr>
          <w:b/>
        </w:rPr>
        <w:t>6.</w:t>
      </w:r>
      <w:r w:rsidRPr="00611771">
        <w:rPr>
          <w:b/>
        </w:rPr>
        <w:tab/>
      </w:r>
      <w:r w:rsidRPr="00611771">
        <w:rPr>
          <w:b/>
          <w:bCs/>
        </w:rPr>
        <w:t>намерена</w:t>
      </w:r>
      <w:r w:rsidRPr="00611771">
        <w:t xml:space="preserve"> в случае необходимости разрабатывать новые правовые док</w:t>
      </w:r>
      <w:r w:rsidRPr="00611771">
        <w:t>у</w:t>
      </w:r>
      <w:r w:rsidRPr="00611771">
        <w:t>менты Организации Объединенных Наций, направленные на облегчение устойчивых международных перевозок пассажиров и грузов.</w:t>
      </w:r>
    </w:p>
    <w:p w:rsidR="00C15209" w:rsidRPr="00611771" w:rsidRDefault="00611771" w:rsidP="0061177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5209" w:rsidRPr="00611771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91" w:rsidRDefault="00985591" w:rsidP="00B471C5">
      <w:r>
        <w:separator/>
      </w:r>
    </w:p>
  </w:endnote>
  <w:endnote w:type="continuationSeparator" w:id="0">
    <w:p w:rsidR="00985591" w:rsidRDefault="0098559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91" w:rsidRPr="009A6F4A" w:rsidRDefault="00985591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15DCC">
      <w:rPr>
        <w:b/>
        <w:noProof/>
        <w:sz w:val="18"/>
        <w:szCs w:val="18"/>
      </w:rPr>
      <w:t>14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Pr="00862812">
      <w:rPr>
        <w:lang w:val="en-US"/>
      </w:rPr>
      <w:t>20674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91" w:rsidRPr="009A6F4A" w:rsidRDefault="00985591" w:rsidP="007005EE">
    <w:pPr>
      <w:pStyle w:val="Footer"/>
      <w:rPr>
        <w:lang w:val="en-US"/>
      </w:rPr>
    </w:pPr>
    <w:r>
      <w:rPr>
        <w:lang w:val="en-US"/>
      </w:rPr>
      <w:t>GE.16-</w:t>
    </w:r>
    <w:r w:rsidRPr="00862812">
      <w:rPr>
        <w:lang w:val="en-US"/>
      </w:rPr>
      <w:t>20674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15DCC">
      <w:rPr>
        <w:b/>
        <w:noProof/>
        <w:sz w:val="18"/>
        <w:szCs w:val="18"/>
      </w:rPr>
      <w:t>15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985591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85591" w:rsidRPr="001C3ABC" w:rsidRDefault="00985591" w:rsidP="0086281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862812">
            <w:rPr>
              <w:lang w:val="en-US"/>
            </w:rPr>
            <w:t>20674</w:t>
          </w:r>
          <w:r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091216  121216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985591" w:rsidRDefault="00985591" w:rsidP="00985591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08BED60" wp14:editId="031E49F4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985591" w:rsidRDefault="00985591" w:rsidP="00985591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3C07D375" wp14:editId="134803BB">
                <wp:extent cx="579755" cy="579755"/>
                <wp:effectExtent l="0" t="0" r="0" b="0"/>
                <wp:docPr id="3" name="Рисунок 3" descr="http://undocs.org/m2/QRCode.ashx?DS=ECE/TRANS/SC.1/40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SC.1/40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5591" w:rsidRPr="00797A78" w:rsidTr="00985591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85591" w:rsidRPr="00862812" w:rsidRDefault="00985591" w:rsidP="00985591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628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628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628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628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628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628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628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628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6281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985591" w:rsidRDefault="00985591" w:rsidP="00985591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985591" w:rsidRDefault="00985591" w:rsidP="00985591"/>
      </w:tc>
    </w:tr>
  </w:tbl>
  <w:p w:rsidR="00985591" w:rsidRPr="007005EE" w:rsidRDefault="00985591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91" w:rsidRPr="009141DC" w:rsidRDefault="0098559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85591" w:rsidRPr="00D1261C" w:rsidRDefault="0098559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91" w:rsidRPr="007005EE" w:rsidRDefault="00985591">
    <w:pPr>
      <w:pStyle w:val="Header"/>
      <w:rPr>
        <w:lang w:val="en-US"/>
      </w:rPr>
    </w:pPr>
    <w:r>
      <w:rPr>
        <w:lang w:val="en-US"/>
      </w:rPr>
      <w:t>ECE/</w:t>
    </w:r>
    <w:r w:rsidRPr="00862812">
      <w:rPr>
        <w:lang w:val="en-US"/>
      </w:rPr>
      <w:t>TRANS/SC.1/406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91" w:rsidRPr="004D639B" w:rsidRDefault="00985591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862812">
      <w:rPr>
        <w:lang w:val="en-US"/>
      </w:rPr>
      <w:t>TRANS/SC.1/406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91" w:rsidRDefault="00985591" w:rsidP="0086281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12"/>
    <w:rsid w:val="00020018"/>
    <w:rsid w:val="000450D1"/>
    <w:rsid w:val="000B1FD5"/>
    <w:rsid w:val="000B66AB"/>
    <w:rsid w:val="000D7A50"/>
    <w:rsid w:val="000F2A4F"/>
    <w:rsid w:val="00116AB1"/>
    <w:rsid w:val="001178BF"/>
    <w:rsid w:val="00130FA7"/>
    <w:rsid w:val="001B7EA2"/>
    <w:rsid w:val="001D0B4B"/>
    <w:rsid w:val="00203F84"/>
    <w:rsid w:val="00275188"/>
    <w:rsid w:val="0028687D"/>
    <w:rsid w:val="002A53D6"/>
    <w:rsid w:val="002B091C"/>
    <w:rsid w:val="002B3D40"/>
    <w:rsid w:val="002D0CCB"/>
    <w:rsid w:val="002F09C5"/>
    <w:rsid w:val="00345C79"/>
    <w:rsid w:val="00366A39"/>
    <w:rsid w:val="00446C97"/>
    <w:rsid w:val="00470628"/>
    <w:rsid w:val="0048005C"/>
    <w:rsid w:val="004D639B"/>
    <w:rsid w:val="004E242B"/>
    <w:rsid w:val="00544379"/>
    <w:rsid w:val="00566944"/>
    <w:rsid w:val="005D56BF"/>
    <w:rsid w:val="00611771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81840"/>
    <w:rsid w:val="007A1F42"/>
    <w:rsid w:val="007B4D55"/>
    <w:rsid w:val="007D76DD"/>
    <w:rsid w:val="00862812"/>
    <w:rsid w:val="008717E8"/>
    <w:rsid w:val="008D01AE"/>
    <w:rsid w:val="008E0423"/>
    <w:rsid w:val="008F0098"/>
    <w:rsid w:val="009141DC"/>
    <w:rsid w:val="009174A1"/>
    <w:rsid w:val="00976D2E"/>
    <w:rsid w:val="00985591"/>
    <w:rsid w:val="0098674D"/>
    <w:rsid w:val="00997ACA"/>
    <w:rsid w:val="009D19A3"/>
    <w:rsid w:val="00A03FB7"/>
    <w:rsid w:val="00A044F5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15209"/>
    <w:rsid w:val="00D1261C"/>
    <w:rsid w:val="00D26030"/>
    <w:rsid w:val="00D75DCE"/>
    <w:rsid w:val="00D834C3"/>
    <w:rsid w:val="00DD35AC"/>
    <w:rsid w:val="00DD479F"/>
    <w:rsid w:val="00E15E48"/>
    <w:rsid w:val="00E25B9D"/>
    <w:rsid w:val="00EB0723"/>
    <w:rsid w:val="00EB2957"/>
    <w:rsid w:val="00EE6F37"/>
    <w:rsid w:val="00EF6825"/>
    <w:rsid w:val="00F1599F"/>
    <w:rsid w:val="00F15DCC"/>
    <w:rsid w:val="00F31EF2"/>
    <w:rsid w:val="00F3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1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1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94D4-F508-4B25-B168-D430B57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4231</Words>
  <Characters>24121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Josephine Ayiku</cp:lastModifiedBy>
  <cp:revision>2</cp:revision>
  <cp:lastPrinted>2016-12-12T11:55:00Z</cp:lastPrinted>
  <dcterms:created xsi:type="dcterms:W3CDTF">2017-02-14T08:54:00Z</dcterms:created>
  <dcterms:modified xsi:type="dcterms:W3CDTF">2017-02-14T08:54:00Z</dcterms:modified>
</cp:coreProperties>
</file>