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71845" w14:textId="77777777" w:rsidR="00D539E4" w:rsidRDefault="00D539E4" w:rsidP="00F43540">
      <w:pPr>
        <w:spacing w:line="240" w:lineRule="auto"/>
        <w:ind w:left="5387" w:right="-286"/>
        <w:outlineLvl w:val="0"/>
        <w:rPr>
          <w:rFonts w:ascii="Arial" w:eastAsia="Arial" w:hAnsi="Arial" w:cs="Arial"/>
          <w:bCs/>
          <w:szCs w:val="24"/>
          <w:lang w:val="en-US" w:eastAsia="de-DE"/>
        </w:rPr>
      </w:pPr>
      <w:bookmarkStart w:id="0" w:name="_GoBack"/>
      <w:bookmarkEnd w:id="0"/>
    </w:p>
    <w:p w14:paraId="09DACE16" w14:textId="77777777" w:rsidR="00D539E4" w:rsidRDefault="00D539E4" w:rsidP="00F43540">
      <w:pPr>
        <w:spacing w:line="240" w:lineRule="auto"/>
        <w:ind w:left="5387" w:right="-286"/>
        <w:outlineLvl w:val="0"/>
        <w:rPr>
          <w:rFonts w:ascii="Arial" w:eastAsia="Arial" w:hAnsi="Arial" w:cs="Arial"/>
          <w:bCs/>
          <w:szCs w:val="24"/>
          <w:lang w:val="en-US" w:eastAsia="de-DE"/>
        </w:rPr>
      </w:pPr>
    </w:p>
    <w:p w14:paraId="47E8DF8A" w14:textId="77777777" w:rsidR="00D539E4" w:rsidRDefault="00D539E4" w:rsidP="00F43540">
      <w:pPr>
        <w:spacing w:line="240" w:lineRule="auto"/>
        <w:ind w:left="5387" w:right="-286"/>
        <w:outlineLvl w:val="0"/>
        <w:rPr>
          <w:rFonts w:ascii="Arial" w:eastAsia="Arial" w:hAnsi="Arial" w:cs="Arial"/>
          <w:bCs/>
          <w:szCs w:val="24"/>
          <w:lang w:val="en-US" w:eastAsia="de-DE"/>
        </w:rPr>
      </w:pPr>
    </w:p>
    <w:p w14:paraId="386CA4E3" w14:textId="1CEA0D75" w:rsidR="00F43540" w:rsidRDefault="00F43540" w:rsidP="00F43540">
      <w:pPr>
        <w:spacing w:line="240" w:lineRule="auto"/>
        <w:ind w:left="5387" w:right="-286"/>
        <w:outlineLvl w:val="0"/>
        <w:rPr>
          <w:rFonts w:ascii="Arial" w:eastAsia="Arial" w:hAnsi="Arial" w:cs="Arial"/>
          <w:bCs/>
          <w:szCs w:val="24"/>
          <w:lang w:val="en-US" w:eastAsia="de-DE"/>
        </w:rPr>
      </w:pPr>
      <w:r>
        <w:rPr>
          <w:noProof/>
          <w:lang w:eastAsia="en-GB"/>
        </w:rPr>
        <w:drawing>
          <wp:anchor distT="0" distB="0" distL="114300" distR="114300" simplePos="0" relativeHeight="251659264" behindDoc="0" locked="0" layoutInCell="1" allowOverlap="1" wp14:anchorId="5B507385" wp14:editId="2244D13B">
            <wp:simplePos x="0" y="0"/>
            <wp:positionH relativeFrom="column">
              <wp:posOffset>0</wp:posOffset>
            </wp:positionH>
            <wp:positionV relativeFrom="paragraph">
              <wp:posOffset>-68580</wp:posOffset>
            </wp:positionV>
            <wp:extent cx="1713865" cy="604520"/>
            <wp:effectExtent l="0" t="0" r="635"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Cs/>
          <w:szCs w:val="24"/>
          <w:lang w:val="en-US" w:eastAsia="de-DE"/>
        </w:rPr>
        <w:t>CCNR-ZKR/ADN/WP.15/AC.2/62</w:t>
      </w:r>
    </w:p>
    <w:p w14:paraId="3AFE5DB3" w14:textId="77777777" w:rsidR="00F43540" w:rsidRDefault="00F43540" w:rsidP="00F43540">
      <w:pPr>
        <w:spacing w:line="240" w:lineRule="auto"/>
        <w:ind w:left="5387" w:right="-286"/>
        <w:outlineLvl w:val="0"/>
        <w:rPr>
          <w:rFonts w:ascii="Arial" w:hAnsi="Arial" w:cs="Arial"/>
          <w:sz w:val="16"/>
          <w:szCs w:val="24"/>
          <w:lang w:val="de-DE" w:eastAsia="de-DE"/>
        </w:rPr>
      </w:pPr>
      <w:r>
        <w:rPr>
          <w:rFonts w:ascii="Arial" w:hAnsi="Arial" w:cs="Arial"/>
          <w:sz w:val="16"/>
          <w:szCs w:val="24"/>
          <w:lang w:val="de-DE" w:eastAsia="de-DE"/>
        </w:rPr>
        <w:t>Allgemeine Verteilung</w:t>
      </w:r>
    </w:p>
    <w:p w14:paraId="4B5D6F92" w14:textId="5BEA12AB" w:rsidR="00F43540" w:rsidRDefault="00F43540" w:rsidP="00F43540">
      <w:pPr>
        <w:tabs>
          <w:tab w:val="right" w:pos="3856"/>
          <w:tab w:val="left" w:pos="5670"/>
        </w:tabs>
        <w:spacing w:line="240" w:lineRule="auto"/>
        <w:ind w:left="5387"/>
        <w:rPr>
          <w:rFonts w:ascii="Arial" w:eastAsia="Arial" w:hAnsi="Arial" w:cs="Arial"/>
          <w:szCs w:val="24"/>
          <w:lang w:val="de-DE" w:eastAsia="de-DE"/>
        </w:rPr>
      </w:pPr>
      <w:r>
        <w:rPr>
          <w:rFonts w:ascii="Arial" w:eastAsia="Arial" w:hAnsi="Arial" w:cs="Arial"/>
          <w:szCs w:val="24"/>
          <w:lang w:val="de-DE" w:eastAsia="de-DE"/>
        </w:rPr>
        <w:t>10. Februar 2017</w:t>
      </w:r>
    </w:p>
    <w:p w14:paraId="5A8E222F" w14:textId="77777777" w:rsidR="00F43540" w:rsidRDefault="00F43540" w:rsidP="00F43540">
      <w:pPr>
        <w:tabs>
          <w:tab w:val="right" w:pos="3856"/>
          <w:tab w:val="left" w:pos="5670"/>
        </w:tabs>
        <w:spacing w:line="240" w:lineRule="auto"/>
        <w:ind w:left="5387" w:right="565"/>
        <w:rPr>
          <w:rFonts w:ascii="Arial" w:hAnsi="Arial" w:cs="Arial"/>
          <w:snapToGrid w:val="0"/>
          <w:kern w:val="2"/>
          <w:lang w:val="de-DE" w:eastAsia="de-DE"/>
        </w:rPr>
      </w:pPr>
      <w:r>
        <w:rPr>
          <w:rFonts w:ascii="Arial" w:eastAsia="Arial" w:hAnsi="Arial" w:cs="Arial"/>
          <w:sz w:val="16"/>
          <w:szCs w:val="24"/>
          <w:lang w:val="de-DE" w:eastAsia="de-DE"/>
        </w:rPr>
        <w:t>Or.  ENGLISCH und FRANZÖSISCH</w:t>
      </w:r>
    </w:p>
    <w:p w14:paraId="19C23F5E" w14:textId="77777777" w:rsidR="00F43540" w:rsidRDefault="00F43540" w:rsidP="00F43540">
      <w:pPr>
        <w:spacing w:line="240" w:lineRule="auto"/>
        <w:rPr>
          <w:rFonts w:ascii="Arial" w:hAnsi="Arial" w:cs="Arial"/>
          <w:sz w:val="16"/>
          <w:szCs w:val="24"/>
          <w:lang w:val="de-DE" w:eastAsia="de-DE"/>
        </w:rPr>
      </w:pPr>
    </w:p>
    <w:p w14:paraId="4C05A7E7" w14:textId="77777777" w:rsidR="00F43540" w:rsidRDefault="00F43540" w:rsidP="00F43540">
      <w:pPr>
        <w:spacing w:line="240" w:lineRule="auto"/>
        <w:rPr>
          <w:rFonts w:ascii="Arial" w:hAnsi="Arial" w:cs="Arial"/>
          <w:sz w:val="16"/>
          <w:szCs w:val="24"/>
          <w:lang w:val="de-DE" w:eastAsia="de-DE"/>
        </w:rPr>
      </w:pPr>
    </w:p>
    <w:p w14:paraId="10072FF3" w14:textId="77777777" w:rsidR="00F43540" w:rsidRDefault="00F43540" w:rsidP="00F43540">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14:paraId="7EC72762" w14:textId="77777777" w:rsidR="00F43540" w:rsidRDefault="00F43540" w:rsidP="00F43540">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Pr>
          <w:rFonts w:ascii="Arial" w:hAnsi="Arial" w:cs="Arial"/>
          <w:snapToGrid w:val="0"/>
          <w:sz w:val="16"/>
          <w:szCs w:val="16"/>
          <w:lang w:val="de-DE" w:eastAsia="fr-FR"/>
        </w:rPr>
        <w:t>BEIGEFÜGTE VERORDNUNG (ADN)</w:t>
      </w:r>
    </w:p>
    <w:p w14:paraId="393EDDF4" w14:textId="77777777" w:rsidR="00F43540" w:rsidRDefault="00F43540" w:rsidP="00F43540">
      <w:pPr>
        <w:tabs>
          <w:tab w:val="left" w:pos="2977"/>
        </w:tabs>
        <w:spacing w:line="240" w:lineRule="auto"/>
        <w:ind w:left="4111" w:right="-2"/>
        <w:rPr>
          <w:rFonts w:ascii="Arial" w:hAnsi="Arial" w:cs="Arial"/>
          <w:snapToGrid w:val="0"/>
          <w:sz w:val="16"/>
          <w:szCs w:val="16"/>
          <w:lang w:val="de-DE" w:eastAsia="fr-FR"/>
        </w:rPr>
      </w:pPr>
      <w:r>
        <w:rPr>
          <w:rFonts w:ascii="Arial" w:hAnsi="Arial" w:cs="Arial"/>
          <w:snapToGrid w:val="0"/>
          <w:sz w:val="16"/>
          <w:szCs w:val="16"/>
          <w:lang w:val="de-DE" w:eastAsia="fr-FR"/>
        </w:rPr>
        <w:t>(SICHERHEITSAUSSCHUSS)</w:t>
      </w:r>
    </w:p>
    <w:p w14:paraId="3BD59D27" w14:textId="2C9EE7EC" w:rsidR="00F43540" w:rsidRDefault="00F43540" w:rsidP="00F43540">
      <w:pPr>
        <w:tabs>
          <w:tab w:val="left" w:pos="2977"/>
        </w:tabs>
        <w:spacing w:line="240" w:lineRule="auto"/>
        <w:ind w:left="4111" w:right="-2"/>
        <w:rPr>
          <w:rFonts w:ascii="Arial" w:hAnsi="Arial" w:cs="Arial"/>
          <w:snapToGrid w:val="0"/>
          <w:sz w:val="16"/>
          <w:szCs w:val="16"/>
          <w:lang w:val="de-DE" w:eastAsia="fr-FR"/>
        </w:rPr>
      </w:pPr>
      <w:r>
        <w:rPr>
          <w:rFonts w:ascii="Arial" w:hAnsi="Arial" w:cs="Arial"/>
          <w:snapToGrid w:val="0"/>
          <w:sz w:val="16"/>
          <w:szCs w:val="16"/>
          <w:lang w:val="de-DE" w:eastAsia="fr-FR"/>
        </w:rPr>
        <w:t>(30. Tagung, Genf, 23. bis 27. Januar 2017)</w:t>
      </w:r>
    </w:p>
    <w:p w14:paraId="0CFAADE6" w14:textId="77777777" w:rsidR="00F43540" w:rsidRDefault="00F43540" w:rsidP="00F43540">
      <w:pPr>
        <w:tabs>
          <w:tab w:val="left" w:pos="2977"/>
        </w:tabs>
        <w:spacing w:line="240" w:lineRule="auto"/>
        <w:ind w:left="4111" w:right="-2"/>
        <w:rPr>
          <w:rFonts w:ascii="Arial" w:hAnsi="Arial" w:cs="Arial"/>
          <w:snapToGrid w:val="0"/>
          <w:sz w:val="16"/>
          <w:szCs w:val="16"/>
          <w:lang w:val="de-DE" w:eastAsia="fr-FR"/>
        </w:rPr>
      </w:pPr>
    </w:p>
    <w:p w14:paraId="07EE0409" w14:textId="77777777" w:rsidR="00F43540" w:rsidRDefault="00F43540" w:rsidP="00F43540">
      <w:pPr>
        <w:tabs>
          <w:tab w:val="left" w:pos="2977"/>
        </w:tabs>
        <w:spacing w:line="240" w:lineRule="auto"/>
        <w:ind w:left="4111" w:right="-2"/>
        <w:rPr>
          <w:rFonts w:ascii="Arial" w:hAnsi="Arial" w:cs="Arial"/>
          <w:snapToGrid w:val="0"/>
          <w:sz w:val="16"/>
          <w:szCs w:val="16"/>
          <w:lang w:val="de-DE" w:eastAsia="fr-FR"/>
        </w:rPr>
      </w:pPr>
    </w:p>
    <w:p w14:paraId="3A7E59BF" w14:textId="387FBA6B" w:rsidR="00304C40" w:rsidRPr="0001227A" w:rsidRDefault="00304C40" w:rsidP="00C1649F">
      <w:pPr>
        <w:pStyle w:val="HChG"/>
        <w:spacing w:before="300"/>
        <w:jc w:val="both"/>
        <w:rPr>
          <w:lang w:val="de-DE"/>
        </w:rPr>
      </w:pPr>
      <w:r w:rsidRPr="0001227A">
        <w:rPr>
          <w:lang w:val="de-DE"/>
        </w:rPr>
        <w:tab/>
      </w:r>
      <w:r w:rsidRPr="0001227A">
        <w:rPr>
          <w:lang w:val="de-DE"/>
        </w:rPr>
        <w:tab/>
      </w:r>
      <w:r w:rsidR="00323160" w:rsidRPr="00323160">
        <w:rPr>
          <w:lang w:val="de-DE"/>
        </w:rPr>
        <w:t>Protokoll über die dreißigste Sitzung der Gemeinsamen Expertentagung für die dem Europäischen Übereinkommen über die internationale Beförderung von gefährlichen Gütern auf Binnenwasserstraßen beigefügte Verordnung (ADN-Sicherheitsausschuss)</w:t>
      </w:r>
      <w:r w:rsidR="00323160" w:rsidRPr="00323160">
        <w:rPr>
          <w:rStyle w:val="FootnoteReference"/>
          <w:b w:val="0"/>
          <w:sz w:val="20"/>
          <w:vertAlign w:val="baseline"/>
          <w:lang w:val="de-DE"/>
        </w:rPr>
        <w:footnoteReference w:customMarkFollows="1" w:id="1"/>
        <w:t>*</w:t>
      </w:r>
    </w:p>
    <w:p w14:paraId="1C45C084" w14:textId="5B7ABB34" w:rsidR="00304C40" w:rsidRPr="0001227A" w:rsidRDefault="00304C40" w:rsidP="00323160">
      <w:pPr>
        <w:pStyle w:val="HChG"/>
        <w:spacing w:before="120" w:after="0"/>
        <w:rPr>
          <w:lang w:val="de-DE"/>
        </w:rPr>
      </w:pPr>
      <w:r w:rsidRPr="0001227A">
        <w:rPr>
          <w:lang w:val="de-DE"/>
        </w:rPr>
        <w:br w:type="page"/>
      </w:r>
      <w:r w:rsidR="00323160" w:rsidRPr="00323160">
        <w:rPr>
          <w:lang w:val="de-DE"/>
        </w:rPr>
        <w:lastRenderedPageBreak/>
        <w:t>Inhalt</w:t>
      </w:r>
    </w:p>
    <w:p w14:paraId="3AF75069" w14:textId="185D0E64" w:rsidR="00304C40" w:rsidRPr="0001227A" w:rsidRDefault="00304C40" w:rsidP="00323160">
      <w:pPr>
        <w:tabs>
          <w:tab w:val="right" w:pos="8929"/>
          <w:tab w:val="right" w:pos="9638"/>
        </w:tabs>
        <w:spacing w:after="120"/>
        <w:ind w:left="284"/>
        <w:rPr>
          <w:i/>
          <w:sz w:val="18"/>
          <w:lang w:val="de-DE"/>
        </w:rPr>
      </w:pPr>
      <w:r w:rsidRPr="0001227A">
        <w:rPr>
          <w:i/>
          <w:sz w:val="18"/>
          <w:lang w:val="de-DE"/>
        </w:rPr>
        <w:tab/>
      </w:r>
      <w:r w:rsidR="00323160" w:rsidRPr="00323160">
        <w:rPr>
          <w:i/>
          <w:sz w:val="18"/>
          <w:lang w:val="de-DE"/>
        </w:rPr>
        <w:t>Absätze</w:t>
      </w:r>
      <w:r w:rsidRPr="0001227A">
        <w:rPr>
          <w:i/>
          <w:sz w:val="18"/>
          <w:lang w:val="de-DE"/>
        </w:rPr>
        <w:tab/>
      </w:r>
      <w:r w:rsidR="00323160" w:rsidRPr="00323160">
        <w:rPr>
          <w:i/>
          <w:sz w:val="18"/>
          <w:lang w:val="de-DE"/>
        </w:rPr>
        <w:t>Seite</w:t>
      </w:r>
    </w:p>
    <w:p w14:paraId="3CD4986C" w14:textId="2BD4A643" w:rsidR="00304C40" w:rsidRPr="0001227A" w:rsidRDefault="00304C40" w:rsidP="00323160">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01227A">
        <w:rPr>
          <w:noProof/>
          <w:lang w:val="de-DE"/>
        </w:rPr>
        <w:tab/>
      </w:r>
      <w:r w:rsidR="00323160" w:rsidRPr="00323160">
        <w:rPr>
          <w:lang w:val="de-DE"/>
        </w:rPr>
        <w:t>I.</w:t>
      </w:r>
      <w:r w:rsidRPr="0001227A">
        <w:rPr>
          <w:noProof/>
          <w:lang w:val="de-DE"/>
        </w:rPr>
        <w:tab/>
      </w:r>
      <w:r w:rsidR="00323160" w:rsidRPr="00323160">
        <w:rPr>
          <w:lang w:val="de-DE"/>
        </w:rPr>
        <w:t>Teilnehmer</w:t>
      </w:r>
      <w:r w:rsidRPr="0001227A">
        <w:rPr>
          <w:noProof/>
          <w:webHidden/>
          <w:lang w:val="de-DE"/>
        </w:rPr>
        <w:tab/>
      </w:r>
      <w:r w:rsidRPr="0001227A">
        <w:rPr>
          <w:noProof/>
          <w:webHidden/>
          <w:lang w:val="de-DE"/>
        </w:rPr>
        <w:tab/>
        <w:t>1</w:t>
      </w:r>
      <w:r w:rsidRPr="0001227A">
        <w:rPr>
          <w:noProof/>
          <w:webHidden/>
          <w:lang w:val="de-DE"/>
        </w:rPr>
        <w:tab/>
        <w:t>4</w:t>
      </w:r>
    </w:p>
    <w:p w14:paraId="42E83DA0" w14:textId="71F87532" w:rsidR="00304C40" w:rsidRPr="0001227A" w:rsidRDefault="00304C40" w:rsidP="00323160">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01227A">
        <w:rPr>
          <w:noProof/>
          <w:lang w:val="de-DE"/>
        </w:rPr>
        <w:tab/>
      </w:r>
      <w:r w:rsidR="00323160" w:rsidRPr="00323160">
        <w:rPr>
          <w:lang w:val="de-DE"/>
        </w:rPr>
        <w:t>II.</w:t>
      </w:r>
      <w:r w:rsidRPr="0001227A">
        <w:rPr>
          <w:noProof/>
          <w:lang w:val="de-DE"/>
        </w:rPr>
        <w:tab/>
      </w:r>
      <w:r w:rsidR="00323160" w:rsidRPr="00323160">
        <w:rPr>
          <w:lang w:val="de-DE"/>
        </w:rPr>
        <w:t>Genehmigung der Tagesordnung (TOP 1)</w:t>
      </w:r>
      <w:r w:rsidRPr="0001227A">
        <w:rPr>
          <w:noProof/>
          <w:webHidden/>
          <w:lang w:val="de-DE"/>
        </w:rPr>
        <w:tab/>
      </w:r>
      <w:r w:rsidRPr="0001227A">
        <w:rPr>
          <w:noProof/>
          <w:webHidden/>
          <w:lang w:val="de-DE"/>
        </w:rPr>
        <w:tab/>
        <w:t>2</w:t>
      </w:r>
      <w:r w:rsidRPr="0001227A">
        <w:rPr>
          <w:noProof/>
          <w:webHidden/>
          <w:lang w:val="de-DE"/>
        </w:rPr>
        <w:tab/>
        <w:t>4</w:t>
      </w:r>
    </w:p>
    <w:p w14:paraId="62910D85" w14:textId="38BE336E" w:rsidR="002F7070" w:rsidRPr="0001227A" w:rsidRDefault="002F7070" w:rsidP="00323160">
      <w:pPr>
        <w:tabs>
          <w:tab w:val="right" w:pos="850"/>
          <w:tab w:val="left" w:pos="1134"/>
          <w:tab w:val="left" w:pos="1559"/>
          <w:tab w:val="left" w:pos="1984"/>
          <w:tab w:val="left" w:leader="dot" w:pos="7654"/>
          <w:tab w:val="right" w:pos="8929"/>
          <w:tab w:val="right" w:pos="9638"/>
        </w:tabs>
        <w:spacing w:after="120" w:line="220" w:lineRule="atLeast"/>
        <w:rPr>
          <w:noProof/>
          <w:lang w:val="de-DE"/>
        </w:rPr>
      </w:pPr>
      <w:r w:rsidRPr="0001227A">
        <w:rPr>
          <w:noProof/>
          <w:webHidden/>
          <w:lang w:val="de-DE"/>
        </w:rPr>
        <w:tab/>
      </w:r>
      <w:r w:rsidR="00323160" w:rsidRPr="00323160">
        <w:rPr>
          <w:webHidden/>
          <w:lang w:val="de-DE"/>
        </w:rPr>
        <w:t>III.</w:t>
      </w:r>
      <w:r w:rsidRPr="0001227A">
        <w:rPr>
          <w:noProof/>
          <w:webHidden/>
          <w:lang w:val="de-DE"/>
        </w:rPr>
        <w:tab/>
      </w:r>
      <w:r w:rsidR="00323160" w:rsidRPr="00323160">
        <w:rPr>
          <w:lang w:val="de-DE"/>
        </w:rPr>
        <w:t>Wahl des Büros für 2017 (TOP 2)</w:t>
      </w:r>
      <w:r w:rsidRPr="0001227A">
        <w:rPr>
          <w:noProof/>
          <w:lang w:val="de-DE"/>
        </w:rPr>
        <w:tab/>
      </w:r>
      <w:r w:rsidRPr="0001227A">
        <w:rPr>
          <w:noProof/>
          <w:lang w:val="de-DE"/>
        </w:rPr>
        <w:tab/>
        <w:t>3</w:t>
      </w:r>
      <w:r w:rsidRPr="0001227A">
        <w:rPr>
          <w:noProof/>
          <w:lang w:val="de-DE"/>
        </w:rPr>
        <w:tab/>
      </w:r>
      <w:r w:rsidR="00D6517D" w:rsidRPr="0001227A">
        <w:rPr>
          <w:noProof/>
          <w:lang w:val="de-DE"/>
        </w:rPr>
        <w:t>4</w:t>
      </w:r>
    </w:p>
    <w:p w14:paraId="71C0A4D2" w14:textId="166136F1" w:rsidR="002F7070" w:rsidRPr="0001227A" w:rsidRDefault="002F7070" w:rsidP="00323160">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01227A">
        <w:rPr>
          <w:noProof/>
          <w:lang w:val="de-DE"/>
        </w:rPr>
        <w:tab/>
      </w:r>
      <w:r w:rsidR="00323160" w:rsidRPr="00323160">
        <w:rPr>
          <w:lang w:val="de-DE"/>
        </w:rPr>
        <w:t>IV.</w:t>
      </w:r>
      <w:r w:rsidRPr="0001227A">
        <w:rPr>
          <w:noProof/>
          <w:lang w:val="de-DE"/>
        </w:rPr>
        <w:tab/>
      </w:r>
      <w:r w:rsidR="00323160" w:rsidRPr="00323160">
        <w:rPr>
          <w:lang w:val="de-DE"/>
        </w:rPr>
        <w:t>Fragen im Zusammenhang mit den Arbeiten der Organe der Vereinten Nationen oder anderer Organisationen (TOP 3)</w:t>
      </w:r>
      <w:r w:rsidRPr="0001227A">
        <w:rPr>
          <w:noProof/>
          <w:lang w:val="de-DE"/>
        </w:rPr>
        <w:tab/>
      </w:r>
      <w:r w:rsidRPr="0001227A">
        <w:rPr>
          <w:noProof/>
          <w:lang w:val="de-DE"/>
        </w:rPr>
        <w:tab/>
        <w:t>4-5</w:t>
      </w:r>
      <w:r w:rsidRPr="0001227A">
        <w:rPr>
          <w:noProof/>
          <w:lang w:val="de-DE"/>
        </w:rPr>
        <w:tab/>
      </w:r>
      <w:r w:rsidR="00D6517D" w:rsidRPr="0001227A">
        <w:rPr>
          <w:noProof/>
          <w:lang w:val="de-DE"/>
        </w:rPr>
        <w:t>4</w:t>
      </w:r>
    </w:p>
    <w:p w14:paraId="067FEFA6" w14:textId="67960FE4" w:rsidR="002F7070" w:rsidRPr="0001227A" w:rsidRDefault="002F7070" w:rsidP="00323160">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01227A">
        <w:rPr>
          <w:noProof/>
          <w:lang w:val="de-DE"/>
        </w:rPr>
        <w:tab/>
      </w:r>
      <w:r w:rsidR="00323160" w:rsidRPr="00323160">
        <w:rPr>
          <w:lang w:val="de-DE"/>
        </w:rPr>
        <w:t>V.</w:t>
      </w:r>
      <w:r w:rsidRPr="0001227A">
        <w:rPr>
          <w:noProof/>
          <w:lang w:val="de-DE"/>
        </w:rPr>
        <w:tab/>
      </w:r>
      <w:r w:rsidR="00323160" w:rsidRPr="00323160">
        <w:rPr>
          <w:lang w:val="de-DE"/>
        </w:rPr>
        <w:t>Durchführung des Europäischen Übereinkommens über die internationale Beförderung</w:t>
      </w:r>
      <w:r w:rsidR="00323160" w:rsidRPr="00323160">
        <w:rPr>
          <w:lang w:val="de-DE"/>
        </w:rPr>
        <w:br/>
        <w:t>von gefährlichen Gütern auf Binnenwasserstraßen (ADN) (TOP 4)</w:t>
      </w:r>
      <w:r w:rsidRPr="0001227A">
        <w:rPr>
          <w:noProof/>
          <w:lang w:val="de-DE"/>
        </w:rPr>
        <w:tab/>
      </w:r>
      <w:r w:rsidRPr="0001227A">
        <w:rPr>
          <w:noProof/>
          <w:lang w:val="de-DE"/>
        </w:rPr>
        <w:tab/>
        <w:t>6-</w:t>
      </w:r>
      <w:r w:rsidR="00724A2F" w:rsidRPr="0001227A">
        <w:rPr>
          <w:noProof/>
          <w:lang w:val="de-DE"/>
        </w:rPr>
        <w:t>45</w:t>
      </w:r>
      <w:r w:rsidRPr="0001227A">
        <w:rPr>
          <w:noProof/>
          <w:lang w:val="de-DE"/>
        </w:rPr>
        <w:tab/>
      </w:r>
      <w:r w:rsidR="00D6517D" w:rsidRPr="0001227A">
        <w:rPr>
          <w:noProof/>
          <w:lang w:val="de-DE"/>
        </w:rPr>
        <w:t>5</w:t>
      </w:r>
    </w:p>
    <w:p w14:paraId="75196162" w14:textId="550D0B2D" w:rsidR="002F7070" w:rsidRPr="0001227A" w:rsidRDefault="002F7070" w:rsidP="00323160">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r w:rsidRPr="0001227A">
        <w:rPr>
          <w:noProof/>
          <w:lang w:val="de-DE"/>
        </w:rPr>
        <w:tab/>
      </w:r>
      <w:r w:rsidRPr="0001227A">
        <w:rPr>
          <w:noProof/>
          <w:lang w:val="de-DE"/>
        </w:rPr>
        <w:tab/>
      </w:r>
      <w:r w:rsidR="00323160" w:rsidRPr="00323160">
        <w:rPr>
          <w:lang w:val="de-DE"/>
        </w:rPr>
        <w:t>A.</w:t>
      </w:r>
      <w:r w:rsidRPr="0001227A">
        <w:rPr>
          <w:noProof/>
          <w:lang w:val="de-DE"/>
        </w:rPr>
        <w:tab/>
      </w:r>
      <w:r w:rsidR="00323160" w:rsidRPr="00323160">
        <w:rPr>
          <w:lang w:val="de-DE"/>
        </w:rPr>
        <w:t>Status des ADN</w:t>
      </w:r>
      <w:r w:rsidRPr="0001227A">
        <w:rPr>
          <w:lang w:val="de-DE"/>
        </w:rPr>
        <w:tab/>
      </w:r>
      <w:r w:rsidRPr="0001227A">
        <w:rPr>
          <w:lang w:val="de-DE"/>
        </w:rPr>
        <w:tab/>
      </w:r>
      <w:r w:rsidR="00D6517D" w:rsidRPr="0001227A">
        <w:rPr>
          <w:lang w:val="de-DE"/>
        </w:rPr>
        <w:t>6-9</w:t>
      </w:r>
      <w:r w:rsidRPr="0001227A">
        <w:rPr>
          <w:lang w:val="de-DE"/>
        </w:rPr>
        <w:tab/>
      </w:r>
      <w:r w:rsidR="00D6517D" w:rsidRPr="0001227A">
        <w:rPr>
          <w:lang w:val="de-DE"/>
        </w:rPr>
        <w:t>5</w:t>
      </w:r>
    </w:p>
    <w:p w14:paraId="4E696CC9" w14:textId="748728BD" w:rsidR="004A5821" w:rsidRPr="0001227A" w:rsidRDefault="002F7070" w:rsidP="00323160">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r w:rsidRPr="0001227A">
        <w:rPr>
          <w:lang w:val="de-DE"/>
        </w:rPr>
        <w:tab/>
      </w:r>
      <w:r w:rsidRPr="0001227A">
        <w:rPr>
          <w:lang w:val="de-DE"/>
        </w:rPr>
        <w:tab/>
      </w:r>
      <w:r w:rsidR="00323160" w:rsidRPr="00323160">
        <w:rPr>
          <w:lang w:val="de-DE"/>
        </w:rPr>
        <w:t>B.</w:t>
      </w:r>
      <w:r w:rsidRPr="0001227A">
        <w:rPr>
          <w:lang w:val="de-DE"/>
        </w:rPr>
        <w:tab/>
      </w:r>
      <w:r w:rsidR="00323160" w:rsidRPr="00323160">
        <w:rPr>
          <w:lang w:val="de-DE"/>
        </w:rPr>
        <w:t>Ausnahmegenehmigungen, Abweichungen und Gleichwertigkeiten</w:t>
      </w:r>
    </w:p>
    <w:p w14:paraId="69B9E1A3" w14:textId="31013D1A" w:rsidR="002F7070" w:rsidRPr="0001227A" w:rsidRDefault="004A5821" w:rsidP="00323160">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r w:rsidRPr="0001227A">
        <w:rPr>
          <w:lang w:val="de-DE"/>
        </w:rPr>
        <w:tab/>
      </w:r>
      <w:r w:rsidRPr="0001227A">
        <w:rPr>
          <w:lang w:val="de-DE"/>
        </w:rPr>
        <w:tab/>
      </w:r>
      <w:r w:rsidR="002F7070" w:rsidRPr="0001227A">
        <w:rPr>
          <w:lang w:val="de-DE"/>
        </w:rPr>
        <w:tab/>
      </w:r>
      <w:r w:rsidR="00323160" w:rsidRPr="00323160">
        <w:rPr>
          <w:lang w:val="de-DE"/>
        </w:rPr>
        <w:t>Abweichung für „Don Quichot“ (ENI 02336771)</w:t>
      </w:r>
      <w:r w:rsidR="002F7070" w:rsidRPr="0001227A">
        <w:rPr>
          <w:lang w:val="de-DE"/>
        </w:rPr>
        <w:tab/>
      </w:r>
      <w:r w:rsidR="002F7070" w:rsidRPr="0001227A">
        <w:rPr>
          <w:lang w:val="de-DE"/>
        </w:rPr>
        <w:tab/>
      </w:r>
      <w:r w:rsidR="006E4AEB" w:rsidRPr="0001227A">
        <w:rPr>
          <w:lang w:val="de-DE"/>
        </w:rPr>
        <w:t>10-12</w:t>
      </w:r>
      <w:r w:rsidR="002F7070" w:rsidRPr="0001227A">
        <w:rPr>
          <w:lang w:val="de-DE"/>
        </w:rPr>
        <w:tab/>
      </w:r>
      <w:r w:rsidR="006E4AEB" w:rsidRPr="0001227A">
        <w:rPr>
          <w:lang w:val="de-DE"/>
        </w:rPr>
        <w:t>5</w:t>
      </w:r>
    </w:p>
    <w:p w14:paraId="1B121FEE" w14:textId="1CD6E935" w:rsidR="002F7070" w:rsidRPr="0001227A" w:rsidRDefault="002F7070" w:rsidP="00323160">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r w:rsidRPr="0001227A">
        <w:rPr>
          <w:lang w:val="de-DE"/>
        </w:rPr>
        <w:tab/>
      </w:r>
      <w:r w:rsidRPr="0001227A">
        <w:rPr>
          <w:lang w:val="de-DE"/>
        </w:rPr>
        <w:tab/>
      </w:r>
      <w:r w:rsidR="00323160" w:rsidRPr="00323160">
        <w:rPr>
          <w:lang w:val="de-DE"/>
        </w:rPr>
        <w:t>C.</w:t>
      </w:r>
      <w:r w:rsidRPr="0001227A">
        <w:rPr>
          <w:lang w:val="de-DE"/>
        </w:rPr>
        <w:tab/>
      </w:r>
      <w:r w:rsidR="00323160" w:rsidRPr="00323160">
        <w:rPr>
          <w:lang w:val="de-DE"/>
        </w:rPr>
        <w:t>Auslegung der dem ADN beigefügten Verordnung</w:t>
      </w:r>
      <w:r w:rsidRPr="0001227A">
        <w:rPr>
          <w:lang w:val="de-DE"/>
        </w:rPr>
        <w:tab/>
      </w:r>
      <w:r w:rsidRPr="0001227A">
        <w:rPr>
          <w:lang w:val="de-DE"/>
        </w:rPr>
        <w:tab/>
      </w:r>
      <w:r w:rsidR="006E4AEB" w:rsidRPr="0001227A">
        <w:rPr>
          <w:lang w:val="de-DE"/>
        </w:rPr>
        <w:t>13-</w:t>
      </w:r>
      <w:r w:rsidR="005C7D81" w:rsidRPr="0001227A">
        <w:rPr>
          <w:lang w:val="de-DE"/>
        </w:rPr>
        <w:t>27</w:t>
      </w:r>
      <w:r w:rsidRPr="0001227A">
        <w:rPr>
          <w:lang w:val="de-DE"/>
        </w:rPr>
        <w:tab/>
      </w:r>
      <w:r w:rsidR="006E4AEB" w:rsidRPr="0001227A">
        <w:rPr>
          <w:lang w:val="de-DE"/>
        </w:rPr>
        <w:t>6</w:t>
      </w:r>
    </w:p>
    <w:p w14:paraId="215FAEA7" w14:textId="3EE85123" w:rsidR="002F7070" w:rsidRPr="0001227A" w:rsidRDefault="002F7070" w:rsidP="00323160">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r w:rsidRPr="0001227A">
        <w:rPr>
          <w:lang w:val="de-DE"/>
        </w:rPr>
        <w:tab/>
      </w:r>
      <w:r w:rsidRPr="0001227A">
        <w:rPr>
          <w:lang w:val="de-DE"/>
        </w:rPr>
        <w:tab/>
      </w:r>
      <w:r w:rsidRPr="0001227A">
        <w:rPr>
          <w:lang w:val="de-DE"/>
        </w:rPr>
        <w:tab/>
        <w:t>1.</w:t>
      </w:r>
      <w:r w:rsidRPr="0001227A">
        <w:rPr>
          <w:lang w:val="de-DE"/>
        </w:rPr>
        <w:tab/>
      </w:r>
      <w:r w:rsidR="00323160" w:rsidRPr="00323160">
        <w:rPr>
          <w:lang w:val="de-DE"/>
        </w:rPr>
        <w:t>Gefahren bei Arbeiten an Bord, Abschnitt 8.3.5 des ADN</w:t>
      </w:r>
      <w:r w:rsidR="004244CE" w:rsidRPr="0001227A">
        <w:rPr>
          <w:lang w:val="de-DE"/>
        </w:rPr>
        <w:tab/>
      </w:r>
      <w:r w:rsidR="004244CE" w:rsidRPr="0001227A">
        <w:rPr>
          <w:lang w:val="de-DE"/>
        </w:rPr>
        <w:tab/>
      </w:r>
      <w:r w:rsidR="006E4AEB" w:rsidRPr="0001227A">
        <w:rPr>
          <w:lang w:val="de-DE"/>
        </w:rPr>
        <w:t>13-14</w:t>
      </w:r>
      <w:r w:rsidR="004244CE" w:rsidRPr="0001227A">
        <w:rPr>
          <w:lang w:val="de-DE"/>
        </w:rPr>
        <w:tab/>
      </w:r>
      <w:r w:rsidR="006E4AEB" w:rsidRPr="0001227A">
        <w:rPr>
          <w:lang w:val="de-DE"/>
        </w:rPr>
        <w:t>6</w:t>
      </w:r>
    </w:p>
    <w:p w14:paraId="6EBBF131" w14:textId="4BD49E01" w:rsidR="004244CE" w:rsidRPr="0001227A" w:rsidRDefault="004244CE" w:rsidP="00323160">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2.</w:t>
      </w:r>
      <w:r w:rsidRPr="0001227A">
        <w:rPr>
          <w:lang w:val="de-DE"/>
        </w:rPr>
        <w:tab/>
      </w:r>
      <w:r w:rsidR="00323160" w:rsidRPr="00323160">
        <w:rPr>
          <w:lang w:val="de-DE"/>
        </w:rPr>
        <w:t>Unterabschnitt 7.1.4.7 ADN, Lade- und Löschstellen für Trockengüterschiffe</w:t>
      </w:r>
      <w:r w:rsidRPr="0001227A">
        <w:rPr>
          <w:lang w:val="de-DE"/>
        </w:rPr>
        <w:tab/>
      </w:r>
      <w:r w:rsidR="006E4AEB" w:rsidRPr="0001227A">
        <w:rPr>
          <w:lang w:val="de-DE"/>
        </w:rPr>
        <w:t>15-16</w:t>
      </w:r>
      <w:r w:rsidRPr="0001227A">
        <w:rPr>
          <w:lang w:val="de-DE"/>
        </w:rPr>
        <w:tab/>
      </w:r>
      <w:r w:rsidR="006E4AEB" w:rsidRPr="0001227A">
        <w:rPr>
          <w:lang w:val="de-DE"/>
        </w:rPr>
        <w:t>6</w:t>
      </w:r>
    </w:p>
    <w:p w14:paraId="3B20CB4E" w14:textId="64AA60DD" w:rsidR="004244CE" w:rsidRPr="0001227A" w:rsidRDefault="004244CE" w:rsidP="00323160">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3.</w:t>
      </w:r>
      <w:r w:rsidRPr="0001227A">
        <w:rPr>
          <w:lang w:val="de-DE"/>
        </w:rPr>
        <w:tab/>
      </w:r>
      <w:r w:rsidR="00323160" w:rsidRPr="00323160">
        <w:rPr>
          <w:lang w:val="de-DE"/>
        </w:rPr>
        <w:t>Beförderung von Fahrzeugen und Geräten</w:t>
      </w:r>
      <w:r w:rsidRPr="0001227A">
        <w:rPr>
          <w:lang w:val="de-DE"/>
        </w:rPr>
        <w:tab/>
      </w:r>
      <w:r w:rsidRPr="0001227A">
        <w:rPr>
          <w:lang w:val="de-DE"/>
        </w:rPr>
        <w:tab/>
      </w:r>
      <w:r w:rsidR="006E4AEB" w:rsidRPr="0001227A">
        <w:rPr>
          <w:lang w:val="de-DE"/>
        </w:rPr>
        <w:t>17</w:t>
      </w:r>
      <w:r w:rsidRPr="0001227A">
        <w:rPr>
          <w:lang w:val="de-DE"/>
        </w:rPr>
        <w:tab/>
      </w:r>
      <w:r w:rsidR="006E4AEB" w:rsidRPr="0001227A">
        <w:rPr>
          <w:lang w:val="de-DE"/>
        </w:rPr>
        <w:t>6</w:t>
      </w:r>
    </w:p>
    <w:p w14:paraId="74243564" w14:textId="6DC395D7" w:rsidR="004244CE" w:rsidRPr="0001227A" w:rsidRDefault="004244CE" w:rsidP="00323160">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4.</w:t>
      </w:r>
      <w:r w:rsidRPr="0001227A">
        <w:rPr>
          <w:lang w:val="de-DE"/>
        </w:rPr>
        <w:tab/>
      </w:r>
      <w:r w:rsidR="00323160" w:rsidRPr="00323160">
        <w:rPr>
          <w:lang w:val="de-DE"/>
        </w:rPr>
        <w:t>7.2.4.1.1 ADN, Beförderung von Versandstücken mit Tankschiffen</w:t>
      </w:r>
      <w:r w:rsidRPr="0001227A">
        <w:rPr>
          <w:lang w:val="de-DE"/>
        </w:rPr>
        <w:tab/>
      </w:r>
      <w:r w:rsidRPr="0001227A">
        <w:rPr>
          <w:lang w:val="de-DE"/>
        </w:rPr>
        <w:tab/>
      </w:r>
      <w:r w:rsidR="005C7D81" w:rsidRPr="0001227A">
        <w:rPr>
          <w:lang w:val="de-DE"/>
        </w:rPr>
        <w:t>18-19</w:t>
      </w:r>
      <w:r w:rsidRPr="0001227A">
        <w:rPr>
          <w:lang w:val="de-DE"/>
        </w:rPr>
        <w:tab/>
      </w:r>
      <w:r w:rsidR="005C7D81" w:rsidRPr="0001227A">
        <w:rPr>
          <w:lang w:val="de-DE"/>
        </w:rPr>
        <w:t>7</w:t>
      </w:r>
    </w:p>
    <w:p w14:paraId="2C21372A" w14:textId="53F9A2B5" w:rsidR="004244CE" w:rsidRPr="0001227A" w:rsidRDefault="004244CE" w:rsidP="00323160">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5.</w:t>
      </w:r>
      <w:r w:rsidRPr="0001227A">
        <w:rPr>
          <w:lang w:val="de-DE"/>
        </w:rPr>
        <w:tab/>
      </w:r>
      <w:r w:rsidR="00323160" w:rsidRPr="00323160">
        <w:rPr>
          <w:lang w:val="de-DE"/>
        </w:rPr>
        <w:t>Absatz 9.3.3.13.3 ADN - Stabilität, Übergangsbestimmung für Tankschiffe</w:t>
      </w:r>
      <w:r w:rsidR="00D539E4">
        <w:rPr>
          <w:lang w:val="de-DE"/>
        </w:rPr>
        <w:br/>
      </w:r>
      <w:r w:rsidR="00323160" w:rsidRPr="00323160">
        <w:rPr>
          <w:lang w:val="de-DE"/>
        </w:rPr>
        <w:t>des Typs N</w:t>
      </w:r>
      <w:r w:rsidRPr="0001227A">
        <w:rPr>
          <w:lang w:val="de-DE"/>
        </w:rPr>
        <w:tab/>
      </w:r>
      <w:r w:rsidR="00D539E4">
        <w:rPr>
          <w:lang w:val="de-DE"/>
        </w:rPr>
        <w:tab/>
      </w:r>
      <w:r w:rsidR="005C7D81" w:rsidRPr="0001227A">
        <w:rPr>
          <w:lang w:val="de-DE"/>
        </w:rPr>
        <w:t>20</w:t>
      </w:r>
      <w:r w:rsidRPr="0001227A">
        <w:rPr>
          <w:lang w:val="de-DE"/>
        </w:rPr>
        <w:tab/>
      </w:r>
      <w:r w:rsidR="005C7D81" w:rsidRPr="0001227A">
        <w:rPr>
          <w:lang w:val="de-DE"/>
        </w:rPr>
        <w:t>7</w:t>
      </w:r>
    </w:p>
    <w:p w14:paraId="114E0739" w14:textId="006CACBE" w:rsidR="004244CE" w:rsidRPr="000B4155" w:rsidRDefault="004244CE" w:rsidP="00D11C51">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r>
      <w:r w:rsidRPr="000B4155">
        <w:rPr>
          <w:lang w:val="de-DE"/>
        </w:rPr>
        <w:t>6.</w:t>
      </w:r>
      <w:r w:rsidRPr="000B4155">
        <w:rPr>
          <w:lang w:val="de-DE"/>
        </w:rPr>
        <w:tab/>
      </w:r>
      <w:r w:rsidR="00323160" w:rsidRPr="00D11C51">
        <w:rPr>
          <w:lang w:val="de-DE"/>
        </w:rPr>
        <w:t>Stabilitätsnachweis (9.3.X.13 ADN)</w:t>
      </w:r>
      <w:r w:rsidRPr="000B4155">
        <w:rPr>
          <w:lang w:val="de-DE"/>
        </w:rPr>
        <w:tab/>
      </w:r>
      <w:r w:rsidRPr="000B4155">
        <w:rPr>
          <w:lang w:val="de-DE"/>
        </w:rPr>
        <w:tab/>
      </w:r>
      <w:r w:rsidR="005C7D81" w:rsidRPr="000B4155">
        <w:rPr>
          <w:lang w:val="de-DE"/>
        </w:rPr>
        <w:t>21</w:t>
      </w:r>
      <w:r w:rsidRPr="000B4155">
        <w:rPr>
          <w:lang w:val="de-DE"/>
        </w:rPr>
        <w:tab/>
      </w:r>
      <w:r w:rsidR="005C7D81" w:rsidRPr="000B4155">
        <w:rPr>
          <w:lang w:val="de-DE"/>
        </w:rPr>
        <w:t>7</w:t>
      </w:r>
    </w:p>
    <w:p w14:paraId="7977DBB0" w14:textId="0CC0E4DE" w:rsidR="004244CE" w:rsidRPr="0001227A" w:rsidRDefault="004244CE" w:rsidP="00D11C51">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B4155">
        <w:rPr>
          <w:lang w:val="de-DE"/>
        </w:rPr>
        <w:tab/>
      </w:r>
      <w:r w:rsidRPr="000B4155">
        <w:rPr>
          <w:lang w:val="de-DE"/>
        </w:rPr>
        <w:tab/>
      </w:r>
      <w:r w:rsidRPr="000B4155">
        <w:rPr>
          <w:lang w:val="de-DE"/>
        </w:rPr>
        <w:tab/>
      </w:r>
      <w:r w:rsidRPr="0001227A">
        <w:rPr>
          <w:lang w:val="de-DE"/>
        </w:rPr>
        <w:t>7.</w:t>
      </w:r>
      <w:r w:rsidRPr="0001227A">
        <w:rPr>
          <w:lang w:val="de-DE"/>
        </w:rPr>
        <w:tab/>
      </w:r>
      <w:r w:rsidR="00D11C51" w:rsidRPr="00D11C51">
        <w:rPr>
          <w:lang w:val="de-DE"/>
        </w:rPr>
        <w:t>Auslegung des Unterabschnitts 1.15.2.4 und des Absatzes 9.2.0.88.1</w:t>
      </w:r>
      <w:r w:rsidRPr="0001227A">
        <w:rPr>
          <w:lang w:val="de-DE"/>
        </w:rPr>
        <w:tab/>
      </w:r>
      <w:r w:rsidRPr="0001227A">
        <w:rPr>
          <w:lang w:val="de-DE"/>
        </w:rPr>
        <w:tab/>
      </w:r>
      <w:r w:rsidR="005C7D81" w:rsidRPr="0001227A">
        <w:rPr>
          <w:lang w:val="de-DE"/>
        </w:rPr>
        <w:t>22-23</w:t>
      </w:r>
      <w:r w:rsidRPr="0001227A">
        <w:rPr>
          <w:lang w:val="de-DE"/>
        </w:rPr>
        <w:tab/>
      </w:r>
      <w:r w:rsidR="005C7D81" w:rsidRPr="0001227A">
        <w:rPr>
          <w:lang w:val="de-DE"/>
        </w:rPr>
        <w:t>7</w:t>
      </w:r>
    </w:p>
    <w:p w14:paraId="0633E1CE" w14:textId="0D3022D3" w:rsidR="004244CE" w:rsidRPr="0001227A" w:rsidRDefault="004244CE" w:rsidP="0086046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8.</w:t>
      </w:r>
      <w:r w:rsidRPr="0001227A">
        <w:rPr>
          <w:lang w:val="de-DE"/>
        </w:rPr>
        <w:tab/>
      </w:r>
      <w:r w:rsidR="00860463" w:rsidRPr="00B424E3">
        <w:rPr>
          <w:lang w:val="de-DE"/>
        </w:rPr>
        <w:t>Misch</w:t>
      </w:r>
      <w:r w:rsidR="008F2801" w:rsidRPr="00B424E3">
        <w:rPr>
          <w:lang w:val="de-DE"/>
        </w:rPr>
        <w:t>arbeit</w:t>
      </w:r>
      <w:r w:rsidR="00860463" w:rsidRPr="00B424E3">
        <w:rPr>
          <w:lang w:val="de-DE"/>
        </w:rPr>
        <w:t>en an Bord von Tankschiffen</w:t>
      </w:r>
      <w:r w:rsidRPr="0001227A">
        <w:rPr>
          <w:lang w:val="de-DE"/>
        </w:rPr>
        <w:tab/>
      </w:r>
      <w:r w:rsidRPr="0001227A">
        <w:rPr>
          <w:lang w:val="de-DE"/>
        </w:rPr>
        <w:tab/>
      </w:r>
      <w:r w:rsidR="005C7D81" w:rsidRPr="0001227A">
        <w:rPr>
          <w:lang w:val="de-DE"/>
        </w:rPr>
        <w:t>24-25</w:t>
      </w:r>
      <w:r w:rsidRPr="0001227A">
        <w:rPr>
          <w:lang w:val="de-DE"/>
        </w:rPr>
        <w:tab/>
      </w:r>
      <w:r w:rsidR="005C7D81" w:rsidRPr="0001227A">
        <w:rPr>
          <w:lang w:val="de-DE"/>
        </w:rPr>
        <w:t>7</w:t>
      </w:r>
    </w:p>
    <w:p w14:paraId="0F6A60D9" w14:textId="6FA7D6CB" w:rsidR="004244CE" w:rsidRPr="0001227A" w:rsidRDefault="004244CE" w:rsidP="00E364F1">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9.</w:t>
      </w:r>
      <w:r w:rsidRPr="0001227A">
        <w:rPr>
          <w:lang w:val="de-DE"/>
        </w:rPr>
        <w:tab/>
      </w:r>
      <w:r w:rsidR="00860463" w:rsidRPr="00E364F1">
        <w:rPr>
          <w:lang w:val="de-DE"/>
        </w:rPr>
        <w:t>Beförderung der UN-Nr. 2057 TRIPROPYLEN</w:t>
      </w:r>
      <w:r w:rsidRPr="0001227A">
        <w:rPr>
          <w:lang w:val="de-DE"/>
        </w:rPr>
        <w:tab/>
      </w:r>
      <w:r w:rsidRPr="0001227A">
        <w:rPr>
          <w:lang w:val="de-DE"/>
        </w:rPr>
        <w:tab/>
      </w:r>
      <w:r w:rsidR="005C7D81" w:rsidRPr="0001227A">
        <w:rPr>
          <w:lang w:val="de-DE"/>
        </w:rPr>
        <w:t>26-27</w:t>
      </w:r>
      <w:r w:rsidRPr="0001227A">
        <w:rPr>
          <w:lang w:val="de-DE"/>
        </w:rPr>
        <w:tab/>
      </w:r>
      <w:r w:rsidR="005C7D81" w:rsidRPr="0001227A">
        <w:rPr>
          <w:lang w:val="de-DE"/>
        </w:rPr>
        <w:t>8</w:t>
      </w:r>
    </w:p>
    <w:p w14:paraId="7F122378" w14:textId="24D1E29C" w:rsidR="004244CE" w:rsidRPr="0001227A" w:rsidRDefault="004244CE" w:rsidP="00AD4645">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00E364F1" w:rsidRPr="00E364F1">
        <w:rPr>
          <w:lang w:val="de-DE"/>
        </w:rPr>
        <w:t>D.</w:t>
      </w:r>
      <w:r w:rsidRPr="0001227A">
        <w:rPr>
          <w:lang w:val="de-DE"/>
        </w:rPr>
        <w:tab/>
      </w:r>
      <w:r w:rsidR="00E364F1" w:rsidRPr="00AD4645">
        <w:rPr>
          <w:lang w:val="de-DE"/>
        </w:rPr>
        <w:t>Sachkundigenausbildung</w:t>
      </w:r>
      <w:r w:rsidRPr="0001227A">
        <w:rPr>
          <w:lang w:val="de-DE"/>
        </w:rPr>
        <w:tab/>
      </w:r>
      <w:r w:rsidRPr="0001227A">
        <w:rPr>
          <w:lang w:val="de-DE"/>
        </w:rPr>
        <w:tab/>
      </w:r>
      <w:r w:rsidR="005C7D81" w:rsidRPr="0001227A">
        <w:rPr>
          <w:lang w:val="de-DE"/>
        </w:rPr>
        <w:t>28-</w:t>
      </w:r>
      <w:r w:rsidR="00724A2F" w:rsidRPr="0001227A">
        <w:rPr>
          <w:lang w:val="de-DE"/>
        </w:rPr>
        <w:t>43</w:t>
      </w:r>
      <w:r w:rsidRPr="0001227A">
        <w:rPr>
          <w:lang w:val="de-DE"/>
        </w:rPr>
        <w:tab/>
      </w:r>
      <w:r w:rsidR="005C7D81" w:rsidRPr="0001227A">
        <w:rPr>
          <w:lang w:val="de-DE"/>
        </w:rPr>
        <w:t>8</w:t>
      </w:r>
    </w:p>
    <w:p w14:paraId="75E7AD19" w14:textId="2AE3DBC3" w:rsidR="004244CE" w:rsidRPr="0001227A" w:rsidRDefault="004244CE" w:rsidP="00605D82">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1.</w:t>
      </w:r>
      <w:r w:rsidRPr="0001227A">
        <w:rPr>
          <w:lang w:val="de-DE"/>
        </w:rPr>
        <w:tab/>
      </w:r>
      <w:r w:rsidR="00AD4645" w:rsidRPr="00605D82">
        <w:rPr>
          <w:lang w:val="de-DE"/>
        </w:rPr>
        <w:t xml:space="preserve">Protokoll der sechzehnten Sitzung der informellen Arbeitsgruppe </w:t>
      </w:r>
      <w:r w:rsidR="00D539E4">
        <w:rPr>
          <w:lang w:val="de-DE"/>
        </w:rPr>
        <w:br/>
      </w:r>
      <w:r w:rsidR="00AD4645" w:rsidRPr="00605D82">
        <w:rPr>
          <w:lang w:val="de-DE"/>
        </w:rPr>
        <w:t>„Sachkundigenausbildung“</w:t>
      </w:r>
      <w:r w:rsidRPr="0001227A">
        <w:rPr>
          <w:lang w:val="de-DE"/>
        </w:rPr>
        <w:tab/>
      </w:r>
      <w:r w:rsidRPr="0001227A">
        <w:rPr>
          <w:lang w:val="de-DE"/>
        </w:rPr>
        <w:tab/>
      </w:r>
      <w:r w:rsidR="0030552A" w:rsidRPr="0001227A">
        <w:rPr>
          <w:lang w:val="de-DE"/>
        </w:rPr>
        <w:t>28-33</w:t>
      </w:r>
      <w:r w:rsidRPr="0001227A">
        <w:rPr>
          <w:lang w:val="de-DE"/>
        </w:rPr>
        <w:tab/>
      </w:r>
      <w:r w:rsidR="0030552A" w:rsidRPr="0001227A">
        <w:rPr>
          <w:lang w:val="de-DE"/>
        </w:rPr>
        <w:t>8</w:t>
      </w:r>
    </w:p>
    <w:p w14:paraId="53E897AF" w14:textId="027291CC" w:rsidR="004244CE" w:rsidRPr="0001227A" w:rsidRDefault="004244CE" w:rsidP="00605D82">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2.</w:t>
      </w:r>
      <w:r w:rsidRPr="0001227A">
        <w:rPr>
          <w:lang w:val="de-DE"/>
        </w:rPr>
        <w:tab/>
      </w:r>
      <w:r w:rsidR="00605D82" w:rsidRPr="00605D82">
        <w:rPr>
          <w:lang w:val="de-DE"/>
        </w:rPr>
        <w:t xml:space="preserve">Richtlinie des Verwaltungsausschusses für die Verwendung des Fragenkatalogs </w:t>
      </w:r>
      <w:r w:rsidR="00D539E4">
        <w:rPr>
          <w:lang w:val="de-DE"/>
        </w:rPr>
        <w:br/>
      </w:r>
      <w:r w:rsidR="00605D82" w:rsidRPr="00605D82">
        <w:rPr>
          <w:lang w:val="de-DE"/>
        </w:rPr>
        <w:t>für die Prüfung von ADN-Sachkundigen</w:t>
      </w:r>
      <w:r w:rsidRPr="0001227A">
        <w:rPr>
          <w:lang w:val="de-DE"/>
        </w:rPr>
        <w:tab/>
      </w:r>
      <w:r w:rsidRPr="0001227A">
        <w:rPr>
          <w:lang w:val="de-DE"/>
        </w:rPr>
        <w:tab/>
      </w:r>
      <w:r w:rsidR="0030552A" w:rsidRPr="0001227A">
        <w:rPr>
          <w:lang w:val="de-DE"/>
        </w:rPr>
        <w:t>34-35</w:t>
      </w:r>
      <w:r w:rsidRPr="0001227A">
        <w:rPr>
          <w:lang w:val="de-DE"/>
        </w:rPr>
        <w:tab/>
      </w:r>
      <w:r w:rsidR="0030552A" w:rsidRPr="0001227A">
        <w:rPr>
          <w:lang w:val="de-DE"/>
        </w:rPr>
        <w:t>9</w:t>
      </w:r>
    </w:p>
    <w:p w14:paraId="1D0FFB4E" w14:textId="2FB16B7E" w:rsidR="004244CE" w:rsidRPr="0001227A" w:rsidRDefault="004244CE" w:rsidP="00605D82">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3.</w:t>
      </w:r>
      <w:r w:rsidRPr="0001227A">
        <w:rPr>
          <w:lang w:val="de-DE"/>
        </w:rPr>
        <w:tab/>
      </w:r>
      <w:r w:rsidR="00605D82" w:rsidRPr="00605D82">
        <w:rPr>
          <w:lang w:val="de-DE"/>
        </w:rPr>
        <w:t>Fragenkatalog</w:t>
      </w:r>
      <w:r w:rsidRPr="0001227A">
        <w:rPr>
          <w:lang w:val="de-DE"/>
        </w:rPr>
        <w:tab/>
      </w:r>
      <w:r w:rsidRPr="0001227A">
        <w:rPr>
          <w:lang w:val="de-DE"/>
        </w:rPr>
        <w:tab/>
      </w:r>
      <w:r w:rsidR="00724A2F" w:rsidRPr="0001227A">
        <w:rPr>
          <w:lang w:val="de-DE"/>
        </w:rPr>
        <w:t>36</w:t>
      </w:r>
      <w:r w:rsidRPr="0001227A">
        <w:rPr>
          <w:lang w:val="de-DE"/>
        </w:rPr>
        <w:tab/>
      </w:r>
      <w:r w:rsidR="00724A2F" w:rsidRPr="0001227A">
        <w:rPr>
          <w:lang w:val="de-DE"/>
        </w:rPr>
        <w:t>9</w:t>
      </w:r>
    </w:p>
    <w:p w14:paraId="092893F0" w14:textId="004FFD4E" w:rsidR="004244CE" w:rsidRPr="0001227A" w:rsidRDefault="004244CE" w:rsidP="00C62E5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4.</w:t>
      </w:r>
      <w:r w:rsidRPr="0001227A">
        <w:rPr>
          <w:lang w:val="de-DE"/>
        </w:rPr>
        <w:tab/>
      </w:r>
      <w:r w:rsidR="00605D82" w:rsidRPr="00C62E53">
        <w:rPr>
          <w:lang w:val="de-DE"/>
        </w:rPr>
        <w:t>Arbeitsprogramm der informellen Arbeitsgruppe „Sachkundigenausbildung“</w:t>
      </w:r>
      <w:r w:rsidRPr="0001227A">
        <w:rPr>
          <w:lang w:val="de-DE"/>
        </w:rPr>
        <w:tab/>
      </w:r>
      <w:r w:rsidR="00724A2F" w:rsidRPr="0001227A">
        <w:rPr>
          <w:lang w:val="de-DE"/>
        </w:rPr>
        <w:t>37</w:t>
      </w:r>
      <w:r w:rsidRPr="0001227A">
        <w:rPr>
          <w:lang w:val="de-DE"/>
        </w:rPr>
        <w:tab/>
      </w:r>
      <w:r w:rsidR="00724A2F" w:rsidRPr="0001227A">
        <w:rPr>
          <w:lang w:val="de-DE"/>
        </w:rPr>
        <w:t>9</w:t>
      </w:r>
    </w:p>
    <w:p w14:paraId="74C0254B" w14:textId="5E47D5C3" w:rsidR="004244CE" w:rsidRPr="0001227A" w:rsidRDefault="004244CE" w:rsidP="0010144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5.</w:t>
      </w:r>
      <w:r w:rsidRPr="0001227A">
        <w:rPr>
          <w:lang w:val="de-DE"/>
        </w:rPr>
        <w:tab/>
      </w:r>
      <w:r w:rsidR="00C62E53" w:rsidRPr="00101443">
        <w:rPr>
          <w:lang w:val="de-DE"/>
        </w:rPr>
        <w:t>Fragenkatalog für die Ausbildung von Sicherheitsberatern</w:t>
      </w:r>
      <w:r w:rsidRPr="0001227A">
        <w:rPr>
          <w:lang w:val="de-DE"/>
        </w:rPr>
        <w:tab/>
      </w:r>
      <w:r w:rsidRPr="0001227A">
        <w:rPr>
          <w:lang w:val="de-DE"/>
        </w:rPr>
        <w:tab/>
      </w:r>
      <w:r w:rsidR="00724A2F" w:rsidRPr="0001227A">
        <w:rPr>
          <w:lang w:val="de-DE"/>
        </w:rPr>
        <w:t>38-41</w:t>
      </w:r>
      <w:r w:rsidRPr="0001227A">
        <w:rPr>
          <w:lang w:val="de-DE"/>
        </w:rPr>
        <w:tab/>
      </w:r>
      <w:r w:rsidR="00724A2F" w:rsidRPr="0001227A">
        <w:rPr>
          <w:lang w:val="de-DE"/>
        </w:rPr>
        <w:t>9</w:t>
      </w:r>
    </w:p>
    <w:p w14:paraId="0A63968D" w14:textId="1835BBBA" w:rsidR="004244CE" w:rsidRPr="0001227A" w:rsidRDefault="004244CE" w:rsidP="0010144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6.</w:t>
      </w:r>
      <w:r w:rsidRPr="0001227A">
        <w:rPr>
          <w:lang w:val="de-DE"/>
        </w:rPr>
        <w:tab/>
      </w:r>
      <w:r w:rsidR="00101443" w:rsidRPr="00101443">
        <w:rPr>
          <w:lang w:val="de-DE"/>
        </w:rPr>
        <w:t>Prüfungsstatistiken</w:t>
      </w:r>
      <w:r w:rsidRPr="0001227A">
        <w:rPr>
          <w:lang w:val="de-DE"/>
        </w:rPr>
        <w:tab/>
      </w:r>
      <w:r w:rsidRPr="0001227A">
        <w:rPr>
          <w:lang w:val="de-DE"/>
        </w:rPr>
        <w:tab/>
      </w:r>
      <w:r w:rsidR="00724A2F" w:rsidRPr="0001227A">
        <w:rPr>
          <w:lang w:val="de-DE"/>
        </w:rPr>
        <w:t>42</w:t>
      </w:r>
      <w:r w:rsidRPr="0001227A">
        <w:rPr>
          <w:lang w:val="de-DE"/>
        </w:rPr>
        <w:tab/>
      </w:r>
      <w:r w:rsidR="00724A2F" w:rsidRPr="0001227A">
        <w:rPr>
          <w:lang w:val="de-DE"/>
        </w:rPr>
        <w:t>10</w:t>
      </w:r>
    </w:p>
    <w:p w14:paraId="29934CB5" w14:textId="7F2AA96F" w:rsidR="004244CE" w:rsidRPr="0001227A" w:rsidRDefault="004244CE" w:rsidP="0010144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7.</w:t>
      </w:r>
      <w:r w:rsidRPr="0001227A">
        <w:rPr>
          <w:lang w:val="de-DE"/>
        </w:rPr>
        <w:tab/>
      </w:r>
      <w:r w:rsidR="00101443" w:rsidRPr="00101443">
        <w:rPr>
          <w:lang w:val="de-DE"/>
        </w:rPr>
        <w:t>Musterbescheinigungen</w:t>
      </w:r>
      <w:r w:rsidRPr="0001227A">
        <w:rPr>
          <w:lang w:val="de-DE"/>
        </w:rPr>
        <w:tab/>
      </w:r>
      <w:r w:rsidRPr="0001227A">
        <w:rPr>
          <w:lang w:val="de-DE"/>
        </w:rPr>
        <w:tab/>
      </w:r>
      <w:r w:rsidR="00724A2F" w:rsidRPr="0001227A">
        <w:rPr>
          <w:lang w:val="de-DE"/>
        </w:rPr>
        <w:t>43</w:t>
      </w:r>
      <w:r w:rsidRPr="0001227A">
        <w:rPr>
          <w:lang w:val="de-DE"/>
        </w:rPr>
        <w:tab/>
      </w:r>
      <w:r w:rsidR="00724A2F" w:rsidRPr="0001227A">
        <w:rPr>
          <w:lang w:val="de-DE"/>
        </w:rPr>
        <w:t>10</w:t>
      </w:r>
    </w:p>
    <w:p w14:paraId="12F2790C" w14:textId="22518EB9" w:rsidR="004244CE" w:rsidRPr="0001227A" w:rsidRDefault="004244CE" w:rsidP="0010144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00101443" w:rsidRPr="00101443">
        <w:rPr>
          <w:lang w:val="de-DE"/>
        </w:rPr>
        <w:t>E.</w:t>
      </w:r>
      <w:r w:rsidRPr="0001227A">
        <w:rPr>
          <w:lang w:val="de-DE"/>
        </w:rPr>
        <w:tab/>
      </w:r>
      <w:r w:rsidR="00101443" w:rsidRPr="00101443">
        <w:rPr>
          <w:lang w:val="de-DE"/>
        </w:rPr>
        <w:t>Fragen im Zusammenhang mit den Klassifikationsgesellschaften</w:t>
      </w:r>
      <w:r w:rsidRPr="0001227A">
        <w:rPr>
          <w:lang w:val="de-DE"/>
        </w:rPr>
        <w:tab/>
      </w:r>
      <w:r w:rsidRPr="0001227A">
        <w:rPr>
          <w:lang w:val="de-DE"/>
        </w:rPr>
        <w:tab/>
      </w:r>
      <w:r w:rsidR="00724A2F" w:rsidRPr="0001227A">
        <w:rPr>
          <w:lang w:val="de-DE"/>
        </w:rPr>
        <w:t>44-45</w:t>
      </w:r>
      <w:r w:rsidRPr="0001227A">
        <w:rPr>
          <w:lang w:val="de-DE"/>
        </w:rPr>
        <w:tab/>
      </w:r>
      <w:r w:rsidR="00724A2F" w:rsidRPr="0001227A">
        <w:rPr>
          <w:lang w:val="de-DE"/>
        </w:rPr>
        <w:t>10</w:t>
      </w:r>
    </w:p>
    <w:p w14:paraId="206928CE" w14:textId="77777777" w:rsidR="009A0B9C" w:rsidRDefault="00C1649F" w:rsidP="00101443">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Pr>
          <w:lang w:val="de-DE"/>
        </w:rPr>
        <w:br w:type="page"/>
      </w:r>
    </w:p>
    <w:p w14:paraId="7B1A8B29" w14:textId="7D4F2F5D" w:rsidR="004244CE" w:rsidRPr="0001227A" w:rsidRDefault="004244CE" w:rsidP="00101443">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00101443" w:rsidRPr="00101443">
        <w:rPr>
          <w:lang w:val="de-DE"/>
        </w:rPr>
        <w:t>VI.</w:t>
      </w:r>
      <w:r w:rsidRPr="0001227A">
        <w:rPr>
          <w:lang w:val="de-DE"/>
        </w:rPr>
        <w:tab/>
      </w:r>
      <w:r w:rsidR="00101443" w:rsidRPr="00101443">
        <w:rPr>
          <w:lang w:val="de-DE"/>
        </w:rPr>
        <w:t>Vorschläge für Änderungen der dem ADN beigefügten Verordnung (TOP 5)</w:t>
      </w:r>
      <w:r w:rsidRPr="0001227A">
        <w:rPr>
          <w:lang w:val="de-DE"/>
        </w:rPr>
        <w:tab/>
      </w:r>
      <w:r w:rsidRPr="0001227A">
        <w:rPr>
          <w:lang w:val="de-DE"/>
        </w:rPr>
        <w:tab/>
      </w:r>
      <w:r w:rsidR="00724A2F" w:rsidRPr="0001227A">
        <w:rPr>
          <w:lang w:val="de-DE"/>
        </w:rPr>
        <w:t>46-</w:t>
      </w:r>
      <w:r w:rsidR="007F718A" w:rsidRPr="0001227A">
        <w:rPr>
          <w:lang w:val="de-DE"/>
        </w:rPr>
        <w:t>67</w:t>
      </w:r>
      <w:r w:rsidRPr="0001227A">
        <w:rPr>
          <w:lang w:val="de-DE"/>
        </w:rPr>
        <w:tab/>
      </w:r>
      <w:r w:rsidR="00724A2F" w:rsidRPr="0001227A">
        <w:rPr>
          <w:lang w:val="de-DE"/>
        </w:rPr>
        <w:t>11</w:t>
      </w:r>
    </w:p>
    <w:p w14:paraId="4459A0E0" w14:textId="634A6D9A" w:rsidR="004244CE" w:rsidRPr="0001227A" w:rsidRDefault="00101443" w:rsidP="00101443">
      <w:pPr>
        <w:keepNext/>
        <w:keepLines/>
        <w:numPr>
          <w:ilvl w:val="0"/>
          <w:numId w:val="9"/>
        </w:numPr>
        <w:tabs>
          <w:tab w:val="right" w:pos="850"/>
          <w:tab w:val="left" w:pos="1134"/>
          <w:tab w:val="left" w:pos="1559"/>
          <w:tab w:val="left" w:pos="1984"/>
          <w:tab w:val="left" w:leader="dot" w:pos="7654"/>
          <w:tab w:val="right" w:pos="8929"/>
          <w:tab w:val="right" w:pos="9638"/>
        </w:tabs>
        <w:spacing w:after="120" w:line="220" w:lineRule="atLeast"/>
        <w:rPr>
          <w:lang w:val="de-DE"/>
        </w:rPr>
      </w:pPr>
      <w:r w:rsidRPr="00101443">
        <w:rPr>
          <w:lang w:val="de-DE"/>
        </w:rPr>
        <w:t>Arbeiten der Gemeinsamen RID/ADR/ADN-Tagung</w:t>
      </w:r>
      <w:r w:rsidR="004244CE" w:rsidRPr="0001227A">
        <w:rPr>
          <w:lang w:val="de-DE"/>
        </w:rPr>
        <w:tab/>
      </w:r>
      <w:r w:rsidR="004244CE" w:rsidRPr="0001227A">
        <w:rPr>
          <w:lang w:val="de-DE"/>
        </w:rPr>
        <w:tab/>
      </w:r>
      <w:r w:rsidR="00724A2F" w:rsidRPr="0001227A">
        <w:rPr>
          <w:lang w:val="de-DE"/>
        </w:rPr>
        <w:t>46-50</w:t>
      </w:r>
      <w:r w:rsidR="004244CE" w:rsidRPr="0001227A">
        <w:rPr>
          <w:lang w:val="de-DE"/>
        </w:rPr>
        <w:tab/>
      </w:r>
      <w:r w:rsidR="00724A2F" w:rsidRPr="0001227A">
        <w:rPr>
          <w:lang w:val="de-DE"/>
        </w:rPr>
        <w:t>11</w:t>
      </w:r>
    </w:p>
    <w:p w14:paraId="3D7D8A51" w14:textId="61C88473" w:rsidR="004244CE" w:rsidRPr="0001227A" w:rsidRDefault="004244CE" w:rsidP="00101443">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1.</w:t>
      </w:r>
      <w:r w:rsidRPr="0001227A">
        <w:rPr>
          <w:lang w:val="de-DE"/>
        </w:rPr>
        <w:tab/>
      </w:r>
      <w:r w:rsidR="00101443" w:rsidRPr="00101443">
        <w:rPr>
          <w:lang w:val="de-DE"/>
        </w:rPr>
        <w:t>Protokoll der Herbstsitzung 2016 der Gemeinsamen Tagung und der 101. Sitzung der ECE-Arbeitsgruppe „Beförderung gefährlicher Güter“</w:t>
      </w:r>
      <w:r w:rsidRPr="0001227A">
        <w:rPr>
          <w:lang w:val="de-DE"/>
        </w:rPr>
        <w:tab/>
      </w:r>
      <w:r w:rsidRPr="0001227A">
        <w:rPr>
          <w:lang w:val="de-DE"/>
        </w:rPr>
        <w:tab/>
      </w:r>
      <w:r w:rsidR="00724A2F" w:rsidRPr="0001227A">
        <w:rPr>
          <w:lang w:val="de-DE"/>
        </w:rPr>
        <w:t>46-47</w:t>
      </w:r>
      <w:r w:rsidRPr="0001227A">
        <w:rPr>
          <w:lang w:val="de-DE"/>
        </w:rPr>
        <w:tab/>
      </w:r>
      <w:r w:rsidR="00724A2F" w:rsidRPr="0001227A">
        <w:rPr>
          <w:lang w:val="de-DE"/>
        </w:rPr>
        <w:t>11</w:t>
      </w:r>
    </w:p>
    <w:p w14:paraId="14301035" w14:textId="1FB92A7A" w:rsidR="004244CE" w:rsidRPr="0001227A" w:rsidRDefault="004244CE" w:rsidP="0010144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2.</w:t>
      </w:r>
      <w:r w:rsidRPr="0001227A">
        <w:rPr>
          <w:lang w:val="de-DE"/>
        </w:rPr>
        <w:tab/>
      </w:r>
      <w:r w:rsidR="00101443" w:rsidRPr="00101443">
        <w:rPr>
          <w:lang w:val="de-DE"/>
        </w:rPr>
        <w:t>Verweis auf die Richtlinien 67/548/EWG und 88/379/EWG des Rates der Europäischen Union</w:t>
      </w:r>
      <w:r w:rsidRPr="0001227A">
        <w:rPr>
          <w:lang w:val="de-DE"/>
        </w:rPr>
        <w:tab/>
      </w:r>
      <w:r w:rsidRPr="0001227A">
        <w:rPr>
          <w:lang w:val="de-DE"/>
        </w:rPr>
        <w:tab/>
      </w:r>
      <w:r w:rsidR="00D539E4">
        <w:rPr>
          <w:lang w:val="de-DE"/>
        </w:rPr>
        <w:tab/>
      </w:r>
      <w:r w:rsidR="00D539E4">
        <w:rPr>
          <w:lang w:val="de-DE"/>
        </w:rPr>
        <w:tab/>
      </w:r>
      <w:r w:rsidR="00724A2F" w:rsidRPr="0001227A">
        <w:rPr>
          <w:lang w:val="de-DE"/>
        </w:rPr>
        <w:t>48</w:t>
      </w:r>
      <w:r w:rsidRPr="0001227A">
        <w:rPr>
          <w:lang w:val="de-DE"/>
        </w:rPr>
        <w:tab/>
      </w:r>
      <w:r w:rsidR="00724A2F" w:rsidRPr="0001227A">
        <w:rPr>
          <w:lang w:val="de-DE"/>
        </w:rPr>
        <w:t>11</w:t>
      </w:r>
    </w:p>
    <w:p w14:paraId="12EA7F5F" w14:textId="5B86035F" w:rsidR="004244CE" w:rsidRPr="0001227A" w:rsidRDefault="004244CE" w:rsidP="0010144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3.</w:t>
      </w:r>
      <w:r w:rsidRPr="0001227A">
        <w:rPr>
          <w:lang w:val="de-DE"/>
        </w:rPr>
        <w:tab/>
      </w:r>
      <w:r w:rsidR="00101443" w:rsidRPr="00101443">
        <w:rPr>
          <w:lang w:val="de-DE"/>
        </w:rPr>
        <w:t>Sondervorschrift 665 – Beförderung von Kohle</w:t>
      </w:r>
      <w:r w:rsidRPr="0001227A">
        <w:rPr>
          <w:lang w:val="de-DE"/>
        </w:rPr>
        <w:tab/>
      </w:r>
      <w:r w:rsidRPr="0001227A">
        <w:rPr>
          <w:lang w:val="de-DE"/>
        </w:rPr>
        <w:tab/>
      </w:r>
      <w:r w:rsidR="00724A2F" w:rsidRPr="0001227A">
        <w:rPr>
          <w:lang w:val="de-DE"/>
        </w:rPr>
        <w:t>49-50</w:t>
      </w:r>
      <w:r w:rsidRPr="0001227A">
        <w:rPr>
          <w:lang w:val="de-DE"/>
        </w:rPr>
        <w:tab/>
      </w:r>
      <w:r w:rsidR="00724A2F" w:rsidRPr="0001227A">
        <w:rPr>
          <w:lang w:val="de-DE"/>
        </w:rPr>
        <w:t>11</w:t>
      </w:r>
    </w:p>
    <w:p w14:paraId="4925293E" w14:textId="09208240" w:rsidR="004244CE" w:rsidRPr="0001227A" w:rsidRDefault="004244CE" w:rsidP="0010144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00101443" w:rsidRPr="00101443">
        <w:rPr>
          <w:lang w:val="de-DE"/>
        </w:rPr>
        <w:t>B.</w:t>
      </w:r>
      <w:r w:rsidRPr="0001227A">
        <w:rPr>
          <w:lang w:val="de-DE"/>
        </w:rPr>
        <w:tab/>
      </w:r>
      <w:r w:rsidR="00101443" w:rsidRPr="00101443">
        <w:rPr>
          <w:lang w:val="de-DE"/>
        </w:rPr>
        <w:t>Weitere Vorschläge</w:t>
      </w:r>
      <w:r w:rsidRPr="0001227A">
        <w:rPr>
          <w:lang w:val="de-DE"/>
        </w:rPr>
        <w:tab/>
      </w:r>
      <w:r w:rsidRPr="0001227A">
        <w:rPr>
          <w:lang w:val="de-DE"/>
        </w:rPr>
        <w:tab/>
      </w:r>
      <w:r w:rsidR="00724A2F" w:rsidRPr="0001227A">
        <w:rPr>
          <w:lang w:val="de-DE"/>
        </w:rPr>
        <w:t>51-</w:t>
      </w:r>
      <w:r w:rsidR="00323B9E" w:rsidRPr="0001227A">
        <w:rPr>
          <w:lang w:val="de-DE"/>
        </w:rPr>
        <w:t>67</w:t>
      </w:r>
      <w:r w:rsidRPr="0001227A">
        <w:rPr>
          <w:lang w:val="de-DE"/>
        </w:rPr>
        <w:tab/>
      </w:r>
      <w:r w:rsidR="00724A2F" w:rsidRPr="0001227A">
        <w:rPr>
          <w:lang w:val="de-DE"/>
        </w:rPr>
        <w:t>11</w:t>
      </w:r>
    </w:p>
    <w:p w14:paraId="31ABFF2C" w14:textId="4D055D11" w:rsidR="004244CE" w:rsidRPr="0001227A" w:rsidRDefault="004244CE" w:rsidP="0010144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1.</w:t>
      </w:r>
      <w:r w:rsidRPr="0001227A">
        <w:rPr>
          <w:lang w:val="de-DE"/>
        </w:rPr>
        <w:tab/>
      </w:r>
      <w:r w:rsidR="00101443" w:rsidRPr="00101443">
        <w:rPr>
          <w:lang w:val="de-DE"/>
        </w:rPr>
        <w:t>Unterabschnitt 3.2.3.1 ADN, Erläuterungen zur Tabelle C</w:t>
      </w:r>
      <w:r w:rsidRPr="0001227A">
        <w:rPr>
          <w:lang w:val="de-DE"/>
        </w:rPr>
        <w:tab/>
      </w:r>
      <w:r w:rsidRPr="0001227A">
        <w:rPr>
          <w:lang w:val="de-DE"/>
        </w:rPr>
        <w:tab/>
      </w:r>
      <w:r w:rsidR="00323B9E" w:rsidRPr="0001227A">
        <w:rPr>
          <w:lang w:val="de-DE"/>
        </w:rPr>
        <w:t>51</w:t>
      </w:r>
      <w:r w:rsidRPr="0001227A">
        <w:rPr>
          <w:lang w:val="de-DE"/>
        </w:rPr>
        <w:tab/>
      </w:r>
      <w:r w:rsidR="00323B9E" w:rsidRPr="0001227A">
        <w:rPr>
          <w:lang w:val="de-DE"/>
        </w:rPr>
        <w:t>11</w:t>
      </w:r>
    </w:p>
    <w:p w14:paraId="2E69180C" w14:textId="6CEA7EC1" w:rsidR="004244CE" w:rsidRPr="0001227A" w:rsidRDefault="004244CE" w:rsidP="0010144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2.</w:t>
      </w:r>
      <w:r w:rsidRPr="0001227A">
        <w:rPr>
          <w:lang w:val="de-DE"/>
        </w:rPr>
        <w:tab/>
      </w:r>
      <w:r w:rsidR="00101443" w:rsidRPr="00101443">
        <w:rPr>
          <w:lang w:val="de-DE"/>
        </w:rPr>
        <w:t>Löschmittel</w:t>
      </w:r>
      <w:r w:rsidRPr="0001227A">
        <w:rPr>
          <w:lang w:val="de-DE"/>
        </w:rPr>
        <w:tab/>
      </w:r>
      <w:r w:rsidRPr="0001227A">
        <w:rPr>
          <w:lang w:val="de-DE"/>
        </w:rPr>
        <w:tab/>
      </w:r>
      <w:r w:rsidR="00323B9E" w:rsidRPr="0001227A">
        <w:rPr>
          <w:lang w:val="de-DE"/>
        </w:rPr>
        <w:t>52-54</w:t>
      </w:r>
      <w:r w:rsidRPr="0001227A">
        <w:rPr>
          <w:lang w:val="de-DE"/>
        </w:rPr>
        <w:tab/>
      </w:r>
      <w:r w:rsidR="00323B9E" w:rsidRPr="0001227A">
        <w:rPr>
          <w:lang w:val="de-DE"/>
        </w:rPr>
        <w:t>12</w:t>
      </w:r>
    </w:p>
    <w:p w14:paraId="10CC4EC4" w14:textId="010EF108" w:rsidR="004244CE" w:rsidRPr="0001227A" w:rsidRDefault="004244CE" w:rsidP="0010144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3.</w:t>
      </w:r>
      <w:r w:rsidRPr="0001227A">
        <w:rPr>
          <w:lang w:val="de-DE"/>
        </w:rPr>
        <w:tab/>
      </w:r>
      <w:r w:rsidR="00101443" w:rsidRPr="00101443">
        <w:rPr>
          <w:lang w:val="de-DE"/>
        </w:rPr>
        <w:t>Berichtigungen zu der dem ADN beigefügten Verordnung</w:t>
      </w:r>
      <w:r w:rsidRPr="0001227A">
        <w:rPr>
          <w:lang w:val="de-DE"/>
        </w:rPr>
        <w:tab/>
      </w:r>
      <w:r w:rsidRPr="0001227A">
        <w:rPr>
          <w:lang w:val="de-DE"/>
        </w:rPr>
        <w:tab/>
      </w:r>
      <w:r w:rsidR="00323B9E" w:rsidRPr="0001227A">
        <w:rPr>
          <w:lang w:val="de-DE"/>
        </w:rPr>
        <w:t>55</w:t>
      </w:r>
      <w:r w:rsidRPr="0001227A">
        <w:rPr>
          <w:lang w:val="de-DE"/>
        </w:rPr>
        <w:tab/>
      </w:r>
      <w:r w:rsidR="00323B9E" w:rsidRPr="0001227A">
        <w:rPr>
          <w:lang w:val="de-DE"/>
        </w:rPr>
        <w:t>12</w:t>
      </w:r>
    </w:p>
    <w:p w14:paraId="08F676D8" w14:textId="5C8ED140" w:rsidR="004244CE" w:rsidRPr="0001227A" w:rsidRDefault="004244CE" w:rsidP="0010144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4.</w:t>
      </w:r>
      <w:r w:rsidRPr="0001227A">
        <w:rPr>
          <w:lang w:val="de-DE"/>
        </w:rPr>
        <w:tab/>
      </w:r>
      <w:r w:rsidR="00101443" w:rsidRPr="00101443">
        <w:rPr>
          <w:lang w:val="de-DE"/>
        </w:rPr>
        <w:t>Vorschläge zur Aktualisierung von Verweisen</w:t>
      </w:r>
      <w:r w:rsidRPr="0001227A">
        <w:rPr>
          <w:lang w:val="de-DE"/>
        </w:rPr>
        <w:tab/>
      </w:r>
      <w:r w:rsidRPr="0001227A">
        <w:rPr>
          <w:lang w:val="de-DE"/>
        </w:rPr>
        <w:tab/>
      </w:r>
      <w:r w:rsidR="00323B9E" w:rsidRPr="0001227A">
        <w:rPr>
          <w:lang w:val="de-DE"/>
        </w:rPr>
        <w:t>56-57</w:t>
      </w:r>
      <w:r w:rsidRPr="0001227A">
        <w:rPr>
          <w:lang w:val="de-DE"/>
        </w:rPr>
        <w:tab/>
      </w:r>
      <w:r w:rsidR="00323B9E" w:rsidRPr="0001227A">
        <w:rPr>
          <w:lang w:val="de-DE"/>
        </w:rPr>
        <w:t>12</w:t>
      </w:r>
    </w:p>
    <w:p w14:paraId="7239F470" w14:textId="1D9F3EB3" w:rsidR="004244CE" w:rsidRPr="0001227A" w:rsidRDefault="004244CE" w:rsidP="005C18D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5.</w:t>
      </w:r>
      <w:r w:rsidRPr="0001227A">
        <w:rPr>
          <w:lang w:val="de-DE"/>
        </w:rPr>
        <w:tab/>
      </w:r>
      <w:r w:rsidR="00101443" w:rsidRPr="005C18DC">
        <w:rPr>
          <w:lang w:val="de-DE"/>
        </w:rPr>
        <w:t xml:space="preserve">Typographische </w:t>
      </w:r>
      <w:r w:rsidR="005C18DC" w:rsidRPr="005C18DC">
        <w:rPr>
          <w:lang w:val="de-DE"/>
        </w:rPr>
        <w:t>Korrekturen</w:t>
      </w:r>
      <w:r w:rsidR="00101443" w:rsidRPr="005C18DC">
        <w:rPr>
          <w:lang w:val="de-DE"/>
        </w:rPr>
        <w:t xml:space="preserve"> in Kapitel 1.16 der ADN-Ausgabe 2017</w:t>
      </w:r>
      <w:r w:rsidRPr="0001227A">
        <w:rPr>
          <w:lang w:val="de-DE"/>
        </w:rPr>
        <w:tab/>
      </w:r>
      <w:r w:rsidR="00D539E4">
        <w:rPr>
          <w:lang w:val="de-DE"/>
        </w:rPr>
        <w:tab/>
      </w:r>
      <w:r w:rsidR="00323B9E" w:rsidRPr="0001227A">
        <w:rPr>
          <w:lang w:val="de-DE"/>
        </w:rPr>
        <w:t>58</w:t>
      </w:r>
      <w:r w:rsidRPr="0001227A">
        <w:rPr>
          <w:lang w:val="de-DE"/>
        </w:rPr>
        <w:tab/>
      </w:r>
      <w:r w:rsidR="00323B9E" w:rsidRPr="0001227A">
        <w:rPr>
          <w:lang w:val="de-DE"/>
        </w:rPr>
        <w:t>12</w:t>
      </w:r>
    </w:p>
    <w:p w14:paraId="346360D4" w14:textId="17B543AD" w:rsidR="004244CE" w:rsidRPr="0001227A" w:rsidRDefault="004244CE" w:rsidP="00341FDE">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6.</w:t>
      </w:r>
      <w:r w:rsidRPr="0001227A">
        <w:rPr>
          <w:lang w:val="de-DE"/>
        </w:rPr>
        <w:tab/>
      </w:r>
      <w:r w:rsidR="005C18DC" w:rsidRPr="00341FDE">
        <w:rPr>
          <w:lang w:val="de-DE"/>
        </w:rPr>
        <w:t>Änderungen in Tabelle C betreffend die Beförderung der UN-Nr. 1280</w:t>
      </w:r>
      <w:r w:rsidR="005C18DC" w:rsidRPr="00341FDE">
        <w:rPr>
          <w:lang w:val="de-DE"/>
        </w:rPr>
        <w:br/>
        <w:t>Propylenoxid und UN-Nr. 2983 Ethylenoxid und Propylenoxid, Mischung</w:t>
      </w:r>
      <w:r w:rsidR="00BA7CBF" w:rsidRPr="0001227A">
        <w:rPr>
          <w:lang w:val="de-DE"/>
        </w:rPr>
        <w:tab/>
      </w:r>
      <w:r w:rsidR="00323B9E" w:rsidRPr="0001227A">
        <w:rPr>
          <w:lang w:val="de-DE"/>
        </w:rPr>
        <w:t>59-60</w:t>
      </w:r>
      <w:r w:rsidR="00BA7CBF" w:rsidRPr="0001227A">
        <w:rPr>
          <w:lang w:val="de-DE"/>
        </w:rPr>
        <w:tab/>
      </w:r>
      <w:r w:rsidR="00323B9E" w:rsidRPr="0001227A">
        <w:rPr>
          <w:lang w:val="de-DE"/>
        </w:rPr>
        <w:t>12</w:t>
      </w:r>
    </w:p>
    <w:p w14:paraId="63866D78" w14:textId="6CE05DE5" w:rsidR="00BA7CBF" w:rsidRPr="0001227A" w:rsidRDefault="00BA7CBF" w:rsidP="00341FDE">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7.</w:t>
      </w:r>
      <w:r w:rsidRPr="0001227A">
        <w:rPr>
          <w:lang w:val="de-DE"/>
        </w:rPr>
        <w:tab/>
      </w:r>
      <w:r w:rsidR="00341FDE" w:rsidRPr="00341FDE">
        <w:rPr>
          <w:lang w:val="de-DE"/>
        </w:rPr>
        <w:t>Autonome Schutzsysteme</w:t>
      </w:r>
      <w:r w:rsidR="00BE0967" w:rsidRPr="0001227A">
        <w:rPr>
          <w:lang w:val="de-DE"/>
        </w:rPr>
        <w:tab/>
      </w:r>
      <w:r w:rsidR="00BE0967" w:rsidRPr="0001227A">
        <w:rPr>
          <w:lang w:val="de-DE"/>
        </w:rPr>
        <w:tab/>
      </w:r>
      <w:r w:rsidR="00323B9E" w:rsidRPr="0001227A">
        <w:rPr>
          <w:lang w:val="de-DE"/>
        </w:rPr>
        <w:t>61-62</w:t>
      </w:r>
      <w:r w:rsidR="00BE0967" w:rsidRPr="0001227A">
        <w:rPr>
          <w:lang w:val="de-DE"/>
        </w:rPr>
        <w:tab/>
      </w:r>
      <w:r w:rsidR="00323B9E" w:rsidRPr="0001227A">
        <w:rPr>
          <w:lang w:val="de-DE"/>
        </w:rPr>
        <w:t>13</w:t>
      </w:r>
    </w:p>
    <w:p w14:paraId="3722873C" w14:textId="1FF20003" w:rsidR="00BE0967" w:rsidRPr="0001227A" w:rsidRDefault="00BE0967" w:rsidP="00341FDE">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8.</w:t>
      </w:r>
      <w:r w:rsidRPr="0001227A">
        <w:rPr>
          <w:lang w:val="de-DE"/>
        </w:rPr>
        <w:tab/>
      </w:r>
      <w:r w:rsidR="00341FDE" w:rsidRPr="00341FDE">
        <w:rPr>
          <w:lang w:val="de-DE"/>
        </w:rPr>
        <w:t xml:space="preserve">Nutzung des Landstromnetzes durch Fahrzeuge, die gefährliche Güter befördern – Anforderungen an den Anschluss und die Verbindungsleitung zwischen Schiff </w:t>
      </w:r>
      <w:r w:rsidR="00D539E4">
        <w:rPr>
          <w:lang w:val="de-DE"/>
        </w:rPr>
        <w:br/>
      </w:r>
      <w:r w:rsidR="00341FDE" w:rsidRPr="00341FDE">
        <w:rPr>
          <w:lang w:val="de-DE"/>
        </w:rPr>
        <w:t>und Land</w:t>
      </w:r>
      <w:r w:rsidRPr="0001227A">
        <w:rPr>
          <w:lang w:val="de-DE"/>
        </w:rPr>
        <w:tab/>
      </w:r>
      <w:r w:rsidRPr="0001227A">
        <w:rPr>
          <w:lang w:val="de-DE"/>
        </w:rPr>
        <w:tab/>
      </w:r>
      <w:r w:rsidR="00323B9E" w:rsidRPr="0001227A">
        <w:rPr>
          <w:lang w:val="de-DE"/>
        </w:rPr>
        <w:t>63</w:t>
      </w:r>
      <w:r w:rsidRPr="0001227A">
        <w:rPr>
          <w:lang w:val="de-DE"/>
        </w:rPr>
        <w:tab/>
      </w:r>
      <w:r w:rsidR="00323B9E" w:rsidRPr="0001227A">
        <w:rPr>
          <w:lang w:val="de-DE"/>
        </w:rPr>
        <w:t>13</w:t>
      </w:r>
    </w:p>
    <w:p w14:paraId="42AADF30" w14:textId="4D4A70E1" w:rsidR="00BE0967" w:rsidRPr="0001227A" w:rsidRDefault="00BE0967" w:rsidP="0047711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9.</w:t>
      </w:r>
      <w:r w:rsidRPr="0001227A">
        <w:rPr>
          <w:lang w:val="de-DE"/>
        </w:rPr>
        <w:tab/>
      </w:r>
      <w:r w:rsidR="00341FDE" w:rsidRPr="0047711C">
        <w:rPr>
          <w:lang w:val="de-DE"/>
        </w:rPr>
        <w:t xml:space="preserve">Berichtigungen der Übergangsbestimmungen </w:t>
      </w:r>
      <w:r w:rsidR="00C95607" w:rsidRPr="0047711C">
        <w:rPr>
          <w:lang w:val="de-DE"/>
        </w:rPr>
        <w:t>betreffend die Begriffsbestimmungen für Flammendurchschlagsicherungen und Hochgeschwindigkeitsventile</w:t>
      </w:r>
      <w:r w:rsidRPr="0001227A">
        <w:rPr>
          <w:lang w:val="de-DE"/>
        </w:rPr>
        <w:tab/>
      </w:r>
      <w:r w:rsidRPr="0001227A">
        <w:rPr>
          <w:lang w:val="de-DE"/>
        </w:rPr>
        <w:tab/>
      </w:r>
      <w:r w:rsidR="00323B9E" w:rsidRPr="0001227A">
        <w:rPr>
          <w:lang w:val="de-DE"/>
        </w:rPr>
        <w:t>64-66</w:t>
      </w:r>
      <w:r w:rsidRPr="0001227A">
        <w:rPr>
          <w:lang w:val="de-DE"/>
        </w:rPr>
        <w:tab/>
      </w:r>
      <w:r w:rsidR="00323B9E" w:rsidRPr="0001227A">
        <w:rPr>
          <w:lang w:val="de-DE"/>
        </w:rPr>
        <w:t>13</w:t>
      </w:r>
    </w:p>
    <w:p w14:paraId="30411ED6" w14:textId="743B7B69" w:rsidR="00BE0967" w:rsidRPr="0001227A" w:rsidRDefault="00BE0967" w:rsidP="0047711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Pr="0001227A">
        <w:rPr>
          <w:lang w:val="de-DE"/>
        </w:rPr>
        <w:tab/>
        <w:t>10.</w:t>
      </w:r>
      <w:r w:rsidRPr="0001227A">
        <w:rPr>
          <w:lang w:val="de-DE"/>
        </w:rPr>
        <w:tab/>
      </w:r>
      <w:r w:rsidR="0047711C" w:rsidRPr="0047711C">
        <w:rPr>
          <w:lang w:val="de-DE"/>
        </w:rPr>
        <w:t>Bauwerkstoffe</w:t>
      </w:r>
      <w:r w:rsidRPr="0001227A">
        <w:rPr>
          <w:lang w:val="de-DE"/>
        </w:rPr>
        <w:tab/>
      </w:r>
      <w:r w:rsidRPr="0001227A">
        <w:rPr>
          <w:lang w:val="de-DE"/>
        </w:rPr>
        <w:tab/>
      </w:r>
      <w:r w:rsidR="00323B9E" w:rsidRPr="0001227A">
        <w:rPr>
          <w:lang w:val="de-DE"/>
        </w:rPr>
        <w:t>67</w:t>
      </w:r>
      <w:r w:rsidRPr="0001227A">
        <w:rPr>
          <w:lang w:val="de-DE"/>
        </w:rPr>
        <w:tab/>
      </w:r>
      <w:r w:rsidR="00323B9E" w:rsidRPr="0001227A">
        <w:rPr>
          <w:lang w:val="de-DE"/>
        </w:rPr>
        <w:t>14</w:t>
      </w:r>
    </w:p>
    <w:p w14:paraId="4D48CEE2" w14:textId="1CAF4189" w:rsidR="00BE0967" w:rsidRPr="0001227A" w:rsidRDefault="00BE0967" w:rsidP="0047711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0047711C" w:rsidRPr="0047711C">
        <w:rPr>
          <w:lang w:val="de-DE"/>
        </w:rPr>
        <w:t>VII.</w:t>
      </w:r>
      <w:r w:rsidRPr="0001227A">
        <w:rPr>
          <w:lang w:val="de-DE"/>
        </w:rPr>
        <w:tab/>
      </w:r>
      <w:r w:rsidR="0047711C" w:rsidRPr="0047711C">
        <w:rPr>
          <w:lang w:val="de-DE"/>
        </w:rPr>
        <w:t>Berichte informeller Arbeitsgruppen (TOP 6)</w:t>
      </w:r>
      <w:r w:rsidRPr="0001227A">
        <w:rPr>
          <w:lang w:val="de-DE"/>
        </w:rPr>
        <w:tab/>
      </w:r>
      <w:r w:rsidRPr="0001227A">
        <w:rPr>
          <w:lang w:val="de-DE"/>
        </w:rPr>
        <w:tab/>
      </w:r>
      <w:r w:rsidR="00323B9E" w:rsidRPr="0001227A">
        <w:rPr>
          <w:lang w:val="de-DE"/>
        </w:rPr>
        <w:t>68-75</w:t>
      </w:r>
      <w:r w:rsidRPr="0001227A">
        <w:rPr>
          <w:lang w:val="de-DE"/>
        </w:rPr>
        <w:tab/>
      </w:r>
      <w:r w:rsidR="00323B9E" w:rsidRPr="0001227A">
        <w:rPr>
          <w:lang w:val="de-DE"/>
        </w:rPr>
        <w:t>14</w:t>
      </w:r>
    </w:p>
    <w:p w14:paraId="7D359774" w14:textId="048C93E8" w:rsidR="00BE0967" w:rsidRPr="0001227A" w:rsidRDefault="00BE0967" w:rsidP="0047711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0047711C" w:rsidRPr="0047711C">
        <w:rPr>
          <w:lang w:val="de-DE"/>
        </w:rPr>
        <w:t>A.</w:t>
      </w:r>
      <w:r w:rsidRPr="0001227A">
        <w:rPr>
          <w:lang w:val="de-DE"/>
        </w:rPr>
        <w:tab/>
      </w:r>
      <w:r w:rsidR="0047711C" w:rsidRPr="0047711C">
        <w:rPr>
          <w:lang w:val="de-DE"/>
        </w:rPr>
        <w:t xml:space="preserve">Informelle </w:t>
      </w:r>
      <w:r w:rsidR="00DA3317">
        <w:rPr>
          <w:lang w:val="de-DE"/>
        </w:rPr>
        <w:t>Arbeitsgruppe „Flüssigerdgas</w:t>
      </w:r>
      <w:r w:rsidR="0047711C" w:rsidRPr="0047711C">
        <w:rPr>
          <w:lang w:val="de-DE"/>
        </w:rPr>
        <w:t>“</w:t>
      </w:r>
      <w:r w:rsidRPr="0001227A">
        <w:rPr>
          <w:lang w:val="de-DE"/>
        </w:rPr>
        <w:tab/>
      </w:r>
      <w:r w:rsidRPr="0001227A">
        <w:rPr>
          <w:lang w:val="de-DE"/>
        </w:rPr>
        <w:tab/>
      </w:r>
      <w:r w:rsidR="00323B9E" w:rsidRPr="0001227A">
        <w:rPr>
          <w:lang w:val="de-DE"/>
        </w:rPr>
        <w:t>68-69</w:t>
      </w:r>
      <w:r w:rsidRPr="0001227A">
        <w:rPr>
          <w:lang w:val="de-DE"/>
        </w:rPr>
        <w:tab/>
      </w:r>
      <w:r w:rsidR="00323B9E" w:rsidRPr="0001227A">
        <w:rPr>
          <w:lang w:val="de-DE"/>
        </w:rPr>
        <w:t>14</w:t>
      </w:r>
    </w:p>
    <w:p w14:paraId="0C0037CD" w14:textId="5778BDDC" w:rsidR="00BE0967" w:rsidRPr="0001227A" w:rsidRDefault="00BE0967" w:rsidP="0047711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0047711C" w:rsidRPr="0047711C">
        <w:rPr>
          <w:lang w:val="de-DE"/>
        </w:rPr>
        <w:t>B.</w:t>
      </w:r>
      <w:r w:rsidRPr="0001227A">
        <w:rPr>
          <w:lang w:val="de-DE"/>
        </w:rPr>
        <w:tab/>
      </w:r>
      <w:r w:rsidR="0047711C" w:rsidRPr="0047711C">
        <w:rPr>
          <w:lang w:val="de-DE"/>
        </w:rPr>
        <w:t>Informelle Arbeitsgruppe „Explosionsschutz auf Tankschiffen“</w:t>
      </w:r>
      <w:r w:rsidRPr="0001227A">
        <w:rPr>
          <w:lang w:val="de-DE"/>
        </w:rPr>
        <w:tab/>
      </w:r>
      <w:r w:rsidRPr="0001227A">
        <w:rPr>
          <w:lang w:val="de-DE"/>
        </w:rPr>
        <w:tab/>
      </w:r>
      <w:r w:rsidR="00323B9E" w:rsidRPr="0001227A">
        <w:rPr>
          <w:lang w:val="de-DE"/>
        </w:rPr>
        <w:t>70-72</w:t>
      </w:r>
      <w:r w:rsidRPr="0001227A">
        <w:rPr>
          <w:lang w:val="de-DE"/>
        </w:rPr>
        <w:tab/>
      </w:r>
      <w:r w:rsidR="00323B9E" w:rsidRPr="0001227A">
        <w:rPr>
          <w:lang w:val="de-DE"/>
        </w:rPr>
        <w:t>14</w:t>
      </w:r>
    </w:p>
    <w:p w14:paraId="7F697448" w14:textId="21F73734" w:rsidR="00BE0967" w:rsidRPr="0001227A" w:rsidRDefault="00BE0967" w:rsidP="0047711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Pr="0001227A">
        <w:rPr>
          <w:lang w:val="de-DE"/>
        </w:rPr>
        <w:tab/>
      </w:r>
      <w:r w:rsidR="0047711C" w:rsidRPr="0047711C">
        <w:rPr>
          <w:lang w:val="de-DE"/>
        </w:rPr>
        <w:t>C.</w:t>
      </w:r>
      <w:r w:rsidRPr="0001227A">
        <w:rPr>
          <w:lang w:val="de-DE"/>
        </w:rPr>
        <w:tab/>
      </w:r>
      <w:r w:rsidR="0047711C" w:rsidRPr="0047711C">
        <w:rPr>
          <w:lang w:val="de-DE"/>
        </w:rPr>
        <w:t>Informelle Arbeitsgruppe „Empfohlene ADN-Klassifikationsgesellschaften“</w:t>
      </w:r>
      <w:r w:rsidRPr="0001227A">
        <w:rPr>
          <w:lang w:val="de-DE"/>
        </w:rPr>
        <w:tab/>
      </w:r>
      <w:r w:rsidR="00323B9E" w:rsidRPr="0001227A">
        <w:rPr>
          <w:lang w:val="de-DE"/>
        </w:rPr>
        <w:t>73-75</w:t>
      </w:r>
      <w:r w:rsidRPr="0001227A">
        <w:rPr>
          <w:lang w:val="de-DE"/>
        </w:rPr>
        <w:tab/>
      </w:r>
      <w:r w:rsidR="00323B9E" w:rsidRPr="0001227A">
        <w:rPr>
          <w:lang w:val="de-DE"/>
        </w:rPr>
        <w:t>14</w:t>
      </w:r>
    </w:p>
    <w:p w14:paraId="0B9EF2EF" w14:textId="7A78E451" w:rsidR="00BE0967" w:rsidRPr="0001227A" w:rsidRDefault="00BE0967" w:rsidP="0047711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0047711C" w:rsidRPr="0047711C">
        <w:rPr>
          <w:lang w:val="de-DE"/>
        </w:rPr>
        <w:t>VIII.</w:t>
      </w:r>
      <w:r w:rsidRPr="0001227A">
        <w:rPr>
          <w:lang w:val="de-DE"/>
        </w:rPr>
        <w:tab/>
      </w:r>
      <w:r w:rsidR="0047711C" w:rsidRPr="0047711C">
        <w:rPr>
          <w:lang w:val="de-DE"/>
        </w:rPr>
        <w:t>Arbeitsprogramm und Sitzungsplan (TOP 7)</w:t>
      </w:r>
      <w:r w:rsidRPr="0001227A">
        <w:rPr>
          <w:lang w:val="de-DE"/>
        </w:rPr>
        <w:tab/>
      </w:r>
      <w:r w:rsidRPr="0001227A">
        <w:rPr>
          <w:lang w:val="de-DE"/>
        </w:rPr>
        <w:tab/>
      </w:r>
      <w:r w:rsidR="00323B9E" w:rsidRPr="0001227A">
        <w:rPr>
          <w:lang w:val="de-DE"/>
        </w:rPr>
        <w:t>76</w:t>
      </w:r>
      <w:r w:rsidRPr="0001227A">
        <w:rPr>
          <w:lang w:val="de-DE"/>
        </w:rPr>
        <w:tab/>
      </w:r>
      <w:r w:rsidR="00323B9E" w:rsidRPr="0001227A">
        <w:rPr>
          <w:lang w:val="de-DE"/>
        </w:rPr>
        <w:t>15</w:t>
      </w:r>
    </w:p>
    <w:p w14:paraId="6BDA6934" w14:textId="2734567E" w:rsidR="00BE0967" w:rsidRPr="0001227A" w:rsidRDefault="00BE0967" w:rsidP="0047711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0047711C" w:rsidRPr="0047711C">
        <w:rPr>
          <w:lang w:val="de-DE"/>
        </w:rPr>
        <w:t>IX.</w:t>
      </w:r>
      <w:r w:rsidRPr="0001227A">
        <w:rPr>
          <w:lang w:val="de-DE"/>
        </w:rPr>
        <w:tab/>
      </w:r>
      <w:r w:rsidR="0047711C" w:rsidRPr="0047711C">
        <w:rPr>
          <w:lang w:val="de-DE"/>
        </w:rPr>
        <w:t>Verschiedenes (TOP 8)</w:t>
      </w:r>
      <w:r w:rsidRPr="0001227A">
        <w:rPr>
          <w:lang w:val="de-DE"/>
        </w:rPr>
        <w:tab/>
      </w:r>
      <w:r w:rsidRPr="0001227A">
        <w:rPr>
          <w:lang w:val="de-DE"/>
        </w:rPr>
        <w:tab/>
      </w:r>
      <w:r w:rsidR="00323B9E" w:rsidRPr="0001227A">
        <w:rPr>
          <w:lang w:val="de-DE"/>
        </w:rPr>
        <w:t>77</w:t>
      </w:r>
      <w:r w:rsidRPr="0001227A">
        <w:rPr>
          <w:lang w:val="de-DE"/>
        </w:rPr>
        <w:tab/>
      </w:r>
      <w:r w:rsidR="00323B9E" w:rsidRPr="0001227A">
        <w:rPr>
          <w:lang w:val="de-DE"/>
        </w:rPr>
        <w:t>15</w:t>
      </w:r>
    </w:p>
    <w:p w14:paraId="3502DA71" w14:textId="129DCFA1" w:rsidR="00BE0967" w:rsidRPr="0001227A" w:rsidRDefault="00BE0967" w:rsidP="0047711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1227A">
        <w:rPr>
          <w:lang w:val="de-DE"/>
        </w:rPr>
        <w:tab/>
      </w:r>
      <w:r w:rsidR="0047711C" w:rsidRPr="0047711C">
        <w:rPr>
          <w:lang w:val="de-DE"/>
        </w:rPr>
        <w:t>X.</w:t>
      </w:r>
      <w:r w:rsidRPr="0001227A">
        <w:rPr>
          <w:lang w:val="de-DE"/>
        </w:rPr>
        <w:tab/>
      </w:r>
      <w:r w:rsidR="0047711C" w:rsidRPr="0047711C">
        <w:rPr>
          <w:lang w:val="de-DE"/>
        </w:rPr>
        <w:t>Genehmigung des Sitzungsprotokolls</w:t>
      </w:r>
      <w:r w:rsidRPr="0001227A">
        <w:rPr>
          <w:lang w:val="de-DE"/>
        </w:rPr>
        <w:tab/>
      </w:r>
      <w:r w:rsidRPr="0001227A">
        <w:rPr>
          <w:lang w:val="de-DE"/>
        </w:rPr>
        <w:tab/>
      </w:r>
      <w:r w:rsidR="00323B9E" w:rsidRPr="0001227A">
        <w:rPr>
          <w:lang w:val="de-DE"/>
        </w:rPr>
        <w:t>78</w:t>
      </w:r>
      <w:r w:rsidRPr="0001227A">
        <w:rPr>
          <w:lang w:val="de-DE"/>
        </w:rPr>
        <w:tab/>
      </w:r>
      <w:r w:rsidR="00323B9E" w:rsidRPr="0001227A">
        <w:rPr>
          <w:lang w:val="de-DE"/>
        </w:rPr>
        <w:t>15</w:t>
      </w:r>
    </w:p>
    <w:p w14:paraId="4982DFEA" w14:textId="76F73845" w:rsidR="00005A50" w:rsidRPr="0001227A" w:rsidRDefault="0047711C" w:rsidP="0047711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47711C">
        <w:rPr>
          <w:lang w:val="de-DE"/>
        </w:rPr>
        <w:t>Anlagen</w:t>
      </w:r>
    </w:p>
    <w:p w14:paraId="3CD4FD0F" w14:textId="3499B573" w:rsidR="00005A50" w:rsidRPr="0001227A" w:rsidRDefault="00005A50" w:rsidP="004E1F73">
      <w:pPr>
        <w:tabs>
          <w:tab w:val="right" w:pos="850"/>
          <w:tab w:val="left" w:pos="1134"/>
          <w:tab w:val="left" w:pos="1559"/>
          <w:tab w:val="left" w:pos="1984"/>
          <w:tab w:val="left" w:leader="dot" w:pos="8900"/>
          <w:tab w:val="right" w:pos="9638"/>
        </w:tabs>
        <w:spacing w:after="120"/>
        <w:ind w:left="1134" w:hanging="1134"/>
        <w:rPr>
          <w:lang w:val="de-DE"/>
        </w:rPr>
      </w:pPr>
      <w:r w:rsidRPr="0001227A">
        <w:rPr>
          <w:lang w:val="de-DE"/>
        </w:rPr>
        <w:tab/>
      </w:r>
      <w:r w:rsidR="0047711C" w:rsidRPr="0047711C">
        <w:rPr>
          <w:lang w:val="de-DE"/>
        </w:rPr>
        <w:t>I.</w:t>
      </w:r>
      <w:r w:rsidRPr="0001227A">
        <w:rPr>
          <w:lang w:val="de-DE"/>
        </w:rPr>
        <w:tab/>
      </w:r>
      <w:r w:rsidR="0047711C" w:rsidRPr="004E1F73">
        <w:rPr>
          <w:lang w:val="de-DE"/>
        </w:rPr>
        <w:t xml:space="preserve">Berichtigungen </w:t>
      </w:r>
      <w:r w:rsidR="004E1F73" w:rsidRPr="004E1F73">
        <w:rPr>
          <w:lang w:val="de-DE"/>
        </w:rPr>
        <w:t xml:space="preserve">zu </w:t>
      </w:r>
      <w:r w:rsidR="0047711C" w:rsidRPr="004E1F73">
        <w:rPr>
          <w:lang w:val="de-DE"/>
        </w:rPr>
        <w:t>der dem ADN beigefügten Verordnung</w:t>
      </w:r>
      <w:r w:rsidRPr="0001227A">
        <w:rPr>
          <w:lang w:val="de-DE"/>
        </w:rPr>
        <w:tab/>
      </w:r>
      <w:r w:rsidR="00D539E4">
        <w:rPr>
          <w:lang w:val="de-DE"/>
        </w:rPr>
        <w:tab/>
      </w:r>
      <w:r w:rsidR="00323B9E" w:rsidRPr="0001227A">
        <w:rPr>
          <w:lang w:val="de-DE"/>
        </w:rPr>
        <w:t>16</w:t>
      </w:r>
    </w:p>
    <w:p w14:paraId="51FCF540" w14:textId="07D2D173" w:rsidR="00005A50" w:rsidRPr="0001227A" w:rsidRDefault="00005A50" w:rsidP="004E1F73">
      <w:pPr>
        <w:tabs>
          <w:tab w:val="right" w:pos="850"/>
          <w:tab w:val="left" w:pos="1134"/>
          <w:tab w:val="left" w:pos="1559"/>
          <w:tab w:val="left" w:pos="1984"/>
          <w:tab w:val="left" w:leader="dot" w:pos="8900"/>
          <w:tab w:val="right" w:pos="9638"/>
        </w:tabs>
        <w:spacing w:after="120"/>
        <w:ind w:left="1134" w:hanging="1134"/>
        <w:rPr>
          <w:lang w:val="de-DE"/>
        </w:rPr>
      </w:pPr>
      <w:r w:rsidRPr="0001227A">
        <w:rPr>
          <w:lang w:val="de-DE"/>
        </w:rPr>
        <w:tab/>
      </w:r>
      <w:r w:rsidR="004E1F73" w:rsidRPr="004E1F73">
        <w:rPr>
          <w:lang w:val="de-DE"/>
        </w:rPr>
        <w:t>II.</w:t>
      </w:r>
      <w:r w:rsidRPr="0001227A">
        <w:rPr>
          <w:lang w:val="de-DE"/>
        </w:rPr>
        <w:tab/>
      </w:r>
      <w:r w:rsidR="004E1F73" w:rsidRPr="004E1F73">
        <w:rPr>
          <w:lang w:val="de-DE"/>
        </w:rPr>
        <w:t>Änderungsentwürfe zu der dem ADN beigefügten Verordnung, die am 1. Januar 2019 in Kraft treten sollen</w:t>
      </w:r>
      <w:r w:rsidR="001F2CBA" w:rsidRPr="0001227A">
        <w:rPr>
          <w:lang w:val="de-DE"/>
        </w:rPr>
        <w:tab/>
      </w:r>
      <w:r w:rsidR="001F2CBA" w:rsidRPr="0001227A">
        <w:rPr>
          <w:lang w:val="de-DE"/>
        </w:rPr>
        <w:tab/>
      </w:r>
      <w:r w:rsidR="00D539E4">
        <w:rPr>
          <w:lang w:val="de-DE"/>
        </w:rPr>
        <w:tab/>
      </w:r>
      <w:r w:rsidR="00323B9E" w:rsidRPr="0001227A">
        <w:rPr>
          <w:lang w:val="de-DE"/>
        </w:rPr>
        <w:t>18</w:t>
      </w:r>
    </w:p>
    <w:p w14:paraId="7059790E" w14:textId="77777777" w:rsidR="004244CE" w:rsidRPr="0001227A" w:rsidRDefault="004244CE"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p>
    <w:p w14:paraId="33860200" w14:textId="7032997F" w:rsidR="009A75CB" w:rsidRPr="0001227A" w:rsidRDefault="00304C40" w:rsidP="004E1F73">
      <w:pPr>
        <w:pStyle w:val="HChG"/>
        <w:rPr>
          <w:lang w:val="de-DE"/>
        </w:rPr>
      </w:pPr>
      <w:r w:rsidRPr="0001227A">
        <w:rPr>
          <w:lang w:val="de-DE"/>
        </w:rPr>
        <w:br w:type="page"/>
      </w:r>
      <w:r w:rsidR="009A75CB" w:rsidRPr="0001227A">
        <w:rPr>
          <w:lang w:val="de-DE"/>
        </w:rPr>
        <w:lastRenderedPageBreak/>
        <w:tab/>
      </w:r>
      <w:r w:rsidR="004E1F73" w:rsidRPr="004E1F73">
        <w:rPr>
          <w:lang w:val="de-DE"/>
        </w:rPr>
        <w:t>I.</w:t>
      </w:r>
      <w:r w:rsidR="009A75CB" w:rsidRPr="0001227A">
        <w:rPr>
          <w:lang w:val="de-DE"/>
        </w:rPr>
        <w:tab/>
      </w:r>
      <w:r w:rsidR="004E1F73" w:rsidRPr="004E1F73">
        <w:rPr>
          <w:lang w:val="de-DE"/>
        </w:rPr>
        <w:t>Teilnehmer</w:t>
      </w:r>
    </w:p>
    <w:p w14:paraId="370793D7" w14:textId="0A8FD7CA" w:rsidR="009A75CB" w:rsidRPr="0001227A" w:rsidRDefault="009A75CB" w:rsidP="00BE3183">
      <w:pPr>
        <w:pStyle w:val="SingleTxtG"/>
        <w:rPr>
          <w:lang w:val="de-DE"/>
        </w:rPr>
      </w:pPr>
      <w:r w:rsidRPr="0001227A">
        <w:rPr>
          <w:lang w:val="de-DE"/>
        </w:rPr>
        <w:t>1.</w:t>
      </w:r>
      <w:r w:rsidRPr="0001227A">
        <w:rPr>
          <w:lang w:val="de-DE"/>
        </w:rPr>
        <w:tab/>
      </w:r>
      <w:r w:rsidR="004E1F73" w:rsidRPr="00BE3183">
        <w:rPr>
          <w:lang w:val="de-DE"/>
        </w:rPr>
        <w:t>Die Gemeinsame Expertentagung für die dem Europäischen Übereinkommen über die internationale Beförderung von gefährlichen Gütern auf Binnenwasserstraßen (ADN) beigefügte Verordnung (ADN-Sicherheitsausschuss) h</w:t>
      </w:r>
      <w:r w:rsidR="0033418E" w:rsidRPr="00BE3183">
        <w:rPr>
          <w:lang w:val="de-DE"/>
        </w:rPr>
        <w:t>iel</w:t>
      </w:r>
      <w:r w:rsidR="004E1F73" w:rsidRPr="00BE3183">
        <w:rPr>
          <w:lang w:val="de-DE"/>
        </w:rPr>
        <w:t xml:space="preserve">t vom 23. bis 27. Januar 2017 in Genf ihre </w:t>
      </w:r>
      <w:r w:rsidR="00BF33F1" w:rsidRPr="00BE3183">
        <w:rPr>
          <w:lang w:val="de-DE"/>
        </w:rPr>
        <w:t>dreißigste</w:t>
      </w:r>
      <w:r w:rsidR="004E1F73" w:rsidRPr="00BE3183">
        <w:rPr>
          <w:lang w:val="de-DE"/>
        </w:rPr>
        <w:t xml:space="preserve"> Sitzung ab. An</w:t>
      </w:r>
      <w:r w:rsidR="00BF33F1" w:rsidRPr="00BE3183">
        <w:rPr>
          <w:lang w:val="de-DE"/>
        </w:rPr>
        <w:t xml:space="preserve"> den Arbeiten</w:t>
      </w:r>
      <w:r w:rsidR="004E1F73" w:rsidRPr="00BE3183">
        <w:rPr>
          <w:lang w:val="de-DE"/>
        </w:rPr>
        <w:t xml:space="preserve"> dieser Sitzung </w:t>
      </w:r>
      <w:r w:rsidR="00BF33F1" w:rsidRPr="00BE3183">
        <w:rPr>
          <w:lang w:val="de-DE"/>
        </w:rPr>
        <w:t>beteiligten sich</w:t>
      </w:r>
      <w:r w:rsidR="004E1F73" w:rsidRPr="00BE3183">
        <w:rPr>
          <w:lang w:val="de-DE"/>
        </w:rPr>
        <w:t xml:space="preserve"> Vertreter</w:t>
      </w:r>
      <w:r w:rsidR="00BF33F1" w:rsidRPr="00BE3183">
        <w:rPr>
          <w:lang w:val="de-DE"/>
        </w:rPr>
        <w:t xml:space="preserve"> der</w:t>
      </w:r>
      <w:r w:rsidR="004E1F73" w:rsidRPr="00BE3183">
        <w:rPr>
          <w:lang w:val="de-DE"/>
        </w:rPr>
        <w:t xml:space="preserve"> folgende</w:t>
      </w:r>
      <w:r w:rsidR="00BF33F1" w:rsidRPr="00BE3183">
        <w:rPr>
          <w:lang w:val="de-DE"/>
        </w:rPr>
        <w:t>n</w:t>
      </w:r>
      <w:r w:rsidR="004E1F73" w:rsidRPr="00BE3183">
        <w:rPr>
          <w:lang w:val="de-DE"/>
        </w:rPr>
        <w:t xml:space="preserve"> </w:t>
      </w:r>
      <w:r w:rsidR="002B5AA0" w:rsidRPr="00BE3183">
        <w:rPr>
          <w:lang w:val="de-DE"/>
        </w:rPr>
        <w:t>Länder</w:t>
      </w:r>
      <w:r w:rsidR="004E1F73" w:rsidRPr="00BE3183">
        <w:rPr>
          <w:lang w:val="de-DE"/>
        </w:rPr>
        <w:t>:</w:t>
      </w:r>
      <w:r w:rsidRPr="0001227A">
        <w:rPr>
          <w:lang w:val="de-DE"/>
        </w:rPr>
        <w:t xml:space="preserve"> </w:t>
      </w:r>
      <w:r w:rsidR="002B5AA0" w:rsidRPr="00BE3183">
        <w:rPr>
          <w:lang w:val="de-DE"/>
        </w:rPr>
        <w:t>Belgien, Bulgarien, Deutschland, Frankreich, Kroatien, Luxemburg, Niederlande, Österreich, Rumänien, Schweiz, Slowakei und Ukraine.</w:t>
      </w:r>
      <w:r w:rsidRPr="0001227A">
        <w:rPr>
          <w:lang w:val="de-DE"/>
        </w:rPr>
        <w:t xml:space="preserve"> </w:t>
      </w:r>
      <w:r w:rsidR="002A003E" w:rsidRPr="00BE3183">
        <w:rPr>
          <w:lang w:val="de-DE"/>
        </w:rPr>
        <w:t>Folgende zwischenstaatliche Organisationen waren vertreten:</w:t>
      </w:r>
      <w:r w:rsidRPr="0001227A">
        <w:rPr>
          <w:lang w:val="de-DE"/>
        </w:rPr>
        <w:t xml:space="preserve"> </w:t>
      </w:r>
      <w:r w:rsidR="002A003E" w:rsidRPr="00BE3183">
        <w:rPr>
          <w:lang w:val="de-DE"/>
        </w:rPr>
        <w:t>Zentralkommission für die Rheinschifffahrt (ZKR), Donaukommission (DK) und Europäische Union.</w:t>
      </w:r>
      <w:r w:rsidRPr="0001227A">
        <w:rPr>
          <w:lang w:val="de-DE"/>
        </w:rPr>
        <w:t xml:space="preserve"> </w:t>
      </w:r>
      <w:r w:rsidR="002A003E" w:rsidRPr="00BE3183">
        <w:rPr>
          <w:lang w:val="de-DE"/>
        </w:rPr>
        <w:t>Ebenfalls vertreten waren folgende nichtstaatliche Organisationen:</w:t>
      </w:r>
      <w:r w:rsidRPr="0001227A">
        <w:rPr>
          <w:lang w:val="de-DE"/>
        </w:rPr>
        <w:t xml:space="preserve"> </w:t>
      </w:r>
      <w:r w:rsidR="002A003E" w:rsidRPr="00BE3183">
        <w:rPr>
          <w:lang w:val="de-DE"/>
        </w:rPr>
        <w:t xml:space="preserve">Europäische Binnenschifffahrts-Union (EBU), European Bulk Oil Traders’ Association (EBOTA), Europäischer Rat der Chemischen Industrieverbände (CEFIC), European-River-Sea Transport Union (ERSTU), </w:t>
      </w:r>
      <w:r w:rsidR="007E031C" w:rsidRPr="00BE3183">
        <w:rPr>
          <w:lang w:val="de-DE"/>
        </w:rPr>
        <w:t xml:space="preserve">Europäische Stein- und Braunkohleverband (EURACOAL), Verband europäischer Tanklager (FETSA), FuelsEurope, </w:t>
      </w:r>
      <w:r w:rsidR="002A003E" w:rsidRPr="00BE3183">
        <w:rPr>
          <w:lang w:val="de-DE"/>
        </w:rPr>
        <w:t>Europäische Schifferorganisation (ESO), Internationaler Ausschuss für die Verhütung von Arbeitsunfällen in der Binnenschifffahrt (CIPA) und die Empfohlenen ADN-Klassifikationsgesellschaften.</w:t>
      </w:r>
    </w:p>
    <w:p w14:paraId="38BF70C7" w14:textId="69C7CD93" w:rsidR="009A75CB" w:rsidRPr="0001227A" w:rsidRDefault="009A75CB" w:rsidP="00603A44">
      <w:pPr>
        <w:pStyle w:val="HChG"/>
        <w:spacing w:before="240"/>
        <w:rPr>
          <w:lang w:val="de-DE"/>
        </w:rPr>
      </w:pPr>
      <w:r w:rsidRPr="0001227A">
        <w:rPr>
          <w:lang w:val="de-DE"/>
        </w:rPr>
        <w:tab/>
      </w:r>
      <w:r w:rsidR="007E031C" w:rsidRPr="00BE3183">
        <w:rPr>
          <w:lang w:val="de-DE"/>
        </w:rPr>
        <w:t>II.</w:t>
      </w:r>
      <w:r w:rsidRPr="0001227A">
        <w:rPr>
          <w:lang w:val="de-DE"/>
        </w:rPr>
        <w:tab/>
      </w:r>
      <w:r w:rsidR="007E031C" w:rsidRPr="00BE3183">
        <w:rPr>
          <w:lang w:val="de-DE"/>
        </w:rPr>
        <w:t>Genehmigung der Tagesordnung (TOP 1)</w:t>
      </w:r>
    </w:p>
    <w:p w14:paraId="23565BAF" w14:textId="6467AAF0" w:rsidR="009A75CB" w:rsidRPr="0001227A" w:rsidRDefault="007E031C" w:rsidP="00BE3183">
      <w:pPr>
        <w:pStyle w:val="SingleTxtG"/>
        <w:spacing w:after="0"/>
        <w:rPr>
          <w:lang w:val="de-DE"/>
        </w:rPr>
      </w:pPr>
      <w:r w:rsidRPr="00BE3183">
        <w:rPr>
          <w:i/>
          <w:iCs/>
          <w:lang w:val="de-DE"/>
        </w:rPr>
        <w:t>Dokumente:</w:t>
      </w:r>
      <w:r w:rsidR="00887098" w:rsidRPr="0001227A">
        <w:rPr>
          <w:lang w:val="de-DE"/>
        </w:rPr>
        <w:tab/>
      </w:r>
      <w:r w:rsidR="009A75CB" w:rsidRPr="0001227A">
        <w:rPr>
          <w:lang w:val="de-DE"/>
        </w:rPr>
        <w:tab/>
      </w:r>
      <w:r w:rsidR="00B424E3" w:rsidRPr="0001227A">
        <w:rPr>
          <w:lang w:val="de-DE"/>
        </w:rPr>
        <w:tab/>
      </w:r>
      <w:r w:rsidR="009A75CB" w:rsidRPr="0001227A">
        <w:rPr>
          <w:lang w:val="de-DE"/>
        </w:rPr>
        <w:t xml:space="preserve">ECE/TRANS/WP.15/AC.2/61 </w:t>
      </w:r>
      <w:r w:rsidRPr="0001227A">
        <w:rPr>
          <w:lang w:val="de-DE"/>
        </w:rPr>
        <w:t>u</w:t>
      </w:r>
      <w:r w:rsidR="009A75CB" w:rsidRPr="0001227A">
        <w:rPr>
          <w:lang w:val="de-DE"/>
        </w:rPr>
        <w:t>nd Add.1</w:t>
      </w:r>
    </w:p>
    <w:p w14:paraId="430816CD" w14:textId="65B0F04B" w:rsidR="009A75CB" w:rsidRPr="0001227A" w:rsidRDefault="00BE3183" w:rsidP="00BE3183">
      <w:pPr>
        <w:pStyle w:val="SingleTxtG"/>
        <w:rPr>
          <w:lang w:val="de-DE"/>
        </w:rPr>
      </w:pPr>
      <w:r w:rsidRPr="00BE3183">
        <w:rPr>
          <w:i/>
          <w:iCs/>
          <w:lang w:val="de-DE"/>
        </w:rPr>
        <w:t>Informelles Dokument:</w:t>
      </w:r>
      <w:r w:rsidR="007E031C" w:rsidRPr="0001227A">
        <w:rPr>
          <w:lang w:val="de-DE"/>
        </w:rPr>
        <w:tab/>
        <w:t>INF.1 (Sek</w:t>
      </w:r>
      <w:r w:rsidR="009A75CB" w:rsidRPr="0001227A">
        <w:rPr>
          <w:lang w:val="de-DE"/>
        </w:rPr>
        <w:t>retariat)</w:t>
      </w:r>
    </w:p>
    <w:p w14:paraId="285F823A" w14:textId="54FCF012" w:rsidR="009A75CB" w:rsidRPr="0001227A" w:rsidRDefault="009A75CB" w:rsidP="00BE3183">
      <w:pPr>
        <w:pStyle w:val="SingleTxtG"/>
        <w:rPr>
          <w:lang w:val="de-DE"/>
        </w:rPr>
      </w:pPr>
      <w:r w:rsidRPr="0001227A">
        <w:rPr>
          <w:lang w:val="de-DE"/>
        </w:rPr>
        <w:t>2.</w:t>
      </w:r>
      <w:r w:rsidRPr="0001227A">
        <w:rPr>
          <w:lang w:val="de-DE"/>
        </w:rPr>
        <w:tab/>
      </w:r>
      <w:r w:rsidR="007E031C" w:rsidRPr="00BE3183">
        <w:rPr>
          <w:lang w:val="de-DE"/>
        </w:rPr>
        <w:t>Der Sicherheitsausschuss genehmigte die vom Sekretariat vorbereitete Tagesordnung in der durch das informelle Dokument INF.1 zur Berücksichtigung der informellen Dokumente INF.1 bis INF.28 geänderten Fassung.</w:t>
      </w:r>
    </w:p>
    <w:p w14:paraId="7313B70B" w14:textId="68558A7A" w:rsidR="009A75CB" w:rsidRPr="0001227A" w:rsidRDefault="009A75CB" w:rsidP="00BE3183">
      <w:pPr>
        <w:pStyle w:val="HChG"/>
        <w:rPr>
          <w:lang w:val="de-DE"/>
        </w:rPr>
      </w:pPr>
      <w:r w:rsidRPr="0001227A">
        <w:rPr>
          <w:lang w:val="de-DE"/>
        </w:rPr>
        <w:tab/>
      </w:r>
      <w:r w:rsidR="007E031C" w:rsidRPr="00BE3183">
        <w:rPr>
          <w:lang w:val="de-DE"/>
        </w:rPr>
        <w:t>III.</w:t>
      </w:r>
      <w:r w:rsidRPr="0001227A">
        <w:rPr>
          <w:lang w:val="de-DE"/>
        </w:rPr>
        <w:tab/>
      </w:r>
      <w:r w:rsidR="007E031C" w:rsidRPr="00BE3183">
        <w:rPr>
          <w:lang w:val="de-DE"/>
        </w:rPr>
        <w:t>Wahl des Büros für 2017 (TOP 2)</w:t>
      </w:r>
    </w:p>
    <w:p w14:paraId="5662283E" w14:textId="70CFCD07" w:rsidR="009A75CB" w:rsidRPr="0001227A" w:rsidRDefault="009A75CB" w:rsidP="00A20F9B">
      <w:pPr>
        <w:pStyle w:val="SingleTxtG"/>
        <w:rPr>
          <w:lang w:val="de-DE"/>
        </w:rPr>
      </w:pPr>
      <w:r w:rsidRPr="0001227A">
        <w:rPr>
          <w:lang w:val="de-DE"/>
        </w:rPr>
        <w:t>3.</w:t>
      </w:r>
      <w:r w:rsidRPr="0001227A">
        <w:rPr>
          <w:lang w:val="de-DE"/>
        </w:rPr>
        <w:tab/>
      </w:r>
      <w:r w:rsidR="00D53F43" w:rsidRPr="00A20F9B">
        <w:rPr>
          <w:lang w:val="de-DE"/>
        </w:rPr>
        <w:t xml:space="preserve">Auf Vorschlag des </w:t>
      </w:r>
      <w:r w:rsidR="00B424E3">
        <w:rPr>
          <w:lang w:val="de-DE"/>
        </w:rPr>
        <w:t xml:space="preserve">luxemburgischen </w:t>
      </w:r>
      <w:r w:rsidR="00D53F43" w:rsidRPr="00A20F9B">
        <w:rPr>
          <w:lang w:val="de-DE"/>
        </w:rPr>
        <w:t xml:space="preserve">Vertreters wurden Herr Rein (Deutschland) und Herr B. Birklhuber (Österreich) zum Vorsitzenden und stellvertretenden Vorsitzenden </w:t>
      </w:r>
      <w:r w:rsidR="00BE3183" w:rsidRPr="00A20F9B">
        <w:rPr>
          <w:lang w:val="de-DE"/>
        </w:rPr>
        <w:t xml:space="preserve">für die Sitzungsperiode 2017 </w:t>
      </w:r>
      <w:r w:rsidR="00D53F43" w:rsidRPr="00A20F9B">
        <w:rPr>
          <w:lang w:val="de-DE"/>
        </w:rPr>
        <w:t>gewählt.</w:t>
      </w:r>
    </w:p>
    <w:p w14:paraId="0EAEA71F" w14:textId="15B32B3C" w:rsidR="009A75CB" w:rsidRPr="0001227A" w:rsidRDefault="009A75CB" w:rsidP="00603A44">
      <w:pPr>
        <w:pStyle w:val="HChG"/>
        <w:spacing w:before="240"/>
        <w:rPr>
          <w:lang w:val="de-DE"/>
        </w:rPr>
      </w:pPr>
      <w:r w:rsidRPr="0001227A">
        <w:rPr>
          <w:lang w:val="de-DE"/>
        </w:rPr>
        <w:tab/>
      </w:r>
      <w:r w:rsidR="00D53F43" w:rsidRPr="00D53F43">
        <w:rPr>
          <w:lang w:val="de-DE"/>
        </w:rPr>
        <w:t>IV.</w:t>
      </w:r>
      <w:r w:rsidRPr="0001227A">
        <w:rPr>
          <w:lang w:val="de-DE"/>
        </w:rPr>
        <w:tab/>
      </w:r>
      <w:r w:rsidR="00D53F43" w:rsidRPr="00D53F43">
        <w:rPr>
          <w:lang w:val="de-DE"/>
        </w:rPr>
        <w:t xml:space="preserve">Fragen im Zusammenhang mit den Arbeiten der Organe der Vereinten Nationen und anderer Organisationen (TOP 3) </w:t>
      </w:r>
    </w:p>
    <w:p w14:paraId="5D4E0682" w14:textId="43843CEA" w:rsidR="009A75CB" w:rsidRPr="0001227A" w:rsidRDefault="009A75CB" w:rsidP="00C7271B">
      <w:pPr>
        <w:pStyle w:val="SingleTxtG"/>
        <w:rPr>
          <w:lang w:val="de-DE"/>
        </w:rPr>
      </w:pPr>
      <w:r w:rsidRPr="0001227A">
        <w:rPr>
          <w:lang w:val="de-DE"/>
        </w:rPr>
        <w:t>4.</w:t>
      </w:r>
      <w:r w:rsidRPr="0001227A">
        <w:rPr>
          <w:lang w:val="de-DE"/>
        </w:rPr>
        <w:tab/>
      </w:r>
      <w:r w:rsidR="00D53F43" w:rsidRPr="00EF766A">
        <w:rPr>
          <w:lang w:val="de-DE"/>
        </w:rPr>
        <w:t xml:space="preserve">Die Leiterin der ECE-Abteilung Nachhaltiger Verkehr, Frau Eva Molnar, </w:t>
      </w:r>
      <w:r w:rsidR="00A20F9B" w:rsidRPr="00EF766A">
        <w:rPr>
          <w:lang w:val="de-DE"/>
        </w:rPr>
        <w:t>informierte</w:t>
      </w:r>
      <w:r w:rsidR="00D53F43" w:rsidRPr="00EF766A">
        <w:rPr>
          <w:lang w:val="de-DE"/>
        </w:rPr>
        <w:t xml:space="preserve"> de</w:t>
      </w:r>
      <w:r w:rsidR="00A20F9B" w:rsidRPr="00EF766A">
        <w:rPr>
          <w:lang w:val="de-DE"/>
        </w:rPr>
        <w:t>n</w:t>
      </w:r>
      <w:r w:rsidR="00D53F43" w:rsidRPr="00EF766A">
        <w:rPr>
          <w:lang w:val="de-DE"/>
        </w:rPr>
        <w:t xml:space="preserve"> Sicherheitsausschuss über das Programm der neunundsiebzigsten Sitzung des Binnenverkehrsausschusses</w:t>
      </w:r>
      <w:r w:rsidR="005B3C33" w:rsidRPr="00EF766A">
        <w:rPr>
          <w:lang w:val="de-DE"/>
        </w:rPr>
        <w:t xml:space="preserve"> und die </w:t>
      </w:r>
      <w:r w:rsidR="000D4970" w:rsidRPr="00EF766A">
        <w:rPr>
          <w:lang w:val="de-DE"/>
        </w:rPr>
        <w:t xml:space="preserve">vom 20. bis 24. Februar 2017 </w:t>
      </w:r>
      <w:r w:rsidR="005B3C33" w:rsidRPr="00EF766A">
        <w:rPr>
          <w:lang w:val="de-DE"/>
        </w:rPr>
        <w:t xml:space="preserve">geplanten Veranstaltungen </w:t>
      </w:r>
      <w:r w:rsidR="00460CDD" w:rsidRPr="00EF766A">
        <w:rPr>
          <w:lang w:val="de-DE"/>
        </w:rPr>
        <w:t>zum</w:t>
      </w:r>
      <w:r w:rsidR="005B3C33" w:rsidRPr="00EF766A">
        <w:rPr>
          <w:lang w:val="de-DE"/>
        </w:rPr>
        <w:t xml:space="preserve"> siebzig</w:t>
      </w:r>
      <w:r w:rsidR="00460CDD" w:rsidRPr="00EF766A">
        <w:rPr>
          <w:lang w:val="de-DE"/>
        </w:rPr>
        <w:t>sten</w:t>
      </w:r>
      <w:r w:rsidR="005B3C33" w:rsidRPr="00EF766A">
        <w:rPr>
          <w:lang w:val="de-DE"/>
        </w:rPr>
        <w:t xml:space="preserve"> </w:t>
      </w:r>
      <w:r w:rsidR="003906AE">
        <w:rPr>
          <w:lang w:val="de-DE"/>
        </w:rPr>
        <w:t>Jubiläum</w:t>
      </w:r>
      <w:r w:rsidR="000D4970" w:rsidRPr="00EF766A">
        <w:rPr>
          <w:lang w:val="de-DE"/>
        </w:rPr>
        <w:t xml:space="preserve"> d</w:t>
      </w:r>
      <w:r w:rsidR="00A20F9B" w:rsidRPr="00EF766A">
        <w:rPr>
          <w:lang w:val="de-DE"/>
        </w:rPr>
        <w:t>ies</w:t>
      </w:r>
      <w:r w:rsidR="000D4970" w:rsidRPr="00EF766A">
        <w:rPr>
          <w:lang w:val="de-DE"/>
        </w:rPr>
        <w:t>es Ausschusses</w:t>
      </w:r>
      <w:r w:rsidR="005B3C33" w:rsidRPr="00EF766A">
        <w:rPr>
          <w:lang w:val="de-DE"/>
        </w:rPr>
        <w:t>.</w:t>
      </w:r>
      <w:r w:rsidRPr="0001227A">
        <w:rPr>
          <w:lang w:val="de-DE"/>
        </w:rPr>
        <w:t xml:space="preserve"> </w:t>
      </w:r>
      <w:r w:rsidR="00B0067D" w:rsidRPr="00C7271B">
        <w:rPr>
          <w:lang w:val="de-DE"/>
        </w:rPr>
        <w:t xml:space="preserve">Diese Sitzung </w:t>
      </w:r>
      <w:r w:rsidR="005B1A2A" w:rsidRPr="00C7271B">
        <w:rPr>
          <w:lang w:val="de-DE"/>
        </w:rPr>
        <w:t>sei von</w:t>
      </w:r>
      <w:r w:rsidR="00B0067D" w:rsidRPr="00C7271B">
        <w:rPr>
          <w:lang w:val="de-DE"/>
        </w:rPr>
        <w:t xml:space="preserve"> besonder</w:t>
      </w:r>
      <w:r w:rsidR="005B1A2A" w:rsidRPr="00C7271B">
        <w:rPr>
          <w:lang w:val="de-DE"/>
        </w:rPr>
        <w:t>er Bedeutung</w:t>
      </w:r>
      <w:r w:rsidR="00B0067D" w:rsidRPr="00C7271B">
        <w:rPr>
          <w:lang w:val="de-DE"/>
        </w:rPr>
        <w:t xml:space="preserve">, </w:t>
      </w:r>
      <w:r w:rsidR="005B1A2A" w:rsidRPr="00C7271B">
        <w:rPr>
          <w:lang w:val="de-DE"/>
        </w:rPr>
        <w:t>da</w:t>
      </w:r>
      <w:r w:rsidR="00B0067D" w:rsidRPr="00C7271B">
        <w:rPr>
          <w:lang w:val="de-DE"/>
        </w:rPr>
        <w:t xml:space="preserve"> </w:t>
      </w:r>
      <w:r w:rsidR="005B1A2A" w:rsidRPr="00C7271B">
        <w:rPr>
          <w:lang w:val="de-DE"/>
        </w:rPr>
        <w:t>im Rahmen eines</w:t>
      </w:r>
      <w:r w:rsidR="00B0067D" w:rsidRPr="00C7271B">
        <w:rPr>
          <w:lang w:val="de-DE"/>
        </w:rPr>
        <w:t xml:space="preserve"> ministeriellen Teil</w:t>
      </w:r>
      <w:r w:rsidR="005B1A2A" w:rsidRPr="00C7271B">
        <w:rPr>
          <w:lang w:val="de-DE"/>
        </w:rPr>
        <w:t>s</w:t>
      </w:r>
      <w:r w:rsidR="00B0067D" w:rsidRPr="00C7271B">
        <w:rPr>
          <w:lang w:val="de-DE"/>
        </w:rPr>
        <w:t xml:space="preserve"> </w:t>
      </w:r>
      <w:r w:rsidR="00527CB2" w:rsidRPr="00C7271B">
        <w:rPr>
          <w:lang w:val="de-DE"/>
        </w:rPr>
        <w:t xml:space="preserve">der Sitzung </w:t>
      </w:r>
      <w:r w:rsidR="00B0067D" w:rsidRPr="00C7271B">
        <w:rPr>
          <w:lang w:val="de-DE"/>
        </w:rPr>
        <w:t xml:space="preserve">die Strategie des Ausschusses </w:t>
      </w:r>
      <w:r w:rsidR="001B0764" w:rsidRPr="00C7271B">
        <w:rPr>
          <w:lang w:val="de-DE"/>
        </w:rPr>
        <w:t>für die kommenden Jahre diskutiert werde</w:t>
      </w:r>
      <w:r w:rsidR="005B1A2A" w:rsidRPr="00C7271B">
        <w:rPr>
          <w:lang w:val="de-DE"/>
        </w:rPr>
        <w:t>n solle</w:t>
      </w:r>
      <w:r w:rsidR="001B0764" w:rsidRPr="00C7271B">
        <w:rPr>
          <w:lang w:val="de-DE"/>
        </w:rPr>
        <w:t>.</w:t>
      </w:r>
      <w:r w:rsidRPr="0001227A">
        <w:rPr>
          <w:lang w:val="de-DE"/>
        </w:rPr>
        <w:t xml:space="preserve"> </w:t>
      </w:r>
      <w:r w:rsidR="00A1779B" w:rsidRPr="00C7271B">
        <w:rPr>
          <w:lang w:val="de-DE"/>
        </w:rPr>
        <w:t xml:space="preserve">Zu den Rahmenveranstaltungen </w:t>
      </w:r>
      <w:r w:rsidR="00284821" w:rsidRPr="00C7271B">
        <w:rPr>
          <w:lang w:val="de-DE"/>
        </w:rPr>
        <w:t>zähle</w:t>
      </w:r>
      <w:r w:rsidR="00A1779B" w:rsidRPr="00C7271B">
        <w:rPr>
          <w:lang w:val="de-DE"/>
        </w:rPr>
        <w:t xml:space="preserve"> auch eine hochrangige internationale Binnenschifffahrtskonferenz (</w:t>
      </w:r>
      <w:r w:rsidR="00284821" w:rsidRPr="00C7271B">
        <w:rPr>
          <w:lang w:val="de-DE"/>
        </w:rPr>
        <w:t xml:space="preserve">die </w:t>
      </w:r>
      <w:r w:rsidR="00A1779B" w:rsidRPr="00C7271B">
        <w:rPr>
          <w:lang w:val="de-DE"/>
        </w:rPr>
        <w:t>am Vormittag des 22. Februar</w:t>
      </w:r>
      <w:r w:rsidR="00284821" w:rsidRPr="00C7271B">
        <w:rPr>
          <w:lang w:val="de-DE"/>
        </w:rPr>
        <w:t xml:space="preserve"> stattfinde</w:t>
      </w:r>
      <w:r w:rsidR="00A1779B" w:rsidRPr="00C7271B">
        <w:rPr>
          <w:lang w:val="de-DE"/>
        </w:rPr>
        <w:t>).</w:t>
      </w:r>
    </w:p>
    <w:p w14:paraId="155C968D" w14:textId="61AB8F9D" w:rsidR="009A75CB" w:rsidRPr="0001227A" w:rsidRDefault="009A75CB" w:rsidP="00C7271B">
      <w:pPr>
        <w:pStyle w:val="SingleTxtG"/>
        <w:rPr>
          <w:lang w:val="de-DE"/>
        </w:rPr>
      </w:pPr>
      <w:r w:rsidRPr="0001227A">
        <w:rPr>
          <w:lang w:val="de-DE"/>
        </w:rPr>
        <w:t>5.</w:t>
      </w:r>
      <w:r w:rsidRPr="0001227A">
        <w:rPr>
          <w:lang w:val="de-DE"/>
        </w:rPr>
        <w:tab/>
      </w:r>
      <w:r w:rsidR="00284821" w:rsidRPr="00C7271B">
        <w:rPr>
          <w:lang w:val="de-DE"/>
        </w:rPr>
        <w:t xml:space="preserve">Der Sekretär der Arbeitsgruppe „Binnenschifffahrt" (SC.3) und der Arbeitsgruppe „Standardisierung der technischen Sicherheitsanforderungen für die Binnenschifffahrt“ (SC.3/WP.3) </w:t>
      </w:r>
      <w:r w:rsidR="00C7271B" w:rsidRPr="00C7271B">
        <w:rPr>
          <w:lang w:val="de-DE"/>
        </w:rPr>
        <w:t>unterrichtete</w:t>
      </w:r>
      <w:r w:rsidR="00284821" w:rsidRPr="00C7271B">
        <w:rPr>
          <w:lang w:val="de-DE"/>
        </w:rPr>
        <w:t xml:space="preserve"> de</w:t>
      </w:r>
      <w:r w:rsidR="00C7271B" w:rsidRPr="00C7271B">
        <w:rPr>
          <w:lang w:val="de-DE"/>
        </w:rPr>
        <w:t>n</w:t>
      </w:r>
      <w:r w:rsidR="00284821" w:rsidRPr="00C7271B">
        <w:rPr>
          <w:lang w:val="de-DE"/>
        </w:rPr>
        <w:t xml:space="preserve"> Sicherheitsausschuss über die neuesten Entwicklungen in diesen Gremien, einschließlich der Aktualisierung ihrer Terms of Reference und der Arbeiten zur Harmonisierung der technischen Vorschriften </w:t>
      </w:r>
      <w:r w:rsidR="007B0AED" w:rsidRPr="00C7271B">
        <w:rPr>
          <w:lang w:val="de-DE"/>
        </w:rPr>
        <w:t>der</w:t>
      </w:r>
      <w:r w:rsidR="00284821" w:rsidRPr="00C7271B">
        <w:rPr>
          <w:lang w:val="de-DE"/>
        </w:rPr>
        <w:t xml:space="preserve"> Resolution Nr. 61 mit denen des europäischen Standards ES-TRIN.</w:t>
      </w:r>
      <w:r w:rsidRPr="0001227A">
        <w:rPr>
          <w:lang w:val="de-DE"/>
        </w:rPr>
        <w:t xml:space="preserve"> </w:t>
      </w:r>
      <w:r w:rsidR="00C64C5B" w:rsidRPr="00C7271B">
        <w:rPr>
          <w:lang w:val="de-DE"/>
        </w:rPr>
        <w:t>Der Sicherheitsausschuss nahm insbesondere von einem Entwurf des Kapitels X</w:t>
      </w:r>
      <w:r w:rsidR="00423CB4" w:rsidRPr="00C7271B">
        <w:rPr>
          <w:lang w:val="de-DE"/>
        </w:rPr>
        <w:t xml:space="preserve"> Kenntnis</w:t>
      </w:r>
      <w:r w:rsidR="00C64C5B" w:rsidRPr="00C7271B">
        <w:rPr>
          <w:lang w:val="de-DE"/>
        </w:rPr>
        <w:t xml:space="preserve">, der sich an Kapitel 30 und Anlage 8 des ES-TRIN (Dokument ECE/TRANS/SC.3/WP.3/2017/8) betreffend Sonderbestimmungen für Fahrzeuge, auf denen Antriebs- oder Hilfssysteme installiert sind, die mit Brennstoffen mit einem Flammpunkt von 55 °C oder darunter betrieben werden, </w:t>
      </w:r>
      <w:r w:rsidR="00C7271B" w:rsidRPr="00C7271B">
        <w:rPr>
          <w:lang w:val="de-DE"/>
        </w:rPr>
        <w:t xml:space="preserve">anlehnt </w:t>
      </w:r>
      <w:r w:rsidR="00E2073E" w:rsidRPr="00C7271B">
        <w:rPr>
          <w:lang w:val="de-DE"/>
        </w:rPr>
        <w:t xml:space="preserve">und auf Wunsch des Sicherheitsausschusses erarbeitet wurde, der </w:t>
      </w:r>
      <w:r w:rsidR="00C7271B" w:rsidRPr="00C7271B">
        <w:rPr>
          <w:lang w:val="de-DE"/>
        </w:rPr>
        <w:t>solche</w:t>
      </w:r>
      <w:r w:rsidR="00E2073E" w:rsidRPr="00C7271B">
        <w:rPr>
          <w:lang w:val="de-DE"/>
        </w:rPr>
        <w:t xml:space="preserve"> Texte in seinen Arbeitssprachen </w:t>
      </w:r>
      <w:r w:rsidR="00423CB4" w:rsidRPr="00C7271B">
        <w:rPr>
          <w:lang w:val="de-DE"/>
        </w:rPr>
        <w:t>vorliegen</w:t>
      </w:r>
      <w:r w:rsidR="00E2073E" w:rsidRPr="00C7271B">
        <w:rPr>
          <w:lang w:val="de-DE"/>
        </w:rPr>
        <w:t xml:space="preserve"> haben möchte</w:t>
      </w:r>
      <w:r w:rsidR="00AF3C3A" w:rsidRPr="00C7271B">
        <w:rPr>
          <w:lang w:val="de-DE"/>
        </w:rPr>
        <w:t xml:space="preserve"> (ECE/TRANS/WP.15/AC.2/60, Abs. 51).</w:t>
      </w:r>
    </w:p>
    <w:p w14:paraId="1C08533A" w14:textId="6AFCA4BB" w:rsidR="009A75CB" w:rsidRPr="0001227A" w:rsidRDefault="009A75CB" w:rsidP="002C47E2">
      <w:pPr>
        <w:pStyle w:val="HChG"/>
        <w:rPr>
          <w:lang w:val="de-DE"/>
        </w:rPr>
      </w:pPr>
      <w:r w:rsidRPr="0001227A">
        <w:rPr>
          <w:lang w:val="de-DE"/>
        </w:rPr>
        <w:lastRenderedPageBreak/>
        <w:tab/>
      </w:r>
      <w:r w:rsidR="002C47E2" w:rsidRPr="002C47E2">
        <w:rPr>
          <w:lang w:val="de-DE"/>
        </w:rPr>
        <w:t>V.</w:t>
      </w:r>
      <w:r w:rsidRPr="0001227A">
        <w:rPr>
          <w:lang w:val="de-DE"/>
        </w:rPr>
        <w:tab/>
      </w:r>
      <w:r w:rsidR="002C47E2" w:rsidRPr="002C47E2">
        <w:rPr>
          <w:lang w:val="de-DE"/>
        </w:rPr>
        <w:t>Durchführung des Europäischen Übereinkommens über die internationale Beförderung</w:t>
      </w:r>
      <w:r w:rsidR="00D539E4">
        <w:rPr>
          <w:lang w:val="de-DE"/>
        </w:rPr>
        <w:t xml:space="preserve"> </w:t>
      </w:r>
      <w:r w:rsidR="002C47E2" w:rsidRPr="002C47E2">
        <w:rPr>
          <w:lang w:val="de-DE"/>
        </w:rPr>
        <w:t>von gefährlichen Gütern auf Binnenwasserstraßen (ADN) (TOP 4)</w:t>
      </w:r>
    </w:p>
    <w:p w14:paraId="066D8DCC" w14:textId="54793F29" w:rsidR="009A75CB" w:rsidRPr="0001227A" w:rsidRDefault="009A75CB" w:rsidP="002C47E2">
      <w:pPr>
        <w:pStyle w:val="H1G"/>
        <w:rPr>
          <w:lang w:val="de-DE"/>
        </w:rPr>
      </w:pPr>
      <w:r w:rsidRPr="0001227A">
        <w:rPr>
          <w:lang w:val="de-DE"/>
        </w:rPr>
        <w:tab/>
      </w:r>
      <w:r w:rsidR="002C47E2" w:rsidRPr="002C47E2">
        <w:rPr>
          <w:lang w:val="de-DE"/>
        </w:rPr>
        <w:t>A.</w:t>
      </w:r>
      <w:r w:rsidRPr="0001227A">
        <w:rPr>
          <w:lang w:val="de-DE"/>
        </w:rPr>
        <w:tab/>
      </w:r>
      <w:r w:rsidR="002C47E2" w:rsidRPr="002C47E2">
        <w:rPr>
          <w:lang w:val="de-DE"/>
        </w:rPr>
        <w:t>Status des ADN</w:t>
      </w:r>
    </w:p>
    <w:p w14:paraId="33E587A7" w14:textId="388849DF" w:rsidR="009A75CB" w:rsidRPr="0001227A" w:rsidRDefault="009A75CB" w:rsidP="00C7271B">
      <w:pPr>
        <w:pStyle w:val="SingleTxtG"/>
        <w:rPr>
          <w:lang w:val="de-DE"/>
        </w:rPr>
      </w:pPr>
      <w:r w:rsidRPr="0001227A">
        <w:rPr>
          <w:lang w:val="de-DE"/>
        </w:rPr>
        <w:t>6.</w:t>
      </w:r>
      <w:r w:rsidRPr="0001227A">
        <w:rPr>
          <w:lang w:val="de-DE"/>
        </w:rPr>
        <w:tab/>
      </w:r>
      <w:r w:rsidR="002C47E2" w:rsidRPr="00C7271B">
        <w:rPr>
          <w:lang w:val="de-DE"/>
        </w:rPr>
        <w:t xml:space="preserve">Der Sicherheitsausschuss stellte fest, dass </w:t>
      </w:r>
      <w:r w:rsidR="00A3475B" w:rsidRPr="00C7271B">
        <w:rPr>
          <w:lang w:val="de-DE"/>
        </w:rPr>
        <w:t>dem ADN keine neuen</w:t>
      </w:r>
      <w:r w:rsidR="002C47E2" w:rsidRPr="00C7271B">
        <w:rPr>
          <w:lang w:val="de-DE"/>
        </w:rPr>
        <w:t xml:space="preserve"> Vertragspartei</w:t>
      </w:r>
      <w:r w:rsidR="00D3692F" w:rsidRPr="00C7271B">
        <w:rPr>
          <w:lang w:val="de-DE"/>
        </w:rPr>
        <w:t>en</w:t>
      </w:r>
      <w:r w:rsidR="002C47E2" w:rsidRPr="00C7271B">
        <w:rPr>
          <w:lang w:val="de-DE"/>
        </w:rPr>
        <w:t xml:space="preserve"> </w:t>
      </w:r>
      <w:r w:rsidR="00F0655B" w:rsidRPr="00C7271B">
        <w:rPr>
          <w:lang w:val="de-DE"/>
        </w:rPr>
        <w:t xml:space="preserve">beigetreten </w:t>
      </w:r>
      <w:r w:rsidR="00C526F5" w:rsidRPr="00C7271B">
        <w:rPr>
          <w:lang w:val="de-DE"/>
        </w:rPr>
        <w:t>waren</w:t>
      </w:r>
      <w:r w:rsidR="00F0655B" w:rsidRPr="00C7271B">
        <w:rPr>
          <w:lang w:val="de-DE"/>
        </w:rPr>
        <w:t>.</w:t>
      </w:r>
    </w:p>
    <w:p w14:paraId="0791E285" w14:textId="60E02BF0" w:rsidR="009A75CB" w:rsidRPr="0001227A" w:rsidRDefault="009A75CB" w:rsidP="004B3486">
      <w:pPr>
        <w:pStyle w:val="SingleTxtG"/>
        <w:rPr>
          <w:lang w:val="de-DE"/>
        </w:rPr>
      </w:pPr>
      <w:r w:rsidRPr="0001227A">
        <w:rPr>
          <w:lang w:val="de-DE"/>
        </w:rPr>
        <w:t>7.</w:t>
      </w:r>
      <w:r w:rsidRPr="0001227A">
        <w:rPr>
          <w:lang w:val="de-DE"/>
        </w:rPr>
        <w:tab/>
      </w:r>
      <w:r w:rsidR="00C526F5" w:rsidRPr="004B3486">
        <w:rPr>
          <w:lang w:val="de-DE"/>
        </w:rPr>
        <w:t xml:space="preserve">Der Ausschuss </w:t>
      </w:r>
      <w:r w:rsidR="0091109B" w:rsidRPr="009323BB">
        <w:rPr>
          <w:lang w:val="de-DE"/>
        </w:rPr>
        <w:t>nahm</w:t>
      </w:r>
      <w:r w:rsidR="00C526F5" w:rsidRPr="009323BB">
        <w:rPr>
          <w:lang w:val="de-DE"/>
        </w:rPr>
        <w:t xml:space="preserve"> ferner </w:t>
      </w:r>
      <w:r w:rsidR="0091109B" w:rsidRPr="009323BB">
        <w:rPr>
          <w:lang w:val="de-DE"/>
        </w:rPr>
        <w:t>zur Kenntnis</w:t>
      </w:r>
      <w:r w:rsidR="00C526F5" w:rsidRPr="009323BB">
        <w:rPr>
          <w:lang w:val="de-DE"/>
        </w:rPr>
        <w:t xml:space="preserve">, dass die </w:t>
      </w:r>
      <w:r w:rsidR="004B3486" w:rsidRPr="009323BB">
        <w:rPr>
          <w:lang w:val="de-DE"/>
        </w:rPr>
        <w:t xml:space="preserve">Änderungsvorschläge des </w:t>
      </w:r>
      <w:r w:rsidR="00C526F5" w:rsidRPr="009323BB">
        <w:rPr>
          <w:lang w:val="de-DE"/>
        </w:rPr>
        <w:t>Verwaltungsausschuss</w:t>
      </w:r>
      <w:r w:rsidR="004B3486" w:rsidRPr="009323BB">
        <w:rPr>
          <w:lang w:val="de-DE"/>
        </w:rPr>
        <w:t>es</w:t>
      </w:r>
      <w:r w:rsidR="00C526F5" w:rsidRPr="009323BB">
        <w:rPr>
          <w:lang w:val="de-DE"/>
        </w:rPr>
        <w:t xml:space="preserve"> (ECE/ADN/36 und Add.1 und Corr.1)</w:t>
      </w:r>
      <w:r w:rsidR="0091109B" w:rsidRPr="009323BB">
        <w:rPr>
          <w:lang w:val="de-DE"/>
        </w:rPr>
        <w:t xml:space="preserve"> angenommen </w:t>
      </w:r>
      <w:r w:rsidR="00C7271B" w:rsidRPr="009323BB">
        <w:rPr>
          <w:lang w:val="de-DE"/>
        </w:rPr>
        <w:t>worden</w:t>
      </w:r>
      <w:r w:rsidR="00025AB8" w:rsidRPr="009323BB">
        <w:rPr>
          <w:lang w:val="de-DE"/>
        </w:rPr>
        <w:t xml:space="preserve"> </w:t>
      </w:r>
      <w:r w:rsidR="00C7271B" w:rsidRPr="009323BB">
        <w:rPr>
          <w:lang w:val="de-DE"/>
        </w:rPr>
        <w:t>war</w:t>
      </w:r>
      <w:r w:rsidR="00025AB8" w:rsidRPr="009323BB">
        <w:rPr>
          <w:lang w:val="de-DE"/>
        </w:rPr>
        <w:t>en</w:t>
      </w:r>
      <w:r w:rsidR="003F082C" w:rsidRPr="009323BB">
        <w:rPr>
          <w:lang w:val="de-DE"/>
        </w:rPr>
        <w:t xml:space="preserve"> </w:t>
      </w:r>
      <w:r w:rsidR="0091109B" w:rsidRPr="009323BB">
        <w:rPr>
          <w:lang w:val="de-DE"/>
        </w:rPr>
        <w:t xml:space="preserve">und am 1. Januar 2017 in Kraft getreten waren </w:t>
      </w:r>
      <w:r w:rsidR="002B1FD5" w:rsidRPr="009323BB">
        <w:rPr>
          <w:lang w:val="de-DE"/>
        </w:rPr>
        <w:t>(</w:t>
      </w:r>
      <w:r w:rsidR="00314C87" w:rsidRPr="009323BB">
        <w:rPr>
          <w:lang w:val="de-DE"/>
        </w:rPr>
        <w:t xml:space="preserve">Verwahrer-Notifizierungen C.N.743.2016.TREATIES-XI.D.6 und C.N.897.2016.TREATIES-XI.D.6). </w:t>
      </w:r>
      <w:r w:rsidR="003F082C" w:rsidRPr="009323BB">
        <w:rPr>
          <w:lang w:val="de-DE"/>
        </w:rPr>
        <w:t>Auch die vorgeschlagenen Berichtigungen</w:t>
      </w:r>
      <w:r w:rsidR="003F082C" w:rsidRPr="004B3486">
        <w:rPr>
          <w:lang w:val="de-DE"/>
        </w:rPr>
        <w:t xml:space="preserve"> waren</w:t>
      </w:r>
      <w:r w:rsidR="00E84EC9" w:rsidRPr="004B3486">
        <w:rPr>
          <w:lang w:val="de-DE"/>
        </w:rPr>
        <w:t xml:space="preserve"> </w:t>
      </w:r>
      <w:r w:rsidR="00AD626A" w:rsidRPr="004B3486">
        <w:rPr>
          <w:lang w:val="de-DE"/>
        </w:rPr>
        <w:t>durchgeführt</w:t>
      </w:r>
      <w:r w:rsidR="00E84EC9" w:rsidRPr="004B3486">
        <w:rPr>
          <w:lang w:val="de-DE"/>
        </w:rPr>
        <w:t xml:space="preserve"> worden</w:t>
      </w:r>
      <w:r w:rsidR="003F082C" w:rsidRPr="004B3486">
        <w:rPr>
          <w:lang w:val="de-DE"/>
        </w:rPr>
        <w:t xml:space="preserve"> </w:t>
      </w:r>
      <w:r w:rsidR="001C3B68" w:rsidRPr="004B3486">
        <w:rPr>
          <w:lang w:val="de-DE"/>
        </w:rPr>
        <w:t>(C.N.980.2016.TREATIES-XI.D.6)</w:t>
      </w:r>
      <w:r w:rsidR="00C17C03" w:rsidRPr="004B3486">
        <w:rPr>
          <w:lang w:val="de-DE"/>
        </w:rPr>
        <w:t xml:space="preserve">. </w:t>
      </w:r>
      <w:r w:rsidR="00E84EC9" w:rsidRPr="004B3486">
        <w:rPr>
          <w:lang w:val="de-DE"/>
        </w:rPr>
        <w:t xml:space="preserve">Die letzten Korrekturen (C.N.823.2016.TREATIES-XI.D.6) </w:t>
      </w:r>
      <w:r w:rsidR="007C0E53" w:rsidRPr="004B3486">
        <w:rPr>
          <w:lang w:val="de-DE"/>
        </w:rPr>
        <w:t xml:space="preserve">gelten nur als angenommen, </w:t>
      </w:r>
      <w:r w:rsidR="00F315DE" w:rsidRPr="004B3486">
        <w:rPr>
          <w:lang w:val="de-DE"/>
        </w:rPr>
        <w:t>wenn</w:t>
      </w:r>
      <w:r w:rsidR="007C0E53" w:rsidRPr="004B3486">
        <w:rPr>
          <w:lang w:val="de-DE"/>
        </w:rPr>
        <w:t xml:space="preserve"> bis</w:t>
      </w:r>
      <w:r w:rsidR="00803431" w:rsidRPr="004B3486">
        <w:rPr>
          <w:lang w:val="de-DE"/>
        </w:rPr>
        <w:t xml:space="preserve"> zum</w:t>
      </w:r>
      <w:r w:rsidR="007C0E53" w:rsidRPr="004B3486">
        <w:rPr>
          <w:lang w:val="de-DE"/>
        </w:rPr>
        <w:t xml:space="preserve"> </w:t>
      </w:r>
      <w:r w:rsidR="00E57611" w:rsidRPr="004B3486">
        <w:rPr>
          <w:lang w:val="de-DE"/>
        </w:rPr>
        <w:t>1. Februar 2017</w:t>
      </w:r>
      <w:r w:rsidR="007C0E53" w:rsidRPr="004B3486">
        <w:rPr>
          <w:lang w:val="de-DE"/>
        </w:rPr>
        <w:t xml:space="preserve"> kein Widerspr</w:t>
      </w:r>
      <w:r w:rsidR="00AD626A" w:rsidRPr="004B3486">
        <w:rPr>
          <w:lang w:val="de-DE"/>
        </w:rPr>
        <w:t>u</w:t>
      </w:r>
      <w:r w:rsidR="007C0E53" w:rsidRPr="004B3486">
        <w:rPr>
          <w:lang w:val="de-DE"/>
        </w:rPr>
        <w:t>ch eingeh</w:t>
      </w:r>
      <w:r w:rsidR="00AD626A" w:rsidRPr="004B3486">
        <w:rPr>
          <w:lang w:val="de-DE"/>
        </w:rPr>
        <w:t>t</w:t>
      </w:r>
      <w:r w:rsidR="007C0E53" w:rsidRPr="004B3486">
        <w:rPr>
          <w:lang w:val="de-DE"/>
        </w:rPr>
        <w:t>.</w:t>
      </w:r>
    </w:p>
    <w:p w14:paraId="02ABBB6C" w14:textId="141A9A41" w:rsidR="009A75CB" w:rsidRPr="0001227A" w:rsidRDefault="006E1AA2" w:rsidP="004B3486">
      <w:pPr>
        <w:pStyle w:val="SingleTxtG"/>
        <w:rPr>
          <w:lang w:val="de-DE"/>
        </w:rPr>
      </w:pPr>
      <w:r w:rsidRPr="004B3486">
        <w:rPr>
          <w:i/>
          <w:iCs/>
          <w:lang w:val="de-DE"/>
        </w:rPr>
        <w:t>Informelles Dokument:</w:t>
      </w:r>
      <w:r w:rsidR="009A75CB" w:rsidRPr="0001227A">
        <w:rPr>
          <w:lang w:val="de-DE"/>
        </w:rPr>
        <w:tab/>
      </w:r>
      <w:r w:rsidRPr="004B3486">
        <w:rPr>
          <w:lang w:val="de-DE"/>
        </w:rPr>
        <w:t>INF.22 (Sekretariat)</w:t>
      </w:r>
    </w:p>
    <w:p w14:paraId="1141CD11" w14:textId="506769CA" w:rsidR="009A75CB" w:rsidRPr="000575EE" w:rsidRDefault="009A75CB" w:rsidP="004B3486">
      <w:pPr>
        <w:pStyle w:val="SingleTxtG"/>
      </w:pPr>
      <w:r w:rsidRPr="0001227A">
        <w:rPr>
          <w:lang w:val="de-DE"/>
        </w:rPr>
        <w:t>8.</w:t>
      </w:r>
      <w:r w:rsidRPr="0001227A">
        <w:rPr>
          <w:lang w:val="de-DE"/>
        </w:rPr>
        <w:tab/>
      </w:r>
      <w:r w:rsidR="006E1AA2" w:rsidRPr="004B3486">
        <w:rPr>
          <w:lang w:val="de-DE"/>
        </w:rPr>
        <w:t>Der Sicherheitsausschuss nahm von den Änderungen des Sekretariats an der Website</w:t>
      </w:r>
      <w:r w:rsidR="008A1D9B" w:rsidRPr="004B3486">
        <w:rPr>
          <w:lang w:val="de-DE"/>
        </w:rPr>
        <w:t xml:space="preserve"> der UN-ECE</w:t>
      </w:r>
      <w:r w:rsidR="006E1AA2" w:rsidRPr="004B3486">
        <w:rPr>
          <w:lang w:val="de-DE"/>
        </w:rPr>
        <w:t xml:space="preserve"> Kenntnis. Diese betreffen</w:t>
      </w:r>
    </w:p>
    <w:p w14:paraId="2464CCD0" w14:textId="758C25CD" w:rsidR="009A75CB" w:rsidRPr="000575EE" w:rsidRDefault="005F1994" w:rsidP="006E1AA2">
      <w:pPr>
        <w:pStyle w:val="Bullet1G"/>
      </w:pPr>
      <w:r>
        <w:rPr>
          <w:lang w:val="de-DE"/>
        </w:rPr>
        <w:t>s</w:t>
      </w:r>
      <w:r w:rsidR="006E1AA2" w:rsidRPr="006E1AA2">
        <w:rPr>
          <w:lang w:val="de-DE"/>
        </w:rPr>
        <w:t>chriftliche Weisunge</w:t>
      </w:r>
      <w:r>
        <w:rPr>
          <w:lang w:val="de-DE"/>
        </w:rPr>
        <w:t>n,</w:t>
      </w:r>
    </w:p>
    <w:p w14:paraId="4A12048E" w14:textId="4CEBB962" w:rsidR="009A75CB" w:rsidRPr="0001227A" w:rsidRDefault="006E1AA2" w:rsidP="006E1AA2">
      <w:pPr>
        <w:pStyle w:val="Bullet1G"/>
        <w:rPr>
          <w:bCs/>
          <w:lang w:val="de-DE"/>
        </w:rPr>
      </w:pPr>
      <w:r w:rsidRPr="006E1AA2">
        <w:rPr>
          <w:bCs/>
          <w:lang w:val="de-DE"/>
        </w:rPr>
        <w:t>die Liste der zuständigen Behörden (nach Verkehrsträger</w:t>
      </w:r>
      <w:r w:rsidR="005F1994">
        <w:rPr>
          <w:bCs/>
          <w:lang w:val="de-DE"/>
        </w:rPr>
        <w:t>),</w:t>
      </w:r>
    </w:p>
    <w:p w14:paraId="30458FE2" w14:textId="06B679A1" w:rsidR="009A75CB" w:rsidRPr="000575EE" w:rsidRDefault="006E1AA2" w:rsidP="005F1994">
      <w:pPr>
        <w:pStyle w:val="Bullet1G"/>
      </w:pPr>
      <w:r w:rsidRPr="005F1994">
        <w:rPr>
          <w:lang w:val="de-DE"/>
        </w:rPr>
        <w:t>Auslegung des ADN</w:t>
      </w:r>
      <w:r w:rsidR="005F1994" w:rsidRPr="005F1994">
        <w:rPr>
          <w:lang w:val="de-DE"/>
        </w:rPr>
        <w:t>.</w:t>
      </w:r>
    </w:p>
    <w:p w14:paraId="77AD91D6" w14:textId="5CD2A3D0" w:rsidR="009A75CB" w:rsidRPr="0001227A" w:rsidRDefault="009A75CB" w:rsidP="002277F3">
      <w:pPr>
        <w:pStyle w:val="SingleTxtG"/>
        <w:rPr>
          <w:lang w:val="de-DE"/>
        </w:rPr>
      </w:pPr>
      <w:r w:rsidRPr="0001227A">
        <w:rPr>
          <w:lang w:val="de-DE"/>
        </w:rPr>
        <w:t>9.</w:t>
      </w:r>
      <w:r w:rsidRPr="0001227A">
        <w:rPr>
          <w:lang w:val="de-DE"/>
        </w:rPr>
        <w:tab/>
      </w:r>
      <w:r w:rsidR="005F1994" w:rsidRPr="002277F3">
        <w:rPr>
          <w:lang w:val="de-DE"/>
        </w:rPr>
        <w:t xml:space="preserve">Der Sicherheitsausschuss </w:t>
      </w:r>
      <w:r w:rsidR="00E7189D" w:rsidRPr="002277F3">
        <w:rPr>
          <w:lang w:val="de-DE"/>
        </w:rPr>
        <w:t xml:space="preserve">bat die zuständigen Behörden, die sie betreffenden Informationen zu überprüfen und, </w:t>
      </w:r>
      <w:r w:rsidR="006A78F9" w:rsidRPr="002277F3">
        <w:rPr>
          <w:lang w:val="de-DE"/>
        </w:rPr>
        <w:t>sofern</w:t>
      </w:r>
      <w:r w:rsidR="00E7189D" w:rsidRPr="002277F3">
        <w:rPr>
          <w:lang w:val="de-DE"/>
        </w:rPr>
        <w:t xml:space="preserve"> noch nicht geschehen, </w:t>
      </w:r>
      <w:r w:rsidR="005A63BD" w:rsidRPr="002277F3">
        <w:rPr>
          <w:lang w:val="de-DE"/>
        </w:rPr>
        <w:t xml:space="preserve">dem Sekretariat gemäß Unterabschnitt 5.4.3.5 </w:t>
      </w:r>
      <w:r w:rsidR="00E7189D" w:rsidRPr="002277F3">
        <w:rPr>
          <w:lang w:val="de-DE"/>
        </w:rPr>
        <w:t xml:space="preserve">ihre </w:t>
      </w:r>
      <w:r w:rsidR="005A63BD" w:rsidRPr="002277F3">
        <w:rPr>
          <w:lang w:val="de-DE"/>
        </w:rPr>
        <w:t>Sprachfassungen</w:t>
      </w:r>
      <w:r w:rsidR="00E7189D" w:rsidRPr="002277F3">
        <w:rPr>
          <w:lang w:val="de-DE"/>
        </w:rPr>
        <w:t xml:space="preserve"> der schriftlichen Anweisungen </w:t>
      </w:r>
      <w:r w:rsidR="00647412" w:rsidRPr="002277F3">
        <w:rPr>
          <w:lang w:val="de-DE"/>
        </w:rPr>
        <w:t>zu übermitteln.</w:t>
      </w:r>
    </w:p>
    <w:p w14:paraId="58C0BC8C" w14:textId="70C1EE2E" w:rsidR="00914C83" w:rsidRPr="0001227A" w:rsidRDefault="00914C83" w:rsidP="002277F3">
      <w:pPr>
        <w:pStyle w:val="H1G"/>
        <w:spacing w:after="0"/>
        <w:rPr>
          <w:lang w:val="de-DE"/>
        </w:rPr>
      </w:pPr>
      <w:r w:rsidRPr="0001227A">
        <w:rPr>
          <w:lang w:val="de-DE"/>
        </w:rPr>
        <w:tab/>
      </w:r>
      <w:r w:rsidR="00CF5068" w:rsidRPr="002277F3">
        <w:rPr>
          <w:lang w:val="de-DE"/>
        </w:rPr>
        <w:t>B.</w:t>
      </w:r>
      <w:r w:rsidRPr="0001227A">
        <w:rPr>
          <w:lang w:val="de-DE"/>
        </w:rPr>
        <w:tab/>
      </w:r>
      <w:r w:rsidR="00CF5068" w:rsidRPr="00CF5068">
        <w:rPr>
          <w:lang w:val="de-DE"/>
        </w:rPr>
        <w:t>Ausnahmegenehmigungen, Abweichungen und Gleichwertigkeiten</w:t>
      </w:r>
    </w:p>
    <w:p w14:paraId="750E1FCC" w14:textId="08D292D1" w:rsidR="00914C83" w:rsidRPr="0001227A" w:rsidRDefault="00914C83" w:rsidP="00CF5068">
      <w:pPr>
        <w:pStyle w:val="H23G"/>
        <w:rPr>
          <w:lang w:val="de-DE"/>
        </w:rPr>
      </w:pPr>
      <w:r w:rsidRPr="0001227A">
        <w:rPr>
          <w:lang w:val="de-DE"/>
        </w:rPr>
        <w:tab/>
      </w:r>
      <w:r w:rsidRPr="0001227A">
        <w:rPr>
          <w:lang w:val="de-DE"/>
        </w:rPr>
        <w:tab/>
      </w:r>
      <w:r w:rsidR="00CF5068" w:rsidRPr="00CF5068">
        <w:rPr>
          <w:lang w:val="de-DE"/>
        </w:rPr>
        <w:t>Abweichung für „Don Quichot“ (ENI 02336771)</w:t>
      </w:r>
    </w:p>
    <w:p w14:paraId="39E6C640" w14:textId="01649E54" w:rsidR="00914C83" w:rsidRPr="0001227A" w:rsidRDefault="00CF5068" w:rsidP="00CF5068">
      <w:pPr>
        <w:pStyle w:val="SingleTxtG"/>
        <w:spacing w:after="0"/>
        <w:rPr>
          <w:lang w:val="de-DE"/>
        </w:rPr>
      </w:pPr>
      <w:r w:rsidRPr="00CF5068">
        <w:rPr>
          <w:i/>
          <w:iCs/>
          <w:lang w:val="de-DE"/>
        </w:rPr>
        <w:t>Dokument:</w:t>
      </w:r>
      <w:r w:rsidR="00914C83" w:rsidRPr="0001227A">
        <w:rPr>
          <w:lang w:val="de-DE"/>
        </w:rPr>
        <w:tab/>
      </w:r>
      <w:r w:rsidR="006E4AEB" w:rsidRPr="0001227A">
        <w:rPr>
          <w:lang w:val="de-DE"/>
        </w:rPr>
        <w:tab/>
      </w:r>
      <w:r w:rsidR="009323BB" w:rsidRPr="0001227A">
        <w:rPr>
          <w:lang w:val="de-DE"/>
        </w:rPr>
        <w:tab/>
      </w:r>
      <w:r w:rsidRPr="00CF5068">
        <w:rPr>
          <w:lang w:val="de-DE"/>
        </w:rPr>
        <w:t>ECE/TRANS/WP.15/AC.2/2017/15 (Niederlande)</w:t>
      </w:r>
    </w:p>
    <w:p w14:paraId="655069E0" w14:textId="203F120C" w:rsidR="00914C83" w:rsidRPr="0001227A" w:rsidRDefault="00CF5068" w:rsidP="00CF5068">
      <w:pPr>
        <w:pStyle w:val="SingleTxtG"/>
        <w:rPr>
          <w:lang w:val="de-DE"/>
        </w:rPr>
      </w:pPr>
      <w:r w:rsidRPr="00CF5068">
        <w:rPr>
          <w:i/>
          <w:iCs/>
          <w:lang w:val="de-DE"/>
        </w:rPr>
        <w:t>Informelles Dokument:</w:t>
      </w:r>
      <w:r w:rsidR="00914C83" w:rsidRPr="0001227A">
        <w:rPr>
          <w:lang w:val="de-DE"/>
        </w:rPr>
        <w:tab/>
      </w:r>
      <w:r w:rsidRPr="00CF5068">
        <w:rPr>
          <w:lang w:val="de-DE"/>
        </w:rPr>
        <w:t>INF.12 (Niederlande)</w:t>
      </w:r>
    </w:p>
    <w:p w14:paraId="58FAB467" w14:textId="0C1ABEC1" w:rsidR="00914C83" w:rsidRPr="0001227A" w:rsidRDefault="00EC4B3D" w:rsidP="002277F3">
      <w:pPr>
        <w:pStyle w:val="SingleTxtG"/>
        <w:rPr>
          <w:lang w:val="de-DE"/>
        </w:rPr>
      </w:pPr>
      <w:r w:rsidRPr="0001227A">
        <w:rPr>
          <w:lang w:val="de-DE"/>
        </w:rPr>
        <w:t>10</w:t>
      </w:r>
      <w:r w:rsidR="00914C83" w:rsidRPr="0001227A">
        <w:rPr>
          <w:lang w:val="de-DE"/>
        </w:rPr>
        <w:t>.</w:t>
      </w:r>
      <w:r w:rsidR="00914C83" w:rsidRPr="0001227A">
        <w:rPr>
          <w:lang w:val="de-DE"/>
        </w:rPr>
        <w:tab/>
      </w:r>
      <w:r w:rsidR="00CF5068" w:rsidRPr="002277F3">
        <w:rPr>
          <w:lang w:val="de-DE"/>
        </w:rPr>
        <w:t xml:space="preserve">Die </w:t>
      </w:r>
      <w:r w:rsidR="00052750" w:rsidRPr="002277F3">
        <w:rPr>
          <w:lang w:val="de-DE"/>
        </w:rPr>
        <w:t xml:space="preserve">niederländische Regierung hatte </w:t>
      </w:r>
      <w:r w:rsidR="00155D01" w:rsidRPr="002277F3">
        <w:rPr>
          <w:lang w:val="de-DE"/>
        </w:rPr>
        <w:t xml:space="preserve">für einen </w:t>
      </w:r>
      <w:r w:rsidR="005977EA" w:rsidRPr="002277F3">
        <w:rPr>
          <w:lang w:val="de-DE"/>
        </w:rPr>
        <w:t>im</w:t>
      </w:r>
      <w:r w:rsidR="00155D01" w:rsidRPr="002277F3">
        <w:rPr>
          <w:lang w:val="de-DE"/>
        </w:rPr>
        <w:t xml:space="preserve"> </w:t>
      </w:r>
      <w:r w:rsidR="005977EA" w:rsidRPr="002277F3">
        <w:rPr>
          <w:lang w:val="de-DE"/>
        </w:rPr>
        <w:t>B</w:t>
      </w:r>
      <w:r w:rsidR="00155D01" w:rsidRPr="002277F3">
        <w:rPr>
          <w:lang w:val="de-DE"/>
        </w:rPr>
        <w:t>au</w:t>
      </w:r>
      <w:r w:rsidR="005977EA" w:rsidRPr="002277F3">
        <w:rPr>
          <w:lang w:val="de-DE"/>
        </w:rPr>
        <w:t xml:space="preserve"> befindlich</w:t>
      </w:r>
      <w:r w:rsidR="00155D01" w:rsidRPr="002277F3">
        <w:rPr>
          <w:lang w:val="de-DE"/>
        </w:rPr>
        <w:t xml:space="preserve">en Schubleichter des Typs C, der aufgrund </w:t>
      </w:r>
      <w:r w:rsidR="00812165" w:rsidRPr="002277F3">
        <w:rPr>
          <w:lang w:val="de-DE"/>
        </w:rPr>
        <w:t>von</w:t>
      </w:r>
      <w:r w:rsidR="00155D01" w:rsidRPr="002277F3">
        <w:rPr>
          <w:lang w:val="de-DE"/>
        </w:rPr>
        <w:t xml:space="preserve"> Einrichtungen für die Rückgewinnung </w:t>
      </w:r>
      <w:r w:rsidR="00155D01" w:rsidRPr="009323BB">
        <w:rPr>
          <w:lang w:val="de-DE"/>
        </w:rPr>
        <w:t xml:space="preserve">von Gas aus anderen Schiffen nicht alle Anforderungen an Tankschiffe des Typs C erfüllt, </w:t>
      </w:r>
      <w:r w:rsidR="00052750" w:rsidRPr="009323BB">
        <w:rPr>
          <w:lang w:val="de-DE"/>
        </w:rPr>
        <w:t>eine Abweichung</w:t>
      </w:r>
      <w:r w:rsidR="00052750" w:rsidRPr="002277F3">
        <w:rPr>
          <w:lang w:val="de-DE"/>
        </w:rPr>
        <w:t xml:space="preserve"> zu Versuchszwecken </w:t>
      </w:r>
      <w:r w:rsidR="00155D01" w:rsidRPr="002277F3">
        <w:rPr>
          <w:lang w:val="de-DE"/>
        </w:rPr>
        <w:t>beantragt.</w:t>
      </w:r>
      <w:r w:rsidR="00914C83" w:rsidRPr="0001227A">
        <w:rPr>
          <w:lang w:val="de-DE"/>
        </w:rPr>
        <w:t xml:space="preserve"> </w:t>
      </w:r>
      <w:r w:rsidR="005977EA" w:rsidRPr="002277F3">
        <w:rPr>
          <w:lang w:val="de-DE"/>
        </w:rPr>
        <w:t>Der</w:t>
      </w:r>
      <w:r w:rsidR="00154CC5" w:rsidRPr="002277F3">
        <w:rPr>
          <w:lang w:val="de-DE"/>
        </w:rPr>
        <w:t xml:space="preserve"> Verwendungs</w:t>
      </w:r>
      <w:r w:rsidR="00812165" w:rsidRPr="002277F3">
        <w:rPr>
          <w:lang w:val="de-DE"/>
        </w:rPr>
        <w:t>zweck</w:t>
      </w:r>
      <w:r w:rsidR="005977EA" w:rsidRPr="002277F3">
        <w:rPr>
          <w:lang w:val="de-DE"/>
        </w:rPr>
        <w:t xml:space="preserve"> </w:t>
      </w:r>
      <w:r w:rsidR="00812165" w:rsidRPr="002277F3">
        <w:rPr>
          <w:lang w:val="de-DE"/>
        </w:rPr>
        <w:t xml:space="preserve">des </w:t>
      </w:r>
      <w:r w:rsidR="005977EA" w:rsidRPr="002277F3">
        <w:rPr>
          <w:lang w:val="de-DE"/>
        </w:rPr>
        <w:t>Leichter</w:t>
      </w:r>
      <w:r w:rsidR="002277F3" w:rsidRPr="002277F3">
        <w:rPr>
          <w:lang w:val="de-DE"/>
        </w:rPr>
        <w:t>s</w:t>
      </w:r>
      <w:r w:rsidR="005977EA" w:rsidRPr="002277F3">
        <w:rPr>
          <w:lang w:val="de-DE"/>
        </w:rPr>
        <w:t xml:space="preserve"> soll </w:t>
      </w:r>
      <w:r w:rsidR="00812165" w:rsidRPr="002277F3">
        <w:rPr>
          <w:lang w:val="de-DE"/>
        </w:rPr>
        <w:t>darin bestehen</w:t>
      </w:r>
      <w:r w:rsidR="005977EA" w:rsidRPr="002277F3">
        <w:rPr>
          <w:lang w:val="de-DE"/>
        </w:rPr>
        <w:t xml:space="preserve">, </w:t>
      </w:r>
      <w:r w:rsidR="002277F3" w:rsidRPr="002277F3">
        <w:rPr>
          <w:lang w:val="de-DE"/>
        </w:rPr>
        <w:t>das Entgasen</w:t>
      </w:r>
      <w:r w:rsidR="005977EA" w:rsidRPr="002277F3">
        <w:rPr>
          <w:lang w:val="de-DE"/>
        </w:rPr>
        <w:t xml:space="preserve"> von Dämpfen in die Atmosphäre zu vermeiden.</w:t>
      </w:r>
      <w:r w:rsidR="00914C83" w:rsidRPr="0001227A">
        <w:rPr>
          <w:lang w:val="de-DE"/>
        </w:rPr>
        <w:t xml:space="preserve"> </w:t>
      </w:r>
      <w:r w:rsidR="00A10687" w:rsidRPr="002277F3">
        <w:rPr>
          <w:lang w:val="de-DE"/>
        </w:rPr>
        <w:t xml:space="preserve">Der niederländische Vertreter teilte mit, dass er </w:t>
      </w:r>
      <w:r w:rsidR="0084060F" w:rsidRPr="002277F3">
        <w:rPr>
          <w:lang w:val="de-DE"/>
        </w:rPr>
        <w:t xml:space="preserve">die Gewährung </w:t>
      </w:r>
      <w:r w:rsidR="00A10687" w:rsidRPr="002277F3">
        <w:rPr>
          <w:lang w:val="de-DE"/>
        </w:rPr>
        <w:t>eine</w:t>
      </w:r>
      <w:r w:rsidR="0084060F" w:rsidRPr="002277F3">
        <w:rPr>
          <w:lang w:val="de-DE"/>
        </w:rPr>
        <w:t>r</w:t>
      </w:r>
      <w:r w:rsidR="00A10687" w:rsidRPr="002277F3">
        <w:rPr>
          <w:lang w:val="de-DE"/>
        </w:rPr>
        <w:t xml:space="preserve"> Abweichung anstrebe, </w:t>
      </w:r>
      <w:r w:rsidR="0084060F" w:rsidRPr="002277F3">
        <w:rPr>
          <w:lang w:val="de-DE"/>
        </w:rPr>
        <w:t>die</w:t>
      </w:r>
      <w:r w:rsidR="00A10687" w:rsidRPr="002277F3">
        <w:rPr>
          <w:lang w:val="de-DE"/>
        </w:rPr>
        <w:t xml:space="preserve"> dem Leichter die Fahrt auf dem Rhein gestatte</w:t>
      </w:r>
      <w:r w:rsidR="0084060F" w:rsidRPr="002277F3">
        <w:rPr>
          <w:lang w:val="de-DE"/>
        </w:rPr>
        <w:t xml:space="preserve">t. </w:t>
      </w:r>
      <w:r w:rsidR="00771F35" w:rsidRPr="002277F3">
        <w:rPr>
          <w:lang w:val="de-DE"/>
        </w:rPr>
        <w:t>Falls</w:t>
      </w:r>
      <w:r w:rsidR="00A10687" w:rsidRPr="002277F3">
        <w:rPr>
          <w:lang w:val="de-DE"/>
        </w:rPr>
        <w:t xml:space="preserve"> die</w:t>
      </w:r>
      <w:r w:rsidR="002277F3" w:rsidRPr="002277F3">
        <w:rPr>
          <w:lang w:val="de-DE"/>
        </w:rPr>
        <w:t>se</w:t>
      </w:r>
      <w:r w:rsidR="00A10687" w:rsidRPr="002277F3">
        <w:rPr>
          <w:lang w:val="de-DE"/>
        </w:rPr>
        <w:t xml:space="preserve"> Abweichung nicht gewährt werde</w:t>
      </w:r>
      <w:r w:rsidR="009323BB">
        <w:rPr>
          <w:lang w:val="de-DE"/>
        </w:rPr>
        <w:t>n</w:t>
      </w:r>
      <w:r w:rsidR="00310ACB" w:rsidRPr="002277F3">
        <w:rPr>
          <w:lang w:val="de-DE"/>
        </w:rPr>
        <w:t xml:space="preserve"> sollte</w:t>
      </w:r>
      <w:r w:rsidR="00A10687" w:rsidRPr="002277F3">
        <w:rPr>
          <w:lang w:val="de-DE"/>
        </w:rPr>
        <w:t xml:space="preserve">, werde das Verfahren gemäß Richtlinie 2008/68/EG angewandt, </w:t>
      </w:r>
      <w:r w:rsidR="00EA0DBF" w:rsidRPr="002277F3">
        <w:rPr>
          <w:lang w:val="de-DE"/>
        </w:rPr>
        <w:t>damit</w:t>
      </w:r>
      <w:r w:rsidR="00342B09" w:rsidRPr="002277F3">
        <w:rPr>
          <w:lang w:val="de-DE"/>
        </w:rPr>
        <w:t xml:space="preserve"> de</w:t>
      </w:r>
      <w:r w:rsidR="00EA0DBF" w:rsidRPr="002277F3">
        <w:rPr>
          <w:lang w:val="de-DE"/>
        </w:rPr>
        <w:t>r</w:t>
      </w:r>
      <w:r w:rsidR="00342B09" w:rsidRPr="002277F3">
        <w:rPr>
          <w:lang w:val="de-DE"/>
        </w:rPr>
        <w:t xml:space="preserve"> Leichter</w:t>
      </w:r>
      <w:r w:rsidR="00EA0DBF" w:rsidRPr="002277F3">
        <w:rPr>
          <w:lang w:val="de-DE"/>
        </w:rPr>
        <w:t xml:space="preserve"> zumindest auf niederländischen Gewässern</w:t>
      </w:r>
      <w:r w:rsidR="00342B09" w:rsidRPr="002277F3">
        <w:rPr>
          <w:lang w:val="de-DE"/>
        </w:rPr>
        <w:t xml:space="preserve"> </w:t>
      </w:r>
      <w:r w:rsidR="00EA0DBF" w:rsidRPr="002277F3">
        <w:rPr>
          <w:lang w:val="de-DE"/>
        </w:rPr>
        <w:t>fahren und betrieben werden kann.</w:t>
      </w:r>
    </w:p>
    <w:p w14:paraId="24E7C131" w14:textId="65D8FE4A" w:rsidR="00914C83" w:rsidRPr="0001227A" w:rsidRDefault="00EC4B3D" w:rsidP="005E352D">
      <w:pPr>
        <w:pStyle w:val="SingleTxtG"/>
        <w:rPr>
          <w:lang w:val="de-DE"/>
        </w:rPr>
      </w:pPr>
      <w:r w:rsidRPr="0001227A">
        <w:rPr>
          <w:lang w:val="de-DE"/>
        </w:rPr>
        <w:t>11</w:t>
      </w:r>
      <w:r w:rsidR="00914C83" w:rsidRPr="0001227A">
        <w:rPr>
          <w:lang w:val="de-DE"/>
        </w:rPr>
        <w:t>.</w:t>
      </w:r>
      <w:r w:rsidR="00914C83" w:rsidRPr="0001227A">
        <w:rPr>
          <w:lang w:val="de-DE"/>
        </w:rPr>
        <w:tab/>
      </w:r>
      <w:r w:rsidR="0086637A" w:rsidRPr="005E352D">
        <w:rPr>
          <w:lang w:val="de-DE"/>
        </w:rPr>
        <w:t xml:space="preserve">Mehrere Delegationen erklärten, dass sie </w:t>
      </w:r>
      <w:r w:rsidR="005E352D" w:rsidRPr="005E352D">
        <w:rPr>
          <w:lang w:val="de-DE"/>
        </w:rPr>
        <w:t>diesem</w:t>
      </w:r>
      <w:r w:rsidR="0086637A" w:rsidRPr="005E352D">
        <w:rPr>
          <w:lang w:val="de-DE"/>
        </w:rPr>
        <w:t xml:space="preserve"> Vorhaben </w:t>
      </w:r>
      <w:r w:rsidR="005E352D" w:rsidRPr="005E352D">
        <w:rPr>
          <w:lang w:val="de-DE"/>
        </w:rPr>
        <w:t>nicht widersprechen wollten</w:t>
      </w:r>
      <w:r w:rsidR="0086637A" w:rsidRPr="005E352D">
        <w:rPr>
          <w:lang w:val="de-DE"/>
        </w:rPr>
        <w:t xml:space="preserve">, </w:t>
      </w:r>
      <w:r w:rsidR="005E352D" w:rsidRPr="005E352D">
        <w:rPr>
          <w:lang w:val="de-DE"/>
        </w:rPr>
        <w:t xml:space="preserve">aber dennoch </w:t>
      </w:r>
      <w:r w:rsidR="0086637A" w:rsidRPr="005E352D">
        <w:rPr>
          <w:lang w:val="de-DE"/>
        </w:rPr>
        <w:t xml:space="preserve">gewisse </w:t>
      </w:r>
      <w:r w:rsidR="004D20E8" w:rsidRPr="005E352D">
        <w:rPr>
          <w:lang w:val="de-DE"/>
        </w:rPr>
        <w:t>Bedenken</w:t>
      </w:r>
      <w:r w:rsidR="0086637A" w:rsidRPr="005E352D">
        <w:rPr>
          <w:lang w:val="de-DE"/>
        </w:rPr>
        <w:t xml:space="preserve"> </w:t>
      </w:r>
      <w:r w:rsidR="005E352D" w:rsidRPr="005E352D">
        <w:rPr>
          <w:lang w:val="de-DE"/>
        </w:rPr>
        <w:t>hegten</w:t>
      </w:r>
      <w:r w:rsidR="0086637A" w:rsidRPr="005E352D">
        <w:rPr>
          <w:lang w:val="de-DE"/>
        </w:rPr>
        <w:t>.</w:t>
      </w:r>
      <w:r w:rsidR="00914C83" w:rsidRPr="0001227A">
        <w:rPr>
          <w:lang w:val="de-DE"/>
        </w:rPr>
        <w:t xml:space="preserve"> </w:t>
      </w:r>
      <w:r w:rsidR="004D20E8" w:rsidRPr="005E352D">
        <w:rPr>
          <w:lang w:val="de-DE"/>
        </w:rPr>
        <w:t xml:space="preserve">Sie fragten sich zum Beispiel, ob die </w:t>
      </w:r>
      <w:r w:rsidR="005E352D" w:rsidRPr="005E352D">
        <w:rPr>
          <w:lang w:val="de-DE"/>
        </w:rPr>
        <w:t>für das</w:t>
      </w:r>
      <w:r w:rsidR="004D20E8" w:rsidRPr="005E352D">
        <w:rPr>
          <w:lang w:val="de-DE"/>
        </w:rPr>
        <w:t xml:space="preserve"> Schiff </w:t>
      </w:r>
      <w:r w:rsidR="005E352D" w:rsidRPr="005E352D">
        <w:rPr>
          <w:lang w:val="de-DE"/>
        </w:rPr>
        <w:t>vorgesehenen</w:t>
      </w:r>
      <w:r w:rsidR="004D20E8" w:rsidRPr="005E352D">
        <w:rPr>
          <w:lang w:val="de-DE"/>
        </w:rPr>
        <w:t xml:space="preserve"> Entgasungsarbeiten als Beförderung im Sinne des ADN </w:t>
      </w:r>
      <w:r w:rsidR="00154CC5" w:rsidRPr="005E352D">
        <w:rPr>
          <w:lang w:val="de-DE"/>
        </w:rPr>
        <w:t>angesehen werden können</w:t>
      </w:r>
      <w:r w:rsidR="004D20E8" w:rsidRPr="005E352D">
        <w:rPr>
          <w:lang w:val="de-DE"/>
        </w:rPr>
        <w:t>.</w:t>
      </w:r>
      <w:r w:rsidR="00914C83" w:rsidRPr="0001227A">
        <w:rPr>
          <w:lang w:val="de-DE"/>
        </w:rPr>
        <w:t xml:space="preserve"> </w:t>
      </w:r>
      <w:r w:rsidR="00154CC5" w:rsidRPr="005E352D">
        <w:rPr>
          <w:lang w:val="de-DE"/>
        </w:rPr>
        <w:t>Sie baten daher um mehr Informationen zu Bauweise und Verwendungszweck des Schiffes.</w:t>
      </w:r>
    </w:p>
    <w:p w14:paraId="69EB2C3F" w14:textId="5D15AFA1" w:rsidR="00914C83" w:rsidRPr="0001227A" w:rsidRDefault="00C1649F" w:rsidP="00AE4853">
      <w:pPr>
        <w:pStyle w:val="SingleTxtG"/>
        <w:rPr>
          <w:lang w:val="de-DE"/>
        </w:rPr>
      </w:pPr>
      <w:r>
        <w:rPr>
          <w:lang w:val="de-DE"/>
        </w:rPr>
        <w:br w:type="page"/>
      </w:r>
      <w:r w:rsidR="00EC4B3D" w:rsidRPr="0001227A">
        <w:rPr>
          <w:lang w:val="de-DE"/>
        </w:rPr>
        <w:lastRenderedPageBreak/>
        <w:t>12</w:t>
      </w:r>
      <w:r w:rsidR="00914C83" w:rsidRPr="0001227A">
        <w:rPr>
          <w:lang w:val="de-DE"/>
        </w:rPr>
        <w:t>.</w:t>
      </w:r>
      <w:r w:rsidR="00914C83" w:rsidRPr="0001227A">
        <w:rPr>
          <w:lang w:val="de-DE"/>
        </w:rPr>
        <w:tab/>
      </w:r>
      <w:r w:rsidR="00795280" w:rsidRPr="00AE4853">
        <w:rPr>
          <w:lang w:val="de-DE"/>
        </w:rPr>
        <w:t xml:space="preserve">Der niederländische Vertreter erklärte, dass </w:t>
      </w:r>
      <w:r w:rsidR="006635D2" w:rsidRPr="00AE4853">
        <w:rPr>
          <w:lang w:val="de-DE"/>
        </w:rPr>
        <w:t xml:space="preserve">er </w:t>
      </w:r>
      <w:r w:rsidR="00795280" w:rsidRPr="00AE4853">
        <w:rPr>
          <w:lang w:val="de-DE"/>
        </w:rPr>
        <w:t>Sitzungen der informellen Arbeitsgruppe organisieren</w:t>
      </w:r>
      <w:r w:rsidR="006635D2" w:rsidRPr="00AE4853">
        <w:rPr>
          <w:lang w:val="de-DE"/>
        </w:rPr>
        <w:t xml:space="preserve"> möchte</w:t>
      </w:r>
      <w:r w:rsidR="00795280" w:rsidRPr="00AE4853">
        <w:rPr>
          <w:lang w:val="de-DE"/>
        </w:rPr>
        <w:t xml:space="preserve">, um weitere Erläuterungen zu geben, seinen Vorschlag aber </w:t>
      </w:r>
      <w:r w:rsidR="006635D2" w:rsidRPr="00AE4853">
        <w:rPr>
          <w:lang w:val="de-DE"/>
        </w:rPr>
        <w:t>trotzdem</w:t>
      </w:r>
      <w:r w:rsidR="00795280" w:rsidRPr="00AE4853">
        <w:rPr>
          <w:lang w:val="de-DE"/>
        </w:rPr>
        <w:t xml:space="preserve"> gerne zur Abstimmung stellen würde.</w:t>
      </w:r>
      <w:r w:rsidR="00914C83" w:rsidRPr="0001227A">
        <w:rPr>
          <w:lang w:val="de-DE"/>
        </w:rPr>
        <w:t xml:space="preserve"> </w:t>
      </w:r>
      <w:r w:rsidR="00952051" w:rsidRPr="00AE4853">
        <w:rPr>
          <w:lang w:val="de-DE"/>
        </w:rPr>
        <w:t>Der Vorsitzende ließ daher über den Vorschlag abstimmen, der mit einer Mehrheit der anwesenden und abstimmenden Staatenvertreter abgelehnt wurde.</w:t>
      </w:r>
      <w:r w:rsidR="00914C83" w:rsidRPr="0001227A">
        <w:rPr>
          <w:lang w:val="de-DE"/>
        </w:rPr>
        <w:t xml:space="preserve"> </w:t>
      </w:r>
      <w:r w:rsidR="00952051" w:rsidRPr="00AE4853">
        <w:rPr>
          <w:lang w:val="de-DE"/>
        </w:rPr>
        <w:t>Der Vorsitzende stellte fest, dass die Angelegenheit noch nicht genügend untersucht worden sei und weitere Arbeiten erforderlich seien.</w:t>
      </w:r>
      <w:r w:rsidR="00005A50" w:rsidRPr="0001227A">
        <w:rPr>
          <w:lang w:val="de-DE"/>
        </w:rPr>
        <w:t xml:space="preserve"> </w:t>
      </w:r>
      <w:r w:rsidR="00952051" w:rsidRPr="00AE4853">
        <w:rPr>
          <w:lang w:val="de-DE"/>
        </w:rPr>
        <w:t>Vom 28. bis 30. März 2017 wird in den Niederlanden eine Sitzung der informellen Arbeitsgruppe stattfinden.</w:t>
      </w:r>
    </w:p>
    <w:p w14:paraId="7E0D569B" w14:textId="587469A4" w:rsidR="007C51B5" w:rsidRPr="0001227A" w:rsidRDefault="007C51B5" w:rsidP="00AE4853">
      <w:pPr>
        <w:pStyle w:val="H1G"/>
        <w:rPr>
          <w:lang w:val="de-DE"/>
        </w:rPr>
      </w:pPr>
      <w:r w:rsidRPr="0001227A">
        <w:rPr>
          <w:lang w:val="de-DE"/>
        </w:rPr>
        <w:tab/>
      </w:r>
      <w:r w:rsidR="00C30B86" w:rsidRPr="00AE4853">
        <w:rPr>
          <w:lang w:val="de-DE"/>
        </w:rPr>
        <w:t>C.</w:t>
      </w:r>
      <w:r w:rsidRPr="0001227A">
        <w:rPr>
          <w:lang w:val="de-DE"/>
        </w:rPr>
        <w:tab/>
      </w:r>
      <w:r w:rsidR="00C30B86" w:rsidRPr="00C30B86">
        <w:rPr>
          <w:lang w:val="de-DE"/>
        </w:rPr>
        <w:t>Auslegung der dem ADN beigefügten Verordnung</w:t>
      </w:r>
    </w:p>
    <w:p w14:paraId="60C083D3" w14:textId="32D24429" w:rsidR="007C51B5" w:rsidRPr="0001227A" w:rsidRDefault="007C51B5" w:rsidP="00C30B86">
      <w:pPr>
        <w:pStyle w:val="H23G"/>
        <w:rPr>
          <w:lang w:val="de-DE"/>
        </w:rPr>
      </w:pPr>
      <w:r w:rsidRPr="0001227A">
        <w:rPr>
          <w:lang w:val="de-DE"/>
        </w:rPr>
        <w:tab/>
        <w:t>1.</w:t>
      </w:r>
      <w:r w:rsidRPr="0001227A">
        <w:rPr>
          <w:lang w:val="de-DE"/>
        </w:rPr>
        <w:tab/>
      </w:r>
      <w:r w:rsidR="00C30B86" w:rsidRPr="00C30B86">
        <w:rPr>
          <w:lang w:val="de-DE"/>
        </w:rPr>
        <w:t>Gefahren bei Arbeiten an Bord, Abschnitt 8.3.5 ADN</w:t>
      </w:r>
    </w:p>
    <w:p w14:paraId="548E17E2" w14:textId="4D07EBD8" w:rsidR="007C51B5" w:rsidRPr="0001227A" w:rsidRDefault="00C30B86" w:rsidP="00C30B86">
      <w:pPr>
        <w:pStyle w:val="SingleTxtG"/>
        <w:rPr>
          <w:lang w:val="de-DE"/>
        </w:rPr>
      </w:pPr>
      <w:r w:rsidRPr="00C30B86">
        <w:rPr>
          <w:i/>
          <w:iCs/>
          <w:lang w:val="de-DE"/>
        </w:rPr>
        <w:t>Dokument:</w:t>
      </w:r>
      <w:r w:rsidR="007C51B5" w:rsidRPr="0001227A">
        <w:rPr>
          <w:lang w:val="de-DE"/>
        </w:rPr>
        <w:tab/>
      </w:r>
      <w:r w:rsidRPr="00C30B86">
        <w:rPr>
          <w:lang w:val="de-DE"/>
        </w:rPr>
        <w:t>ECE/TRANS/WP.15/AC.2/2017/5 (Deutschland)</w:t>
      </w:r>
    </w:p>
    <w:p w14:paraId="6A3717F5" w14:textId="72366BA9" w:rsidR="007C51B5" w:rsidRPr="0001227A" w:rsidRDefault="00EC4B3D" w:rsidP="00AE4853">
      <w:pPr>
        <w:pStyle w:val="SingleTxtG"/>
        <w:rPr>
          <w:lang w:val="de-DE"/>
        </w:rPr>
      </w:pPr>
      <w:r w:rsidRPr="0001227A">
        <w:rPr>
          <w:lang w:val="de-DE"/>
        </w:rPr>
        <w:t>13</w:t>
      </w:r>
      <w:r w:rsidR="007C51B5" w:rsidRPr="0001227A">
        <w:rPr>
          <w:lang w:val="de-DE"/>
        </w:rPr>
        <w:t>.</w:t>
      </w:r>
      <w:r w:rsidR="007C51B5" w:rsidRPr="0001227A">
        <w:rPr>
          <w:lang w:val="de-DE"/>
        </w:rPr>
        <w:tab/>
      </w:r>
      <w:r w:rsidR="00C30B86" w:rsidRPr="00AE4853">
        <w:rPr>
          <w:lang w:val="de-DE"/>
        </w:rPr>
        <w:t>Der Sicherheitsausschuss vertrat die Auffassung, dass der Ausdruck „</w:t>
      </w:r>
      <w:r w:rsidR="00950EE5" w:rsidRPr="00AE4853">
        <w:rPr>
          <w:lang w:val="de-DE"/>
        </w:rPr>
        <w:t>Arbeiten an Bord</w:t>
      </w:r>
      <w:r w:rsidR="00C30B86" w:rsidRPr="00AE4853">
        <w:rPr>
          <w:lang w:val="de-DE"/>
        </w:rPr>
        <w:t>“</w:t>
      </w:r>
      <w:r w:rsidR="00950EE5" w:rsidRPr="00AE4853">
        <w:rPr>
          <w:lang w:val="de-DE"/>
        </w:rPr>
        <w:t xml:space="preserve"> alle Arbeiten an </w:t>
      </w:r>
      <w:r w:rsidR="00175470" w:rsidRPr="00AE4853">
        <w:rPr>
          <w:lang w:val="de-DE"/>
        </w:rPr>
        <w:t xml:space="preserve">den </w:t>
      </w:r>
      <w:r w:rsidR="00175470" w:rsidRPr="009323BB">
        <w:rPr>
          <w:lang w:val="de-DE"/>
        </w:rPr>
        <w:t>Aufbauten</w:t>
      </w:r>
      <w:r w:rsidR="00175470" w:rsidRPr="00AE4853">
        <w:rPr>
          <w:lang w:val="de-DE"/>
        </w:rPr>
        <w:t xml:space="preserve"> und der </w:t>
      </w:r>
      <w:r w:rsidR="004837F6" w:rsidRPr="00AE4853">
        <w:rPr>
          <w:lang w:val="de-DE"/>
        </w:rPr>
        <w:t>Ausrüstung</w:t>
      </w:r>
      <w:r w:rsidR="00175470" w:rsidRPr="00AE4853">
        <w:rPr>
          <w:lang w:val="de-DE"/>
        </w:rPr>
        <w:t xml:space="preserve"> des Schiffes</w:t>
      </w:r>
      <w:r w:rsidR="00A004F2" w:rsidRPr="00AE4853">
        <w:rPr>
          <w:lang w:val="de-DE"/>
        </w:rPr>
        <w:t xml:space="preserve"> wie z. B.</w:t>
      </w:r>
      <w:r w:rsidR="00EC0A01" w:rsidRPr="00AE4853">
        <w:rPr>
          <w:lang w:val="de-DE"/>
        </w:rPr>
        <w:t xml:space="preserve"> </w:t>
      </w:r>
      <w:r w:rsidR="004837F6" w:rsidRPr="00AE4853">
        <w:rPr>
          <w:lang w:val="de-DE"/>
        </w:rPr>
        <w:t>Propeller und</w:t>
      </w:r>
      <w:r w:rsidR="008D099E" w:rsidRPr="00AE4853">
        <w:rPr>
          <w:lang w:val="de-DE"/>
        </w:rPr>
        <w:t xml:space="preserve"> </w:t>
      </w:r>
      <w:r w:rsidR="004837F6" w:rsidRPr="00AE4853">
        <w:rPr>
          <w:lang w:val="de-DE"/>
        </w:rPr>
        <w:t>Ankerkette</w:t>
      </w:r>
      <w:r w:rsidR="00EC0A01" w:rsidRPr="00AE4853">
        <w:rPr>
          <w:lang w:val="de-DE"/>
        </w:rPr>
        <w:t xml:space="preserve"> umfasst</w:t>
      </w:r>
      <w:r w:rsidR="004837F6" w:rsidRPr="00AE4853">
        <w:rPr>
          <w:lang w:val="de-DE"/>
        </w:rPr>
        <w:t>.</w:t>
      </w:r>
    </w:p>
    <w:p w14:paraId="5E9F108E" w14:textId="15EC2F39" w:rsidR="007C51B5" w:rsidRPr="0001227A" w:rsidRDefault="00EC4B3D" w:rsidP="00540468">
      <w:pPr>
        <w:pStyle w:val="SingleTxtG"/>
        <w:rPr>
          <w:lang w:val="de-DE"/>
        </w:rPr>
      </w:pPr>
      <w:r w:rsidRPr="0001227A">
        <w:rPr>
          <w:lang w:val="de-DE"/>
        </w:rPr>
        <w:t>14</w:t>
      </w:r>
      <w:r w:rsidR="007C51B5" w:rsidRPr="0001227A">
        <w:rPr>
          <w:lang w:val="de-DE"/>
        </w:rPr>
        <w:t>.</w:t>
      </w:r>
      <w:r w:rsidR="007C51B5" w:rsidRPr="0001227A">
        <w:rPr>
          <w:lang w:val="de-DE"/>
        </w:rPr>
        <w:tab/>
      </w:r>
      <w:r w:rsidR="00EC0A01" w:rsidRPr="00540468">
        <w:rPr>
          <w:lang w:val="de-DE"/>
        </w:rPr>
        <w:t xml:space="preserve">Im Hinblick auf die Frage, ob die Gasfreiheit für das gesamte Schiff oder nur für den Bereich, in dem die Arbeiten </w:t>
      </w:r>
      <w:r w:rsidR="00850203" w:rsidRPr="00540468">
        <w:rPr>
          <w:lang w:val="de-DE"/>
        </w:rPr>
        <w:t xml:space="preserve">ausgeführt werden, </w:t>
      </w:r>
      <w:r w:rsidR="00AE4853" w:rsidRPr="00540468">
        <w:rPr>
          <w:lang w:val="de-DE"/>
        </w:rPr>
        <w:t xml:space="preserve">zu </w:t>
      </w:r>
      <w:r w:rsidR="00850203" w:rsidRPr="00540468">
        <w:rPr>
          <w:lang w:val="de-DE"/>
        </w:rPr>
        <w:t>bescheinig</w:t>
      </w:r>
      <w:r w:rsidR="00AE4853" w:rsidRPr="00540468">
        <w:rPr>
          <w:lang w:val="de-DE"/>
        </w:rPr>
        <w:t>e</w:t>
      </w:r>
      <w:r w:rsidR="00850203" w:rsidRPr="00540468">
        <w:rPr>
          <w:lang w:val="de-DE"/>
        </w:rPr>
        <w:t xml:space="preserve">n </w:t>
      </w:r>
      <w:r w:rsidR="00AE4853" w:rsidRPr="00540468">
        <w:rPr>
          <w:lang w:val="de-DE"/>
        </w:rPr>
        <w:t>ist</w:t>
      </w:r>
      <w:r w:rsidR="00850203" w:rsidRPr="00540468">
        <w:rPr>
          <w:lang w:val="de-DE"/>
        </w:rPr>
        <w:t xml:space="preserve">, waren die meisten Delegationen der Meinung, dass die Gasfreiheitsbescheinigung für das gesamte Schiff </w:t>
      </w:r>
      <w:r w:rsidR="00901B67" w:rsidRPr="00540468">
        <w:rPr>
          <w:lang w:val="de-DE"/>
        </w:rPr>
        <w:t>erforderlich ist, es sei denn, es liegt eine Sondergenehmigung der zuständigen Behörde vor.</w:t>
      </w:r>
      <w:r w:rsidR="007C51B5" w:rsidRPr="0001227A">
        <w:rPr>
          <w:lang w:val="de-DE"/>
        </w:rPr>
        <w:t xml:space="preserve"> </w:t>
      </w:r>
      <w:r w:rsidR="001F13AB" w:rsidRPr="00540468">
        <w:rPr>
          <w:lang w:val="de-DE"/>
        </w:rPr>
        <w:t xml:space="preserve">In jedem Fall </w:t>
      </w:r>
      <w:r w:rsidR="009F7053" w:rsidRPr="00540468">
        <w:rPr>
          <w:lang w:val="de-DE"/>
        </w:rPr>
        <w:t>seien</w:t>
      </w:r>
      <w:r w:rsidR="001F13AB" w:rsidRPr="00540468">
        <w:rPr>
          <w:lang w:val="de-DE"/>
        </w:rPr>
        <w:t xml:space="preserve"> alle geltenden Vorschriften, einschließlich der Vorschriften zur Sicherheit am Arbeitsplatz, </w:t>
      </w:r>
      <w:r w:rsidR="00540468" w:rsidRPr="00540468">
        <w:rPr>
          <w:lang w:val="de-DE"/>
        </w:rPr>
        <w:t>einzuhalten</w:t>
      </w:r>
      <w:r w:rsidR="001F13AB" w:rsidRPr="00540468">
        <w:rPr>
          <w:lang w:val="de-DE"/>
        </w:rPr>
        <w:t>.</w:t>
      </w:r>
      <w:r w:rsidR="007C51B5" w:rsidRPr="0001227A">
        <w:rPr>
          <w:lang w:val="de-DE"/>
        </w:rPr>
        <w:t xml:space="preserve"> </w:t>
      </w:r>
      <w:r w:rsidR="00116FE6" w:rsidRPr="00540468">
        <w:rPr>
          <w:lang w:val="de-DE"/>
        </w:rPr>
        <w:t xml:space="preserve">Der deutsche und der niederländische Vertreter werden ein Papier ausarbeiten, </w:t>
      </w:r>
      <w:r w:rsidR="00540468">
        <w:rPr>
          <w:lang w:val="de-DE"/>
        </w:rPr>
        <w:t>um</w:t>
      </w:r>
      <w:r w:rsidR="00116FE6" w:rsidRPr="00540468">
        <w:rPr>
          <w:lang w:val="de-DE"/>
        </w:rPr>
        <w:t xml:space="preserve"> diese Auslegung des Textes </w:t>
      </w:r>
      <w:r w:rsidR="00540468">
        <w:rPr>
          <w:lang w:val="de-DE"/>
        </w:rPr>
        <w:t>festzuhalten</w:t>
      </w:r>
      <w:r w:rsidR="00116FE6" w:rsidRPr="00540468">
        <w:rPr>
          <w:lang w:val="de-DE"/>
        </w:rPr>
        <w:t>.</w:t>
      </w:r>
    </w:p>
    <w:p w14:paraId="174B0FC6" w14:textId="7D1CDD35" w:rsidR="007C51B5" w:rsidRPr="0001227A" w:rsidRDefault="007C51B5" w:rsidP="009803AF">
      <w:pPr>
        <w:pStyle w:val="H23G"/>
        <w:rPr>
          <w:lang w:val="de-DE"/>
        </w:rPr>
      </w:pPr>
      <w:r w:rsidRPr="0001227A">
        <w:rPr>
          <w:lang w:val="de-DE"/>
        </w:rPr>
        <w:tab/>
        <w:t>2.</w:t>
      </w:r>
      <w:r w:rsidRPr="0001227A">
        <w:rPr>
          <w:lang w:val="de-DE"/>
        </w:rPr>
        <w:tab/>
      </w:r>
      <w:r w:rsidR="00636F39" w:rsidRPr="009803AF">
        <w:rPr>
          <w:lang w:val="de-DE"/>
        </w:rPr>
        <w:t>Unterabschnitt 7.1.4.7 ADN, Lade- und Löschstellen für Trockengüterschiffe</w:t>
      </w:r>
    </w:p>
    <w:p w14:paraId="35A8DFE5" w14:textId="6EC65099" w:rsidR="007C51B5" w:rsidRPr="0001227A" w:rsidRDefault="00636F39" w:rsidP="00636F39">
      <w:pPr>
        <w:pStyle w:val="SingleTxtG"/>
        <w:rPr>
          <w:lang w:val="de-DE"/>
        </w:rPr>
      </w:pPr>
      <w:r w:rsidRPr="00636F39">
        <w:rPr>
          <w:i/>
          <w:iCs/>
          <w:lang w:val="de-DE"/>
        </w:rPr>
        <w:t>Dokument:</w:t>
      </w:r>
      <w:r w:rsidR="007C51B5" w:rsidRPr="0001227A">
        <w:rPr>
          <w:lang w:val="de-DE"/>
        </w:rPr>
        <w:tab/>
      </w:r>
      <w:r w:rsidRPr="00636F39">
        <w:rPr>
          <w:lang w:val="de-DE"/>
        </w:rPr>
        <w:t>ECE/TRANS/WP.15/AC.2/2017/11 (Deutschland)</w:t>
      </w:r>
    </w:p>
    <w:p w14:paraId="2AA21A2D" w14:textId="7DAECFF1" w:rsidR="007C51B5" w:rsidRPr="0001227A" w:rsidRDefault="00EC4B3D" w:rsidP="009803AF">
      <w:pPr>
        <w:pStyle w:val="SingleTxtG"/>
        <w:rPr>
          <w:lang w:val="de-DE"/>
        </w:rPr>
      </w:pPr>
      <w:r w:rsidRPr="0001227A">
        <w:rPr>
          <w:lang w:val="de-DE"/>
        </w:rPr>
        <w:t>15</w:t>
      </w:r>
      <w:r w:rsidR="007C51B5" w:rsidRPr="0001227A">
        <w:rPr>
          <w:lang w:val="de-DE"/>
        </w:rPr>
        <w:t>.</w:t>
      </w:r>
      <w:r w:rsidR="007C51B5" w:rsidRPr="0001227A">
        <w:rPr>
          <w:lang w:val="de-DE"/>
        </w:rPr>
        <w:tab/>
      </w:r>
      <w:r w:rsidR="002E3CAC" w:rsidRPr="009803AF">
        <w:rPr>
          <w:lang w:val="de-DE"/>
        </w:rPr>
        <w:t>Mehrere Delegationen waren der Ansicht, dass Absatz 7.1.4.7.2</w:t>
      </w:r>
      <w:r w:rsidR="00744356" w:rsidRPr="009803AF">
        <w:rPr>
          <w:lang w:val="de-DE"/>
        </w:rPr>
        <w:t xml:space="preserve"> </w:t>
      </w:r>
      <w:r w:rsidR="002E3CAC" w:rsidRPr="009803AF">
        <w:rPr>
          <w:lang w:val="de-DE"/>
        </w:rPr>
        <w:t xml:space="preserve">seinem Wortlaut </w:t>
      </w:r>
      <w:r w:rsidR="00FA6B1F" w:rsidRPr="009803AF">
        <w:rPr>
          <w:lang w:val="de-DE"/>
        </w:rPr>
        <w:t xml:space="preserve">nach </w:t>
      </w:r>
      <w:r w:rsidR="00853097" w:rsidRPr="009803AF">
        <w:rPr>
          <w:lang w:val="de-DE"/>
        </w:rPr>
        <w:t xml:space="preserve">keine Vorschriften über die Verfügbarkeit von Evakuierungsmitteln beim </w:t>
      </w:r>
      <w:r w:rsidR="00C13EFF" w:rsidRPr="009803AF">
        <w:rPr>
          <w:lang w:val="de-DE"/>
        </w:rPr>
        <w:t>Be-</w:t>
      </w:r>
      <w:r w:rsidR="00853097" w:rsidRPr="009803AF">
        <w:rPr>
          <w:lang w:val="de-DE"/>
        </w:rPr>
        <w:t xml:space="preserve"> oder </w:t>
      </w:r>
      <w:r w:rsidR="00C13EFF" w:rsidRPr="009803AF">
        <w:rPr>
          <w:lang w:val="de-DE"/>
        </w:rPr>
        <w:t>Entladen</w:t>
      </w:r>
      <w:r w:rsidR="004A6F0D" w:rsidRPr="009803AF">
        <w:rPr>
          <w:lang w:val="de-DE"/>
        </w:rPr>
        <w:t xml:space="preserve"> ungefährliche</w:t>
      </w:r>
      <w:r w:rsidR="00864423" w:rsidRPr="009803AF">
        <w:rPr>
          <w:lang w:val="de-DE"/>
        </w:rPr>
        <w:t>r</w:t>
      </w:r>
      <w:r w:rsidR="004A6F0D" w:rsidRPr="009803AF">
        <w:rPr>
          <w:lang w:val="de-DE"/>
        </w:rPr>
        <w:t xml:space="preserve"> Güter </w:t>
      </w:r>
      <w:r w:rsidR="00C13EFF" w:rsidRPr="009803AF">
        <w:rPr>
          <w:lang w:val="de-DE"/>
        </w:rPr>
        <w:t>auf Schiffen</w:t>
      </w:r>
      <w:r w:rsidR="00744356" w:rsidRPr="009803AF">
        <w:rPr>
          <w:lang w:val="de-DE"/>
        </w:rPr>
        <w:t xml:space="preserve"> </w:t>
      </w:r>
      <w:r w:rsidR="006B4245" w:rsidRPr="009803AF">
        <w:rPr>
          <w:lang w:val="de-DE"/>
        </w:rPr>
        <w:t>macht</w:t>
      </w:r>
      <w:r w:rsidR="00C13EFF" w:rsidRPr="009803AF">
        <w:rPr>
          <w:lang w:val="de-DE"/>
        </w:rPr>
        <w:t xml:space="preserve">, die Güter </w:t>
      </w:r>
      <w:r w:rsidR="004A6F0D" w:rsidRPr="009803AF">
        <w:rPr>
          <w:lang w:val="de-DE"/>
        </w:rPr>
        <w:t>der Klasse 1, 4.1 oder 5.2</w:t>
      </w:r>
      <w:r w:rsidR="00C13EFF" w:rsidRPr="009803AF">
        <w:rPr>
          <w:lang w:val="de-DE"/>
        </w:rPr>
        <w:t xml:space="preserve"> befördern</w:t>
      </w:r>
      <w:r w:rsidR="004A6F0D" w:rsidRPr="009803AF">
        <w:rPr>
          <w:lang w:val="de-DE"/>
        </w:rPr>
        <w:t xml:space="preserve">, für die blaue Kegel </w:t>
      </w:r>
      <w:r w:rsidR="00813762" w:rsidRPr="009803AF">
        <w:rPr>
          <w:lang w:val="de-DE"/>
        </w:rPr>
        <w:t xml:space="preserve">oder blaue Lichter </w:t>
      </w:r>
      <w:r w:rsidR="004A6F0D" w:rsidRPr="009803AF">
        <w:rPr>
          <w:lang w:val="de-DE"/>
        </w:rPr>
        <w:t>vorgeschrieben sind</w:t>
      </w:r>
      <w:r w:rsidR="006B4245" w:rsidRPr="009803AF">
        <w:rPr>
          <w:lang w:val="de-DE"/>
        </w:rPr>
        <w:t>.</w:t>
      </w:r>
      <w:r w:rsidR="007C51B5" w:rsidRPr="0001227A">
        <w:rPr>
          <w:lang w:val="de-DE"/>
        </w:rPr>
        <w:t xml:space="preserve"> </w:t>
      </w:r>
      <w:r w:rsidR="009803AF" w:rsidRPr="009803AF">
        <w:rPr>
          <w:lang w:val="de-DE"/>
        </w:rPr>
        <w:t xml:space="preserve">Da der Standort der Lade- und </w:t>
      </w:r>
      <w:r w:rsidR="00C3428D" w:rsidRPr="009803AF">
        <w:rPr>
          <w:lang w:val="de-DE"/>
        </w:rPr>
        <w:t xml:space="preserve">Löscharbeiten von der zuständigen Behörde genehmigt werden müsse, </w:t>
      </w:r>
      <w:r w:rsidR="003B699A" w:rsidRPr="009803AF">
        <w:rPr>
          <w:lang w:val="de-DE"/>
        </w:rPr>
        <w:t xml:space="preserve">könnte diese Behörde vorschreiben, dass die Arbeiten nur </w:t>
      </w:r>
      <w:r w:rsidR="00FE7309" w:rsidRPr="009803AF">
        <w:rPr>
          <w:lang w:val="de-DE"/>
        </w:rPr>
        <w:t>an Stellen</w:t>
      </w:r>
      <w:r w:rsidR="003B699A" w:rsidRPr="009803AF">
        <w:rPr>
          <w:lang w:val="de-DE"/>
        </w:rPr>
        <w:t xml:space="preserve"> ausgeführt werden sollen, </w:t>
      </w:r>
      <w:r w:rsidR="00FE7309" w:rsidRPr="009803AF">
        <w:rPr>
          <w:lang w:val="de-DE"/>
        </w:rPr>
        <w:t>an denen</w:t>
      </w:r>
      <w:r w:rsidR="003B699A" w:rsidRPr="009803AF">
        <w:rPr>
          <w:lang w:val="de-DE"/>
        </w:rPr>
        <w:t xml:space="preserve"> </w:t>
      </w:r>
      <w:r w:rsidR="000517E0" w:rsidRPr="009803AF">
        <w:rPr>
          <w:lang w:val="de-DE"/>
        </w:rPr>
        <w:t>geeignete</w:t>
      </w:r>
      <w:r w:rsidR="003B699A" w:rsidRPr="009803AF">
        <w:rPr>
          <w:lang w:val="de-DE"/>
        </w:rPr>
        <w:t xml:space="preserve"> Evakuierungsmittel verfügbar sind.</w:t>
      </w:r>
    </w:p>
    <w:p w14:paraId="27D2FCDA" w14:textId="521F8E76" w:rsidR="007C51B5" w:rsidRPr="0001227A" w:rsidRDefault="00EC4B3D" w:rsidP="001205AF">
      <w:pPr>
        <w:pStyle w:val="SingleTxtG"/>
        <w:rPr>
          <w:lang w:val="de-DE"/>
        </w:rPr>
      </w:pPr>
      <w:r w:rsidRPr="0001227A">
        <w:rPr>
          <w:lang w:val="de-DE"/>
        </w:rPr>
        <w:t>16</w:t>
      </w:r>
      <w:r w:rsidR="007C51B5" w:rsidRPr="0001227A">
        <w:rPr>
          <w:lang w:val="de-DE"/>
        </w:rPr>
        <w:t>.</w:t>
      </w:r>
      <w:r w:rsidR="007C51B5" w:rsidRPr="0001227A">
        <w:rPr>
          <w:lang w:val="de-DE"/>
        </w:rPr>
        <w:tab/>
      </w:r>
      <w:r w:rsidR="00FE7309" w:rsidRPr="001205AF">
        <w:rPr>
          <w:lang w:val="de-DE"/>
        </w:rPr>
        <w:t>Der Vertreter</w:t>
      </w:r>
      <w:r w:rsidR="009803AF" w:rsidRPr="001205AF">
        <w:rPr>
          <w:lang w:val="de-DE"/>
        </w:rPr>
        <w:t xml:space="preserve"> Deutschlands</w:t>
      </w:r>
      <w:r w:rsidR="00FE7309" w:rsidRPr="001205AF">
        <w:rPr>
          <w:lang w:val="de-DE"/>
        </w:rPr>
        <w:t xml:space="preserve"> teilte mit, dass er einen Vorschlag ausarbeiten werde, </w:t>
      </w:r>
      <w:r w:rsidR="008D16CE" w:rsidRPr="001205AF">
        <w:rPr>
          <w:lang w:val="de-DE"/>
        </w:rPr>
        <w:t>der vorsieht,</w:t>
      </w:r>
      <w:r w:rsidR="00E373E2" w:rsidRPr="001205AF">
        <w:rPr>
          <w:lang w:val="de-DE"/>
        </w:rPr>
        <w:t xml:space="preserve"> dass</w:t>
      </w:r>
      <w:r w:rsidR="00471C58" w:rsidRPr="001205AF">
        <w:rPr>
          <w:lang w:val="de-DE"/>
        </w:rPr>
        <w:t xml:space="preserve"> </w:t>
      </w:r>
      <w:r w:rsidR="00B9114D" w:rsidRPr="001205AF">
        <w:rPr>
          <w:lang w:val="de-DE"/>
        </w:rPr>
        <w:t xml:space="preserve">an den in Absatz 7.1.4.7.2 </w:t>
      </w:r>
      <w:r w:rsidR="00030A7C" w:rsidRPr="001205AF">
        <w:rPr>
          <w:lang w:val="de-DE"/>
        </w:rPr>
        <w:t xml:space="preserve">genannten </w:t>
      </w:r>
      <w:r w:rsidR="00B9114D" w:rsidRPr="001205AF">
        <w:rPr>
          <w:lang w:val="de-DE"/>
        </w:rPr>
        <w:t>Lade- und Löschstellen</w:t>
      </w:r>
      <w:r w:rsidR="000F6D5A" w:rsidRPr="001205AF">
        <w:rPr>
          <w:lang w:val="de-DE"/>
        </w:rPr>
        <w:t xml:space="preserve"> </w:t>
      </w:r>
      <w:r w:rsidR="009C0B95" w:rsidRPr="001205AF">
        <w:rPr>
          <w:lang w:val="de-DE"/>
        </w:rPr>
        <w:t>Evakuierungsmittel</w:t>
      </w:r>
      <w:r w:rsidR="00030A7C" w:rsidRPr="001205AF">
        <w:rPr>
          <w:lang w:val="de-DE"/>
        </w:rPr>
        <w:t xml:space="preserve"> </w:t>
      </w:r>
      <w:r w:rsidR="008F173A" w:rsidRPr="001205AF">
        <w:rPr>
          <w:lang w:val="de-DE"/>
        </w:rPr>
        <w:t>verfügbar sein müssen</w:t>
      </w:r>
      <w:r w:rsidR="00030A7C" w:rsidRPr="001205AF">
        <w:rPr>
          <w:lang w:val="de-DE"/>
        </w:rPr>
        <w:t>.</w:t>
      </w:r>
    </w:p>
    <w:p w14:paraId="643AFC21" w14:textId="0508F62F" w:rsidR="007C51B5" w:rsidRPr="0001227A" w:rsidRDefault="007C51B5" w:rsidP="001205AF">
      <w:pPr>
        <w:pStyle w:val="H23G"/>
        <w:rPr>
          <w:lang w:val="de-DE"/>
        </w:rPr>
      </w:pPr>
      <w:r w:rsidRPr="0001227A">
        <w:rPr>
          <w:lang w:val="de-DE"/>
        </w:rPr>
        <w:tab/>
        <w:t>3.</w:t>
      </w:r>
      <w:r w:rsidRPr="0001227A">
        <w:rPr>
          <w:lang w:val="de-DE"/>
        </w:rPr>
        <w:tab/>
      </w:r>
      <w:r w:rsidR="00FA6B1F" w:rsidRPr="001205AF">
        <w:rPr>
          <w:lang w:val="de-DE"/>
        </w:rPr>
        <w:t>Beförderung von Fahrzeugen und Geräten</w:t>
      </w:r>
    </w:p>
    <w:p w14:paraId="45E75C06" w14:textId="686DBE6B" w:rsidR="007C51B5" w:rsidRPr="0001227A" w:rsidRDefault="00FA6B1F" w:rsidP="00FA6B1F">
      <w:pPr>
        <w:pStyle w:val="SingleTxtG"/>
        <w:rPr>
          <w:lang w:val="de-DE"/>
        </w:rPr>
      </w:pPr>
      <w:r w:rsidRPr="00FA6B1F">
        <w:rPr>
          <w:i/>
          <w:iCs/>
          <w:lang w:val="de-DE"/>
        </w:rPr>
        <w:t>Dokument:</w:t>
      </w:r>
      <w:r w:rsidR="007C51B5" w:rsidRPr="0001227A">
        <w:rPr>
          <w:lang w:val="de-DE"/>
        </w:rPr>
        <w:tab/>
      </w:r>
      <w:r w:rsidRPr="00FA6B1F">
        <w:rPr>
          <w:lang w:val="de-DE"/>
        </w:rPr>
        <w:t>ECE/TRANS/WP.15/AC.2/2017/12 (Deutschland)</w:t>
      </w:r>
    </w:p>
    <w:p w14:paraId="57C22A72" w14:textId="4F508370" w:rsidR="007C51B5" w:rsidRPr="0001227A" w:rsidRDefault="00EC4B3D" w:rsidP="001A14F8">
      <w:pPr>
        <w:pStyle w:val="SingleTxtG"/>
        <w:rPr>
          <w:lang w:val="de-DE"/>
        </w:rPr>
      </w:pPr>
      <w:r w:rsidRPr="0001227A">
        <w:rPr>
          <w:lang w:val="de-DE"/>
        </w:rPr>
        <w:t>17</w:t>
      </w:r>
      <w:r w:rsidR="007C51B5" w:rsidRPr="0001227A">
        <w:rPr>
          <w:lang w:val="de-DE"/>
        </w:rPr>
        <w:t>.</w:t>
      </w:r>
      <w:r w:rsidR="007C51B5" w:rsidRPr="0001227A">
        <w:rPr>
          <w:lang w:val="de-DE"/>
        </w:rPr>
        <w:tab/>
      </w:r>
      <w:r w:rsidR="00C743B9" w:rsidRPr="001A14F8">
        <w:rPr>
          <w:lang w:val="de-DE"/>
        </w:rPr>
        <w:t xml:space="preserve">Der Sicherheitsausschuss kam überein, dass die </w:t>
      </w:r>
      <w:r w:rsidR="00D42A0D" w:rsidRPr="001A14F8">
        <w:rPr>
          <w:lang w:val="de-DE"/>
        </w:rPr>
        <w:t xml:space="preserve">Freistellung </w:t>
      </w:r>
      <w:r w:rsidR="00C831E2" w:rsidRPr="001A14F8">
        <w:rPr>
          <w:lang w:val="de-DE"/>
        </w:rPr>
        <w:t>der</w:t>
      </w:r>
      <w:r w:rsidR="009B470D" w:rsidRPr="001A14F8">
        <w:rPr>
          <w:lang w:val="de-DE"/>
        </w:rPr>
        <w:t xml:space="preserve"> als</w:t>
      </w:r>
      <w:r w:rsidR="00D42A0D" w:rsidRPr="001A14F8">
        <w:rPr>
          <w:lang w:val="de-DE"/>
        </w:rPr>
        <w:t xml:space="preserve"> </w:t>
      </w:r>
      <w:r w:rsidR="009B470D" w:rsidRPr="001A14F8">
        <w:rPr>
          <w:lang w:val="de-DE"/>
        </w:rPr>
        <w:t xml:space="preserve">UN-Nummern 3528, 3529, 3530, 3166 und 3171 klassifizierten </w:t>
      </w:r>
      <w:r w:rsidR="00D42A0D" w:rsidRPr="001A14F8">
        <w:rPr>
          <w:lang w:val="de-DE"/>
        </w:rPr>
        <w:t>Fahrzeu</w:t>
      </w:r>
      <w:r w:rsidR="00C831E2" w:rsidRPr="001A14F8">
        <w:rPr>
          <w:lang w:val="de-DE"/>
        </w:rPr>
        <w:t>ge</w:t>
      </w:r>
      <w:r w:rsidR="00D42A0D" w:rsidRPr="001A14F8">
        <w:rPr>
          <w:lang w:val="de-DE"/>
        </w:rPr>
        <w:t xml:space="preserve"> und Ausrüstung</w:t>
      </w:r>
      <w:r w:rsidR="009B470D" w:rsidRPr="001A14F8">
        <w:rPr>
          <w:lang w:val="de-DE"/>
        </w:rPr>
        <w:t xml:space="preserve"> unter Berücksichtigung der Sondervorschriften 240, 312, 363, 385, 667 und 669 und Abschnitt 1.1.3 </w:t>
      </w:r>
      <w:r w:rsidR="008F24CA" w:rsidRPr="001A14F8">
        <w:rPr>
          <w:lang w:val="de-DE"/>
        </w:rPr>
        <w:t xml:space="preserve">Gegenstand weiterer Überlegungen </w:t>
      </w:r>
      <w:r w:rsidR="009B470D" w:rsidRPr="001A14F8">
        <w:rPr>
          <w:lang w:val="de-DE"/>
        </w:rPr>
        <w:t xml:space="preserve">im </w:t>
      </w:r>
      <w:r w:rsidR="001205AF" w:rsidRPr="001A14F8">
        <w:rPr>
          <w:lang w:val="de-DE"/>
        </w:rPr>
        <w:t>konkreten</w:t>
      </w:r>
      <w:r w:rsidR="009B470D" w:rsidRPr="001A14F8">
        <w:rPr>
          <w:lang w:val="de-DE"/>
        </w:rPr>
        <w:t xml:space="preserve"> </w:t>
      </w:r>
      <w:r w:rsidR="001205AF" w:rsidRPr="001A14F8">
        <w:rPr>
          <w:lang w:val="de-DE"/>
        </w:rPr>
        <w:t>Rahmen</w:t>
      </w:r>
      <w:r w:rsidR="009B470D" w:rsidRPr="001A14F8">
        <w:rPr>
          <w:lang w:val="de-DE"/>
        </w:rPr>
        <w:t xml:space="preserve"> der Binnenschifffahrt sein sollte und von einer von Deutschland organisierten informellen Arbeitsgruppe </w:t>
      </w:r>
      <w:r w:rsidR="0033561C" w:rsidRPr="001A14F8">
        <w:rPr>
          <w:lang w:val="de-DE"/>
        </w:rPr>
        <w:t xml:space="preserve">geprüft werden könnte, um </w:t>
      </w:r>
      <w:r w:rsidR="009B470D" w:rsidRPr="001A14F8">
        <w:rPr>
          <w:lang w:val="de-DE"/>
        </w:rPr>
        <w:t xml:space="preserve">Änderungsentwürfe </w:t>
      </w:r>
      <w:r w:rsidR="0033561C" w:rsidRPr="001A14F8">
        <w:rPr>
          <w:lang w:val="de-DE"/>
        </w:rPr>
        <w:t xml:space="preserve">zu der dem ADN beigefügten Verordnung zu erarbeiten und so </w:t>
      </w:r>
      <w:r w:rsidR="008F24CA" w:rsidRPr="001A14F8">
        <w:rPr>
          <w:lang w:val="de-DE"/>
        </w:rPr>
        <w:t xml:space="preserve">für eine klare </w:t>
      </w:r>
      <w:r w:rsidR="0033561C" w:rsidRPr="001A14F8">
        <w:rPr>
          <w:lang w:val="de-DE"/>
        </w:rPr>
        <w:t xml:space="preserve">Auslegung zu </w:t>
      </w:r>
      <w:r w:rsidR="008F24CA" w:rsidRPr="001A14F8">
        <w:rPr>
          <w:lang w:val="de-DE"/>
        </w:rPr>
        <w:t>sorgen</w:t>
      </w:r>
      <w:r w:rsidR="0033561C" w:rsidRPr="001A14F8">
        <w:rPr>
          <w:lang w:val="de-DE"/>
        </w:rPr>
        <w:t>.</w:t>
      </w:r>
      <w:r w:rsidR="006630BD" w:rsidRPr="0001227A">
        <w:rPr>
          <w:lang w:val="de-DE"/>
        </w:rPr>
        <w:t xml:space="preserve"> </w:t>
      </w:r>
      <w:r w:rsidR="00C831E2" w:rsidRPr="001A14F8">
        <w:rPr>
          <w:lang w:val="de-DE"/>
        </w:rPr>
        <w:t xml:space="preserve">Der Sicherheitsausschuss stimmte der in Dokument ECE/TRANS/WP.15/AC.2/2017/12 </w:t>
      </w:r>
      <w:r w:rsidR="003213C2" w:rsidRPr="001A14F8">
        <w:rPr>
          <w:lang w:val="de-DE"/>
        </w:rPr>
        <w:t>dargelegten</w:t>
      </w:r>
      <w:r w:rsidR="00A373E3" w:rsidRPr="001A14F8">
        <w:rPr>
          <w:lang w:val="de-DE"/>
        </w:rPr>
        <w:t xml:space="preserve"> Auslegung </w:t>
      </w:r>
      <w:r w:rsidR="003213C2" w:rsidRPr="001A14F8">
        <w:rPr>
          <w:lang w:val="de-DE"/>
        </w:rPr>
        <w:t xml:space="preserve">Deutschlands </w:t>
      </w:r>
      <w:r w:rsidR="00A373E3" w:rsidRPr="001A14F8">
        <w:rPr>
          <w:lang w:val="de-DE"/>
        </w:rPr>
        <w:t>vorläufig zu.</w:t>
      </w:r>
    </w:p>
    <w:p w14:paraId="4EE33034" w14:textId="64B23331" w:rsidR="007C51B5" w:rsidRPr="0001227A" w:rsidRDefault="007C51B5" w:rsidP="001A14F8">
      <w:pPr>
        <w:pStyle w:val="H23G"/>
        <w:rPr>
          <w:lang w:val="de-DE"/>
        </w:rPr>
      </w:pPr>
      <w:r w:rsidRPr="0001227A">
        <w:rPr>
          <w:lang w:val="de-DE"/>
        </w:rPr>
        <w:lastRenderedPageBreak/>
        <w:tab/>
        <w:t>4.</w:t>
      </w:r>
      <w:r w:rsidRPr="0001227A">
        <w:rPr>
          <w:lang w:val="de-DE"/>
        </w:rPr>
        <w:tab/>
      </w:r>
      <w:r w:rsidR="00FF37A4" w:rsidRPr="001A14F8">
        <w:rPr>
          <w:lang w:val="de-DE"/>
        </w:rPr>
        <w:t>7.2.4.1.1 ADN, Beförderung von Versandstücken mit Tankschiffen</w:t>
      </w:r>
    </w:p>
    <w:p w14:paraId="7CBD1E18" w14:textId="484D42D0" w:rsidR="007C51B5" w:rsidRPr="0001227A" w:rsidRDefault="00FF37A4" w:rsidP="00FF37A4">
      <w:pPr>
        <w:pStyle w:val="SingleTxtG"/>
        <w:keepNext/>
        <w:keepLines/>
        <w:rPr>
          <w:lang w:val="de-DE"/>
        </w:rPr>
      </w:pPr>
      <w:r w:rsidRPr="00FF37A4">
        <w:rPr>
          <w:i/>
          <w:iCs/>
          <w:lang w:val="de-DE"/>
        </w:rPr>
        <w:t>Dokument:</w:t>
      </w:r>
      <w:r w:rsidR="007C51B5" w:rsidRPr="0001227A">
        <w:rPr>
          <w:lang w:val="de-DE"/>
        </w:rPr>
        <w:tab/>
      </w:r>
      <w:r w:rsidRPr="00FF37A4">
        <w:rPr>
          <w:lang w:val="de-DE"/>
        </w:rPr>
        <w:t>ECE/TRANS/WP.15/AC.2/2017/13 (Deutschland)</w:t>
      </w:r>
    </w:p>
    <w:p w14:paraId="7E386B70" w14:textId="65975C4C" w:rsidR="007C51B5" w:rsidRPr="0001227A" w:rsidRDefault="00EC4B3D" w:rsidP="001A14F8">
      <w:pPr>
        <w:pStyle w:val="SingleTxtG"/>
        <w:keepNext/>
        <w:keepLines/>
        <w:rPr>
          <w:lang w:val="de-DE"/>
        </w:rPr>
      </w:pPr>
      <w:r w:rsidRPr="0001227A">
        <w:rPr>
          <w:lang w:val="de-DE"/>
        </w:rPr>
        <w:t>18</w:t>
      </w:r>
      <w:r w:rsidR="007C51B5" w:rsidRPr="0001227A">
        <w:rPr>
          <w:lang w:val="de-DE"/>
        </w:rPr>
        <w:t>.</w:t>
      </w:r>
      <w:r w:rsidR="007C51B5" w:rsidRPr="0001227A">
        <w:rPr>
          <w:lang w:val="de-DE"/>
        </w:rPr>
        <w:tab/>
      </w:r>
      <w:r w:rsidR="00154B08" w:rsidRPr="001A14F8">
        <w:rPr>
          <w:lang w:val="de-DE"/>
        </w:rPr>
        <w:t xml:space="preserve">Das Dokument warf die Frage auf, welche Versandstücke, IBC und Tanks als </w:t>
      </w:r>
      <w:r w:rsidR="00E13457" w:rsidRPr="001A14F8">
        <w:rPr>
          <w:lang w:val="de-DE"/>
        </w:rPr>
        <w:t>Reste-</w:t>
      </w:r>
      <w:r w:rsidR="00154B08" w:rsidRPr="001A14F8">
        <w:rPr>
          <w:lang w:val="de-DE"/>
        </w:rPr>
        <w:t xml:space="preserve"> oder Slop</w:t>
      </w:r>
      <w:r w:rsidR="00E13457" w:rsidRPr="001A14F8">
        <w:rPr>
          <w:lang w:val="de-DE"/>
        </w:rPr>
        <w:t>behälter</w:t>
      </w:r>
      <w:r w:rsidR="00154B08" w:rsidRPr="001A14F8">
        <w:rPr>
          <w:lang w:val="de-DE"/>
        </w:rPr>
        <w:t xml:space="preserve"> auf Tankschiffen zugelassen </w:t>
      </w:r>
      <w:r w:rsidR="00E13457" w:rsidRPr="001A14F8">
        <w:rPr>
          <w:lang w:val="de-DE"/>
        </w:rPr>
        <w:t>sind und welche Bestimmungen für sie gelten.</w:t>
      </w:r>
    </w:p>
    <w:p w14:paraId="557E971B" w14:textId="2028E907" w:rsidR="007C51B5" w:rsidRPr="0001227A" w:rsidRDefault="00EC4B3D" w:rsidP="0034241C">
      <w:pPr>
        <w:pStyle w:val="SingleTxtG"/>
        <w:rPr>
          <w:lang w:val="de-DE"/>
        </w:rPr>
      </w:pPr>
      <w:r w:rsidRPr="0001227A">
        <w:rPr>
          <w:lang w:val="de-DE"/>
        </w:rPr>
        <w:t>19</w:t>
      </w:r>
      <w:r w:rsidR="007C51B5" w:rsidRPr="0001227A">
        <w:rPr>
          <w:lang w:val="de-DE"/>
        </w:rPr>
        <w:t>.</w:t>
      </w:r>
      <w:r w:rsidR="007C51B5" w:rsidRPr="0001227A">
        <w:rPr>
          <w:lang w:val="de-DE"/>
        </w:rPr>
        <w:tab/>
      </w:r>
      <w:r w:rsidR="009266EC" w:rsidRPr="0034241C">
        <w:rPr>
          <w:lang w:val="de-DE"/>
        </w:rPr>
        <w:t xml:space="preserve">Im Anschluss an die Diskussion </w:t>
      </w:r>
      <w:r w:rsidR="00BF3837" w:rsidRPr="0034241C">
        <w:rPr>
          <w:lang w:val="de-DE"/>
        </w:rPr>
        <w:t>teilten</w:t>
      </w:r>
      <w:r w:rsidR="009266EC" w:rsidRPr="0034241C">
        <w:rPr>
          <w:lang w:val="de-DE"/>
        </w:rPr>
        <w:t xml:space="preserve"> der niederländische und der deutsche Vertreter</w:t>
      </w:r>
      <w:r w:rsidR="00BF3837" w:rsidRPr="0034241C">
        <w:rPr>
          <w:lang w:val="de-DE"/>
        </w:rPr>
        <w:t xml:space="preserve"> mit</w:t>
      </w:r>
      <w:r w:rsidR="009266EC" w:rsidRPr="0034241C">
        <w:rPr>
          <w:lang w:val="de-DE"/>
        </w:rPr>
        <w:t xml:space="preserve">, dass sie einen Vorschlag zur </w:t>
      </w:r>
      <w:r w:rsidR="001A14F8" w:rsidRPr="0034241C">
        <w:rPr>
          <w:lang w:val="de-DE"/>
        </w:rPr>
        <w:t>Definition</w:t>
      </w:r>
      <w:r w:rsidR="009266EC" w:rsidRPr="0034241C">
        <w:rPr>
          <w:lang w:val="de-DE"/>
        </w:rPr>
        <w:t xml:space="preserve"> der zugelassenen Behälter und </w:t>
      </w:r>
      <w:r w:rsidR="00851346" w:rsidRPr="0034241C">
        <w:rPr>
          <w:lang w:val="de-DE"/>
        </w:rPr>
        <w:t>deren</w:t>
      </w:r>
      <w:r w:rsidR="00F4676D" w:rsidRPr="0034241C">
        <w:rPr>
          <w:lang w:val="de-DE"/>
        </w:rPr>
        <w:t xml:space="preserve"> Bezettelung </w:t>
      </w:r>
      <w:r w:rsidR="00851346" w:rsidRPr="0034241C">
        <w:rPr>
          <w:lang w:val="de-DE"/>
        </w:rPr>
        <w:t>sowie</w:t>
      </w:r>
      <w:r w:rsidR="00F4676D" w:rsidRPr="0034241C">
        <w:rPr>
          <w:lang w:val="de-DE"/>
        </w:rPr>
        <w:t xml:space="preserve"> ggf. zur Wiedereinführung der</w:t>
      </w:r>
      <w:r w:rsidR="00F01093" w:rsidRPr="0034241C">
        <w:rPr>
          <w:lang w:val="de-DE"/>
        </w:rPr>
        <w:t xml:space="preserve"> früher</w:t>
      </w:r>
      <w:r w:rsidR="00F4676D" w:rsidRPr="0034241C">
        <w:rPr>
          <w:lang w:val="de-DE"/>
        </w:rPr>
        <w:t xml:space="preserve"> in Absatz 7.2.4.11.1</w:t>
      </w:r>
      <w:r w:rsidR="001262BC" w:rsidRPr="0034241C">
        <w:rPr>
          <w:lang w:val="de-DE"/>
        </w:rPr>
        <w:t xml:space="preserve"> geregelten</w:t>
      </w:r>
      <w:r w:rsidR="00F4676D" w:rsidRPr="0034241C">
        <w:rPr>
          <w:lang w:val="de-DE"/>
        </w:rPr>
        <w:t xml:space="preserve"> Ladungsbuchpflichten </w:t>
      </w:r>
      <w:r w:rsidR="001A14F8" w:rsidRPr="0034241C">
        <w:rPr>
          <w:lang w:val="de-DE"/>
        </w:rPr>
        <w:t>unterbreiten</w:t>
      </w:r>
      <w:r w:rsidR="00F4676D" w:rsidRPr="0034241C">
        <w:rPr>
          <w:lang w:val="de-DE"/>
        </w:rPr>
        <w:t xml:space="preserve"> würden</w:t>
      </w:r>
      <w:r w:rsidR="001262BC" w:rsidRPr="0034241C">
        <w:rPr>
          <w:lang w:val="de-DE"/>
        </w:rPr>
        <w:t>.</w:t>
      </w:r>
    </w:p>
    <w:p w14:paraId="7477C48A" w14:textId="2514DA6A" w:rsidR="007C51B5" w:rsidRPr="0001227A" w:rsidRDefault="007C51B5" w:rsidP="0034241C">
      <w:pPr>
        <w:pStyle w:val="H23G"/>
        <w:rPr>
          <w:lang w:val="de-DE"/>
        </w:rPr>
      </w:pPr>
      <w:r w:rsidRPr="0001227A">
        <w:rPr>
          <w:lang w:val="de-DE"/>
        </w:rPr>
        <w:tab/>
        <w:t>5.</w:t>
      </w:r>
      <w:r w:rsidRPr="0001227A">
        <w:rPr>
          <w:lang w:val="de-DE"/>
        </w:rPr>
        <w:tab/>
      </w:r>
      <w:r w:rsidR="00BF3837" w:rsidRPr="0034241C">
        <w:rPr>
          <w:lang w:val="de-DE"/>
        </w:rPr>
        <w:t>Absatz 9.3.3.13.3 ADN - Stabilität, Übergangsbestimmung für Tankschiffe des Typs N</w:t>
      </w:r>
    </w:p>
    <w:p w14:paraId="31BBEB41" w14:textId="343CCB5D" w:rsidR="007C51B5" w:rsidRPr="0001227A" w:rsidRDefault="00BF3837" w:rsidP="00BF3837">
      <w:pPr>
        <w:pStyle w:val="SingleTxtG"/>
        <w:rPr>
          <w:lang w:val="de-DE"/>
        </w:rPr>
      </w:pPr>
      <w:r w:rsidRPr="00BF3837">
        <w:rPr>
          <w:i/>
          <w:iCs/>
          <w:lang w:val="de-DE"/>
        </w:rPr>
        <w:t>Informelles Dokument:</w:t>
      </w:r>
      <w:r w:rsidR="007C51B5" w:rsidRPr="0001227A">
        <w:rPr>
          <w:lang w:val="de-DE"/>
        </w:rPr>
        <w:tab/>
      </w:r>
      <w:r w:rsidRPr="00BF3837">
        <w:rPr>
          <w:lang w:val="de-DE"/>
        </w:rPr>
        <w:t>INF.2 (Deutschland)</w:t>
      </w:r>
    </w:p>
    <w:p w14:paraId="113CDFAD" w14:textId="703CFA36" w:rsidR="007C51B5" w:rsidRPr="0001227A" w:rsidRDefault="00EC4B3D" w:rsidP="00DF0546">
      <w:pPr>
        <w:pStyle w:val="SingleTxtG"/>
        <w:rPr>
          <w:lang w:val="de-DE"/>
        </w:rPr>
      </w:pPr>
      <w:r w:rsidRPr="0001227A">
        <w:rPr>
          <w:lang w:val="de-DE"/>
        </w:rPr>
        <w:t>20</w:t>
      </w:r>
      <w:r w:rsidR="007C51B5" w:rsidRPr="0001227A">
        <w:rPr>
          <w:lang w:val="de-DE"/>
        </w:rPr>
        <w:t>.</w:t>
      </w:r>
      <w:r w:rsidR="007C51B5" w:rsidRPr="0001227A">
        <w:rPr>
          <w:lang w:val="de-DE"/>
        </w:rPr>
        <w:tab/>
      </w:r>
      <w:r w:rsidR="00652B0C" w:rsidRPr="00DF0546">
        <w:rPr>
          <w:lang w:val="de-DE"/>
        </w:rPr>
        <w:t>Da zu der vorgeschlagenen Auslegung kein Konsens bestand, wurden die empfohlenen ADN-Klassifikationsgesellschaften gebeten, sich in ihrer Sitzung im März</w:t>
      </w:r>
      <w:r w:rsidR="00D539E4">
        <w:rPr>
          <w:lang w:val="de-DE"/>
        </w:rPr>
        <w:t> </w:t>
      </w:r>
      <w:r w:rsidR="00652B0C" w:rsidRPr="00DF0546">
        <w:rPr>
          <w:lang w:val="de-DE"/>
        </w:rPr>
        <w:t>2017 mit dieser Angelegenheit zu befassen</w:t>
      </w:r>
      <w:r w:rsidR="00652B0C" w:rsidRPr="009323BB">
        <w:rPr>
          <w:lang w:val="de-DE"/>
        </w:rPr>
        <w:t>.</w:t>
      </w:r>
      <w:r w:rsidR="00B64F2D" w:rsidRPr="009323BB">
        <w:rPr>
          <w:lang w:val="de-DE"/>
        </w:rPr>
        <w:t xml:space="preserve"> Es </w:t>
      </w:r>
      <w:r w:rsidR="00A7044A" w:rsidRPr="009323BB">
        <w:rPr>
          <w:lang w:val="de-DE"/>
        </w:rPr>
        <w:t>wäre</w:t>
      </w:r>
      <w:r w:rsidR="00B64F2D" w:rsidRPr="009323BB">
        <w:rPr>
          <w:lang w:val="de-DE"/>
        </w:rPr>
        <w:t xml:space="preserve"> wünschenswert</w:t>
      </w:r>
      <w:r w:rsidR="00B64F2D" w:rsidRPr="00DF0546">
        <w:rPr>
          <w:lang w:val="de-DE"/>
        </w:rPr>
        <w:t xml:space="preserve">, </w:t>
      </w:r>
      <w:r w:rsidR="00DF0546" w:rsidRPr="00DF0546">
        <w:rPr>
          <w:lang w:val="de-DE"/>
        </w:rPr>
        <w:t xml:space="preserve">wenn </w:t>
      </w:r>
      <w:r w:rsidR="00B64F2D" w:rsidRPr="00DF0546">
        <w:rPr>
          <w:lang w:val="de-DE"/>
        </w:rPr>
        <w:t>das Thema in der nächsten Sitzung auf der Grundlage eines offiziellen Dokumentes behandel</w:t>
      </w:r>
      <w:r w:rsidR="00DF0546" w:rsidRPr="00DF0546">
        <w:rPr>
          <w:lang w:val="de-DE"/>
        </w:rPr>
        <w:t>t werde</w:t>
      </w:r>
      <w:r w:rsidR="00B64F2D" w:rsidRPr="00DF0546">
        <w:rPr>
          <w:lang w:val="de-DE"/>
        </w:rPr>
        <w:t>n</w:t>
      </w:r>
      <w:r w:rsidR="00DF0546" w:rsidRPr="00DF0546">
        <w:rPr>
          <w:lang w:val="de-DE"/>
        </w:rPr>
        <w:t xml:space="preserve"> könnte</w:t>
      </w:r>
      <w:r w:rsidR="00B64F2D" w:rsidRPr="00DF0546">
        <w:rPr>
          <w:lang w:val="de-DE"/>
        </w:rPr>
        <w:t>.</w:t>
      </w:r>
    </w:p>
    <w:p w14:paraId="675DB920" w14:textId="0AB4544D" w:rsidR="007C51B5" w:rsidRPr="0001227A" w:rsidRDefault="007C51B5" w:rsidP="00A23C4E">
      <w:pPr>
        <w:pStyle w:val="H23G"/>
        <w:rPr>
          <w:lang w:val="de-DE"/>
        </w:rPr>
      </w:pPr>
      <w:r w:rsidRPr="0001227A">
        <w:rPr>
          <w:lang w:val="de-DE"/>
        </w:rPr>
        <w:tab/>
        <w:t>6.</w:t>
      </w:r>
      <w:r w:rsidRPr="0001227A">
        <w:rPr>
          <w:lang w:val="de-DE"/>
        </w:rPr>
        <w:tab/>
      </w:r>
      <w:r w:rsidR="00A23C4E" w:rsidRPr="00A23C4E">
        <w:rPr>
          <w:lang w:val="de-DE"/>
        </w:rPr>
        <w:t>Stabilitätsnachweis (9.3.X.13 ADN)</w:t>
      </w:r>
    </w:p>
    <w:p w14:paraId="1193F332" w14:textId="1C70D163" w:rsidR="007C51B5" w:rsidRPr="0001227A" w:rsidRDefault="00A23C4E" w:rsidP="00A23C4E">
      <w:pPr>
        <w:pStyle w:val="SingleTxtG"/>
        <w:rPr>
          <w:lang w:val="de-DE"/>
        </w:rPr>
      </w:pPr>
      <w:r w:rsidRPr="00A23C4E">
        <w:rPr>
          <w:i/>
          <w:iCs/>
          <w:lang w:val="de-DE"/>
        </w:rPr>
        <w:t>Informelles Dokument:</w:t>
      </w:r>
      <w:r w:rsidR="007C51B5" w:rsidRPr="0001227A">
        <w:rPr>
          <w:lang w:val="de-DE"/>
        </w:rPr>
        <w:tab/>
      </w:r>
      <w:r w:rsidRPr="00A23C4E">
        <w:rPr>
          <w:lang w:val="de-DE"/>
        </w:rPr>
        <w:t>INF.3 (Deutschland)</w:t>
      </w:r>
    </w:p>
    <w:p w14:paraId="73E56E39" w14:textId="08119482" w:rsidR="007C51B5" w:rsidRPr="0001227A" w:rsidRDefault="00EC4B3D" w:rsidP="00DF0546">
      <w:pPr>
        <w:pStyle w:val="SingleTxtG"/>
        <w:rPr>
          <w:lang w:val="de-DE"/>
        </w:rPr>
      </w:pPr>
      <w:r w:rsidRPr="0001227A">
        <w:rPr>
          <w:lang w:val="de-DE"/>
        </w:rPr>
        <w:t>21</w:t>
      </w:r>
      <w:r w:rsidR="007C51B5" w:rsidRPr="0001227A">
        <w:rPr>
          <w:lang w:val="de-DE"/>
        </w:rPr>
        <w:t>.</w:t>
      </w:r>
      <w:r w:rsidR="007C51B5" w:rsidRPr="0001227A">
        <w:rPr>
          <w:lang w:val="de-DE"/>
        </w:rPr>
        <w:tab/>
      </w:r>
      <w:r w:rsidR="00A23C4E" w:rsidRPr="00DF0546">
        <w:rPr>
          <w:lang w:val="de-DE"/>
        </w:rPr>
        <w:t xml:space="preserve">Die empfohlenen ADN-Klassifikationsgesellschaften wurden gebeten, für die Sitzung im Januar 2018 einen Bericht über die </w:t>
      </w:r>
      <w:r w:rsidR="00EF4C04" w:rsidRPr="00DF0546">
        <w:rPr>
          <w:lang w:val="de-DE"/>
        </w:rPr>
        <w:t xml:space="preserve">konkrete Umsetzung der neuen Bestimmungen zur Stabilitätskontrolle </w:t>
      </w:r>
      <w:r w:rsidR="00F30E7A" w:rsidRPr="00DF0546">
        <w:rPr>
          <w:lang w:val="de-DE"/>
        </w:rPr>
        <w:t>(im Zusammenhang mit der Umsetzung des multilateralen Abkommens M 016) zu erstellen.</w:t>
      </w:r>
    </w:p>
    <w:p w14:paraId="43C26F3A" w14:textId="3DFAEEB2" w:rsidR="007C51B5" w:rsidRPr="0001227A" w:rsidRDefault="007C51B5" w:rsidP="00DF0546">
      <w:pPr>
        <w:pStyle w:val="H23G"/>
        <w:rPr>
          <w:lang w:val="de-DE"/>
        </w:rPr>
      </w:pPr>
      <w:r w:rsidRPr="0001227A">
        <w:rPr>
          <w:lang w:val="de-DE"/>
        </w:rPr>
        <w:tab/>
        <w:t>7.</w:t>
      </w:r>
      <w:r w:rsidRPr="0001227A">
        <w:rPr>
          <w:lang w:val="de-DE"/>
        </w:rPr>
        <w:tab/>
      </w:r>
      <w:r w:rsidR="0076076D" w:rsidRPr="00DF0546">
        <w:rPr>
          <w:lang w:val="de-DE"/>
        </w:rPr>
        <w:t>Auslegung des Unterabschnitts 1.15.2.4 und des Absatzes 9.2.0.88.1</w:t>
      </w:r>
    </w:p>
    <w:p w14:paraId="1531DAEA" w14:textId="5FBE4629" w:rsidR="007C51B5" w:rsidRPr="0001227A" w:rsidRDefault="0076076D" w:rsidP="0076076D">
      <w:pPr>
        <w:pStyle w:val="SingleTxtG"/>
        <w:rPr>
          <w:lang w:val="de-DE"/>
        </w:rPr>
      </w:pPr>
      <w:r w:rsidRPr="0076076D">
        <w:rPr>
          <w:i/>
          <w:iCs/>
          <w:lang w:val="de-DE"/>
        </w:rPr>
        <w:t>Informelles Dokument:</w:t>
      </w:r>
      <w:r w:rsidR="007C51B5" w:rsidRPr="0001227A">
        <w:rPr>
          <w:lang w:val="de-DE"/>
        </w:rPr>
        <w:tab/>
      </w:r>
      <w:r w:rsidRPr="0076076D">
        <w:rPr>
          <w:lang w:val="de-DE"/>
        </w:rPr>
        <w:t>INF.7 (Frankreich)</w:t>
      </w:r>
    </w:p>
    <w:p w14:paraId="34A80A7E" w14:textId="52550E94" w:rsidR="007C51B5" w:rsidRPr="0001227A" w:rsidRDefault="00EC4B3D" w:rsidP="00DF0546">
      <w:pPr>
        <w:pStyle w:val="SingleTxtG"/>
        <w:rPr>
          <w:lang w:val="de-DE"/>
        </w:rPr>
      </w:pPr>
      <w:r w:rsidRPr="0001227A">
        <w:rPr>
          <w:lang w:val="de-DE"/>
        </w:rPr>
        <w:t>22</w:t>
      </w:r>
      <w:r w:rsidR="007C51B5" w:rsidRPr="0001227A">
        <w:rPr>
          <w:lang w:val="de-DE"/>
        </w:rPr>
        <w:t>.</w:t>
      </w:r>
      <w:r w:rsidR="007C51B5" w:rsidRPr="0001227A">
        <w:rPr>
          <w:lang w:val="de-DE"/>
        </w:rPr>
        <w:tab/>
      </w:r>
      <w:r w:rsidR="0076076D" w:rsidRPr="00DF0546">
        <w:rPr>
          <w:lang w:val="de-DE"/>
        </w:rPr>
        <w:t xml:space="preserve">Der Sicherheitsausschuss bestätigte, dass die Vertragsparteien </w:t>
      </w:r>
      <w:r w:rsidR="00B7540F" w:rsidRPr="00DF0546">
        <w:rPr>
          <w:lang w:val="de-DE"/>
        </w:rPr>
        <w:t xml:space="preserve">die </w:t>
      </w:r>
      <w:r w:rsidR="00A022A8" w:rsidRPr="00DF0546">
        <w:rPr>
          <w:lang w:val="de-DE"/>
        </w:rPr>
        <w:t xml:space="preserve">von ihnen anzuerkennenden </w:t>
      </w:r>
      <w:r w:rsidR="00B7540F" w:rsidRPr="00DF0546">
        <w:rPr>
          <w:lang w:val="de-DE"/>
        </w:rPr>
        <w:t xml:space="preserve">empfohlenen ADN-Klassifikationsgesellschaften aus der in Unterabschnitt </w:t>
      </w:r>
      <w:r w:rsidR="00A022A8" w:rsidRPr="00DF0546">
        <w:rPr>
          <w:lang w:val="de-DE"/>
        </w:rPr>
        <w:t xml:space="preserve">1.15.2.3 genannten </w:t>
      </w:r>
      <w:r w:rsidR="00B7540F" w:rsidRPr="00DF0546">
        <w:rPr>
          <w:lang w:val="de-DE"/>
        </w:rPr>
        <w:t xml:space="preserve">Liste </w:t>
      </w:r>
      <w:r w:rsidR="002A26E0" w:rsidRPr="00DF0546">
        <w:rPr>
          <w:lang w:val="de-DE"/>
        </w:rPr>
        <w:t>auswählen können</w:t>
      </w:r>
      <w:r w:rsidR="00DF0546" w:rsidRPr="00DF0546">
        <w:rPr>
          <w:lang w:val="de-DE"/>
        </w:rPr>
        <w:t>,</w:t>
      </w:r>
      <w:r w:rsidR="00B62254" w:rsidRPr="00DF0546">
        <w:rPr>
          <w:lang w:val="de-DE"/>
        </w:rPr>
        <w:t xml:space="preserve"> und nicht </w:t>
      </w:r>
      <w:r w:rsidR="009A21D0" w:rsidRPr="00DF0546">
        <w:rPr>
          <w:lang w:val="de-DE"/>
        </w:rPr>
        <w:t xml:space="preserve">zur Anerkennung aller Klassifikationsgesellschaften </w:t>
      </w:r>
      <w:r w:rsidR="00B62254" w:rsidRPr="00DF0546">
        <w:rPr>
          <w:lang w:val="de-DE"/>
        </w:rPr>
        <w:t>verpflichtet</w:t>
      </w:r>
      <w:r w:rsidR="009A21D0" w:rsidRPr="00DF0546">
        <w:rPr>
          <w:lang w:val="de-DE"/>
        </w:rPr>
        <w:t xml:space="preserve"> sind</w:t>
      </w:r>
      <w:r w:rsidR="002A26E0" w:rsidRPr="00DF0546">
        <w:rPr>
          <w:lang w:val="de-DE"/>
        </w:rPr>
        <w:t>.</w:t>
      </w:r>
    </w:p>
    <w:p w14:paraId="2DA74231" w14:textId="36F365A8" w:rsidR="007C51B5" w:rsidRPr="0001227A" w:rsidRDefault="00EC4B3D" w:rsidP="00DF0546">
      <w:pPr>
        <w:pStyle w:val="SingleTxtG"/>
        <w:rPr>
          <w:lang w:val="de-DE"/>
        </w:rPr>
      </w:pPr>
      <w:r w:rsidRPr="0001227A">
        <w:rPr>
          <w:lang w:val="de-DE"/>
        </w:rPr>
        <w:t>23</w:t>
      </w:r>
      <w:r w:rsidR="007C51B5" w:rsidRPr="0001227A">
        <w:rPr>
          <w:lang w:val="de-DE"/>
        </w:rPr>
        <w:t>.</w:t>
      </w:r>
      <w:r w:rsidR="007C51B5" w:rsidRPr="0001227A">
        <w:rPr>
          <w:lang w:val="de-DE"/>
        </w:rPr>
        <w:tab/>
      </w:r>
      <w:r w:rsidR="00E36476" w:rsidRPr="00DF0546">
        <w:rPr>
          <w:lang w:val="de-DE"/>
        </w:rPr>
        <w:t>Der Sicherheitsausschuss bestätigte ferner, dass Kapitel 9.2 nur für Seeschiffe gilt.</w:t>
      </w:r>
      <w:r w:rsidR="007C51B5" w:rsidRPr="0001227A">
        <w:rPr>
          <w:lang w:val="de-DE"/>
        </w:rPr>
        <w:t xml:space="preserve"> </w:t>
      </w:r>
      <w:r w:rsidR="003A5F9C" w:rsidRPr="00DF0546">
        <w:rPr>
          <w:lang w:val="de-DE"/>
        </w:rPr>
        <w:t>Um Missverständnisse</w:t>
      </w:r>
      <w:r w:rsidR="00723B65" w:rsidRPr="00DF0546">
        <w:rPr>
          <w:lang w:val="de-DE"/>
        </w:rPr>
        <w:t>n</w:t>
      </w:r>
      <w:r w:rsidR="003A5F9C" w:rsidRPr="00DF0546">
        <w:rPr>
          <w:lang w:val="de-DE"/>
        </w:rPr>
        <w:t xml:space="preserve"> </w:t>
      </w:r>
      <w:r w:rsidR="00723B65" w:rsidRPr="00DF0546">
        <w:rPr>
          <w:lang w:val="de-DE"/>
        </w:rPr>
        <w:t>vor</w:t>
      </w:r>
      <w:r w:rsidR="003A5F9C" w:rsidRPr="00DF0546">
        <w:rPr>
          <w:lang w:val="de-DE"/>
        </w:rPr>
        <w:t>zu</w:t>
      </w:r>
      <w:r w:rsidR="00723B65" w:rsidRPr="00DF0546">
        <w:rPr>
          <w:lang w:val="de-DE"/>
        </w:rPr>
        <w:t>beugen</w:t>
      </w:r>
      <w:r w:rsidR="003A5F9C" w:rsidRPr="00DF0546">
        <w:rPr>
          <w:lang w:val="de-DE"/>
        </w:rPr>
        <w:t>, sollte der Ausdruck „Schiff“, soweit er in diesem Kapitel verwendet wird, durch „Seeschiff“ ersetzt werden (siehe Anlage I).</w:t>
      </w:r>
      <w:r w:rsidR="006B587D" w:rsidRPr="0001227A">
        <w:rPr>
          <w:lang w:val="de-DE"/>
        </w:rPr>
        <w:t xml:space="preserve"> </w:t>
      </w:r>
      <w:r w:rsidR="002352D5" w:rsidRPr="00DF0546">
        <w:rPr>
          <w:lang w:val="de-DE"/>
        </w:rPr>
        <w:t xml:space="preserve">Die in Absatz 9.2.0.88.1 genannte Bescheinigung muss von einer der im </w:t>
      </w:r>
      <w:r w:rsidR="003E4044" w:rsidRPr="00DF0546">
        <w:rPr>
          <w:lang w:val="de-DE"/>
        </w:rPr>
        <w:t xml:space="preserve">Rahmen des </w:t>
      </w:r>
      <w:r w:rsidR="002352D5" w:rsidRPr="00DF0546">
        <w:rPr>
          <w:lang w:val="de-DE"/>
        </w:rPr>
        <w:t>ADN anerkannten Klassifikationsgesellschaften ausgestellt sein.</w:t>
      </w:r>
    </w:p>
    <w:p w14:paraId="04A3110B" w14:textId="1E57333E" w:rsidR="007C51B5" w:rsidRPr="0001227A" w:rsidRDefault="007C51B5" w:rsidP="00DF0546">
      <w:pPr>
        <w:pStyle w:val="H23G"/>
        <w:rPr>
          <w:lang w:val="de-DE"/>
        </w:rPr>
      </w:pPr>
      <w:r w:rsidRPr="0001227A">
        <w:rPr>
          <w:lang w:val="de-DE"/>
        </w:rPr>
        <w:tab/>
        <w:t>8.</w:t>
      </w:r>
      <w:r w:rsidRPr="0001227A">
        <w:rPr>
          <w:lang w:val="de-DE"/>
        </w:rPr>
        <w:tab/>
      </w:r>
      <w:r w:rsidR="002352D5" w:rsidRPr="00DF0546">
        <w:rPr>
          <w:lang w:val="de-DE"/>
        </w:rPr>
        <w:t>Misch</w:t>
      </w:r>
      <w:r w:rsidR="008F2801" w:rsidRPr="00DF0546">
        <w:rPr>
          <w:lang w:val="de-DE"/>
        </w:rPr>
        <w:t>arbeit</w:t>
      </w:r>
      <w:r w:rsidR="002352D5" w:rsidRPr="00DF0546">
        <w:rPr>
          <w:lang w:val="de-DE"/>
        </w:rPr>
        <w:t>en an Bord von Tankschiffen</w:t>
      </w:r>
    </w:p>
    <w:p w14:paraId="7ED19228" w14:textId="20E5A73D" w:rsidR="007C51B5" w:rsidRPr="0001227A" w:rsidRDefault="002352D5" w:rsidP="002352D5">
      <w:pPr>
        <w:pStyle w:val="SingleTxtG"/>
        <w:rPr>
          <w:lang w:val="de-DE"/>
        </w:rPr>
      </w:pPr>
      <w:r w:rsidRPr="002352D5">
        <w:rPr>
          <w:i/>
          <w:iCs/>
          <w:lang w:val="de-DE"/>
        </w:rPr>
        <w:t>Informelles Dokument:</w:t>
      </w:r>
      <w:r w:rsidR="007C51B5" w:rsidRPr="0001227A">
        <w:rPr>
          <w:lang w:val="de-DE"/>
        </w:rPr>
        <w:tab/>
        <w:t>INF.15 (FETSA)</w:t>
      </w:r>
    </w:p>
    <w:p w14:paraId="48E10D74" w14:textId="61C2BB9D" w:rsidR="007C51B5" w:rsidRPr="0001227A" w:rsidRDefault="00EC4B3D" w:rsidP="00DF0546">
      <w:pPr>
        <w:pStyle w:val="SingleTxtG"/>
        <w:rPr>
          <w:lang w:val="de-DE"/>
        </w:rPr>
      </w:pPr>
      <w:r w:rsidRPr="0001227A">
        <w:rPr>
          <w:lang w:val="de-DE"/>
        </w:rPr>
        <w:t>24</w:t>
      </w:r>
      <w:r w:rsidR="007C51B5" w:rsidRPr="0001227A">
        <w:rPr>
          <w:lang w:val="de-DE"/>
        </w:rPr>
        <w:t>.</w:t>
      </w:r>
      <w:r w:rsidR="007C51B5" w:rsidRPr="0001227A">
        <w:rPr>
          <w:lang w:val="de-DE"/>
        </w:rPr>
        <w:tab/>
      </w:r>
      <w:r w:rsidR="00263BA0" w:rsidRPr="00DF0546">
        <w:rPr>
          <w:lang w:val="de-DE"/>
        </w:rPr>
        <w:t>Die Vertreter der ADN-Vertragsparteien waren grundsätzlich der Auffassung, dass Mischarbeiten an Bord von Tankschiffen während der Fahrt im Rahmen des ADN nicht erlaubt sind</w:t>
      </w:r>
      <w:r w:rsidR="00930E1E" w:rsidRPr="00DF0546">
        <w:rPr>
          <w:lang w:val="de-DE"/>
        </w:rPr>
        <w:t xml:space="preserve">, da das ADN für die Beförderung bestimmter Güter von Punkt A nach Punkt B </w:t>
      </w:r>
      <w:r w:rsidR="00DF0546" w:rsidRPr="00DF0546">
        <w:rPr>
          <w:lang w:val="de-DE"/>
        </w:rPr>
        <w:t>auf der Grundlage</w:t>
      </w:r>
      <w:r w:rsidR="00930E1E" w:rsidRPr="00DF0546">
        <w:rPr>
          <w:lang w:val="de-DE"/>
        </w:rPr>
        <w:t xml:space="preserve"> eines Beförderungspapiers gilt, das spezifische Angaben zur Ladung enthält, die während der Beförderung nicht geändert werden können.</w:t>
      </w:r>
    </w:p>
    <w:p w14:paraId="7CCDFDF8" w14:textId="48C5E46A" w:rsidR="00293CE4" w:rsidRPr="0001227A" w:rsidRDefault="00EC4B3D" w:rsidP="003D0A32">
      <w:pPr>
        <w:pStyle w:val="SingleTxtG"/>
        <w:rPr>
          <w:lang w:val="de-DE"/>
        </w:rPr>
      </w:pPr>
      <w:r w:rsidRPr="0001227A">
        <w:rPr>
          <w:lang w:val="de-DE"/>
        </w:rPr>
        <w:t>25</w:t>
      </w:r>
      <w:r w:rsidR="007C51B5" w:rsidRPr="0001227A">
        <w:rPr>
          <w:lang w:val="de-DE"/>
        </w:rPr>
        <w:t>.</w:t>
      </w:r>
      <w:r w:rsidR="007C51B5" w:rsidRPr="0001227A">
        <w:rPr>
          <w:lang w:val="de-DE"/>
        </w:rPr>
        <w:tab/>
      </w:r>
      <w:r w:rsidR="00FF6B7A" w:rsidRPr="00DF0546">
        <w:rPr>
          <w:lang w:val="de-DE"/>
        </w:rPr>
        <w:t xml:space="preserve">Der Sicherheitsausschuss stellte gleichwohl fest, dass bestimmte Mischarbeiten erlaubt werden könnten, wenn sie vor der Beförderung am Liegeplatz </w:t>
      </w:r>
      <w:r w:rsidR="00D35C94" w:rsidRPr="00DF0546">
        <w:rPr>
          <w:lang w:val="de-DE"/>
        </w:rPr>
        <w:t>d</w:t>
      </w:r>
      <w:r w:rsidR="00FF6B7A" w:rsidRPr="00DF0546">
        <w:rPr>
          <w:lang w:val="de-DE"/>
        </w:rPr>
        <w:t>u</w:t>
      </w:r>
      <w:r w:rsidR="00D35C94" w:rsidRPr="00DF0546">
        <w:rPr>
          <w:lang w:val="de-DE"/>
        </w:rPr>
        <w:t>rch</w:t>
      </w:r>
      <w:r w:rsidR="00FF6B7A" w:rsidRPr="00DF0546">
        <w:rPr>
          <w:lang w:val="de-DE"/>
        </w:rPr>
        <w:t>geführt werden.</w:t>
      </w:r>
      <w:r w:rsidR="007C51B5" w:rsidRPr="0001227A">
        <w:rPr>
          <w:lang w:val="de-DE"/>
        </w:rPr>
        <w:t xml:space="preserve"> </w:t>
      </w:r>
      <w:r w:rsidR="00D35C94" w:rsidRPr="003D0A32">
        <w:rPr>
          <w:lang w:val="de-DE"/>
        </w:rPr>
        <w:t xml:space="preserve">Der </w:t>
      </w:r>
      <w:r w:rsidR="00DF0546" w:rsidRPr="003D0A32">
        <w:rPr>
          <w:lang w:val="de-DE"/>
        </w:rPr>
        <w:t>FETSA-</w:t>
      </w:r>
      <w:r w:rsidR="00D35C94" w:rsidRPr="003D0A32">
        <w:rPr>
          <w:lang w:val="de-DE"/>
        </w:rPr>
        <w:t xml:space="preserve">Vertreter </w:t>
      </w:r>
      <w:r w:rsidR="00D535FB" w:rsidRPr="003D0A32">
        <w:rPr>
          <w:lang w:val="de-DE"/>
        </w:rPr>
        <w:t>wurde daher gebeten,</w:t>
      </w:r>
      <w:r w:rsidR="00D35C94" w:rsidRPr="003D0A32">
        <w:rPr>
          <w:lang w:val="de-DE"/>
        </w:rPr>
        <w:t xml:space="preserve"> </w:t>
      </w:r>
      <w:r w:rsidR="00D535FB" w:rsidRPr="003D0A32">
        <w:rPr>
          <w:lang w:val="de-DE"/>
        </w:rPr>
        <w:t>mehr Informationen zu den Mischarbeiten bereitzustellen.</w:t>
      </w:r>
    </w:p>
    <w:p w14:paraId="218F56A4" w14:textId="77777777" w:rsidR="00C1649F" w:rsidRDefault="00AF6464" w:rsidP="00D535FB">
      <w:pPr>
        <w:pStyle w:val="H23G"/>
        <w:rPr>
          <w:lang w:val="de-DE"/>
        </w:rPr>
      </w:pPr>
      <w:r w:rsidRPr="0001227A">
        <w:rPr>
          <w:lang w:val="de-DE"/>
        </w:rPr>
        <w:tab/>
      </w:r>
    </w:p>
    <w:p w14:paraId="05950357" w14:textId="59E3B0F3" w:rsidR="00AF6464" w:rsidRPr="0001227A" w:rsidRDefault="00C1649F" w:rsidP="00C1649F">
      <w:pPr>
        <w:pStyle w:val="H23G"/>
        <w:ind w:hanging="567"/>
        <w:rPr>
          <w:lang w:val="de-DE"/>
        </w:rPr>
      </w:pPr>
      <w:r>
        <w:rPr>
          <w:lang w:val="de-DE"/>
        </w:rPr>
        <w:br w:type="page"/>
      </w:r>
      <w:r w:rsidR="00AF6464" w:rsidRPr="0001227A">
        <w:rPr>
          <w:lang w:val="de-DE"/>
        </w:rPr>
        <w:lastRenderedPageBreak/>
        <w:t>9.</w:t>
      </w:r>
      <w:r>
        <w:rPr>
          <w:lang w:val="de-DE"/>
        </w:rPr>
        <w:tab/>
      </w:r>
      <w:r w:rsidR="00AF6464" w:rsidRPr="0001227A">
        <w:rPr>
          <w:lang w:val="de-DE"/>
        </w:rPr>
        <w:tab/>
      </w:r>
      <w:r w:rsidR="00D535FB" w:rsidRPr="00D535FB">
        <w:rPr>
          <w:lang w:val="de-DE"/>
        </w:rPr>
        <w:t>Beförderung der UN-Nr. 2057 TRIPROPYLEN in Tankschiffen</w:t>
      </w:r>
    </w:p>
    <w:p w14:paraId="40ADD7FA" w14:textId="79E270EA" w:rsidR="00AF6464" w:rsidRPr="0001227A" w:rsidRDefault="00D535FB" w:rsidP="00D535FB">
      <w:pPr>
        <w:pStyle w:val="SingleTxtG"/>
        <w:rPr>
          <w:lang w:val="de-DE"/>
        </w:rPr>
      </w:pPr>
      <w:r w:rsidRPr="00D535FB">
        <w:rPr>
          <w:i/>
          <w:iCs/>
          <w:lang w:val="de-DE"/>
        </w:rPr>
        <w:t>Informelles Dokument:</w:t>
      </w:r>
      <w:r w:rsidR="00AF6464" w:rsidRPr="0001227A">
        <w:rPr>
          <w:lang w:val="de-DE"/>
        </w:rPr>
        <w:tab/>
      </w:r>
      <w:r w:rsidRPr="00D535FB">
        <w:rPr>
          <w:lang w:val="de-DE"/>
        </w:rPr>
        <w:t>INF.25 (CEFIC)</w:t>
      </w:r>
    </w:p>
    <w:p w14:paraId="68437493" w14:textId="5271C1B8" w:rsidR="00AF6464" w:rsidRPr="0001227A" w:rsidRDefault="00EC4B3D" w:rsidP="007B5629">
      <w:pPr>
        <w:pStyle w:val="SingleTxtG"/>
        <w:rPr>
          <w:lang w:val="de-DE"/>
        </w:rPr>
      </w:pPr>
      <w:r w:rsidRPr="0001227A">
        <w:rPr>
          <w:lang w:val="de-DE"/>
        </w:rPr>
        <w:t>26</w:t>
      </w:r>
      <w:r w:rsidR="00AF6464" w:rsidRPr="0001227A">
        <w:rPr>
          <w:lang w:val="de-DE"/>
        </w:rPr>
        <w:t>.</w:t>
      </w:r>
      <w:r w:rsidR="00AF6464" w:rsidRPr="0001227A">
        <w:rPr>
          <w:lang w:val="de-DE"/>
        </w:rPr>
        <w:tab/>
      </w:r>
      <w:r w:rsidR="00D535FB" w:rsidRPr="007B5629">
        <w:rPr>
          <w:lang w:val="de-DE"/>
        </w:rPr>
        <w:t xml:space="preserve">Einige Delegationen widersprachen der Ansicht des CEFIC, dass eine Änderung </w:t>
      </w:r>
      <w:r w:rsidR="00185AE7" w:rsidRPr="007B5629">
        <w:rPr>
          <w:lang w:val="de-DE"/>
        </w:rPr>
        <w:t>der Klassifizierung eines Stoffes in Tabelle C</w:t>
      </w:r>
      <w:r w:rsidR="00D535FB" w:rsidRPr="007B5629">
        <w:rPr>
          <w:lang w:val="de-DE"/>
        </w:rPr>
        <w:t xml:space="preserve"> </w:t>
      </w:r>
      <w:r w:rsidR="00185AE7" w:rsidRPr="007B5629">
        <w:rPr>
          <w:lang w:val="de-DE"/>
        </w:rPr>
        <w:t xml:space="preserve">auf der Grundlage der neuen Bestimmungen des Unterabschnitts 2.1.2.8 akzeptiert werden könnte. Dieser Unterabschnitt sei nur anwendbar, wenn anhand von Prüfdaten nachgewiesen werde, </w:t>
      </w:r>
      <w:r w:rsidR="00C67892" w:rsidRPr="007B5629">
        <w:rPr>
          <w:lang w:val="de-DE"/>
        </w:rPr>
        <w:t>dass ein in Tabelle</w:t>
      </w:r>
      <w:r w:rsidR="00185AE7" w:rsidRPr="007B5629">
        <w:rPr>
          <w:lang w:val="de-DE"/>
        </w:rPr>
        <w:t xml:space="preserve"> </w:t>
      </w:r>
      <w:r w:rsidR="00E47D2B" w:rsidRPr="007B5629">
        <w:rPr>
          <w:lang w:val="de-DE"/>
        </w:rPr>
        <w:t xml:space="preserve">A aufgeführter Stoff </w:t>
      </w:r>
      <w:r w:rsidR="007C7C09" w:rsidRPr="007B5629">
        <w:rPr>
          <w:lang w:val="de-DE"/>
        </w:rPr>
        <w:t>den Klassifikationskriterien einer zusätzlichen, nicht in Tabelle A genannten Klasse entspricht</w:t>
      </w:r>
      <w:r w:rsidR="00385374" w:rsidRPr="007B5629">
        <w:rPr>
          <w:lang w:val="de-DE"/>
        </w:rPr>
        <w:t>, was in dem fraglichen Fall nicht zutreffe</w:t>
      </w:r>
      <w:r w:rsidR="007C7C09" w:rsidRPr="007B5629">
        <w:rPr>
          <w:lang w:val="de-DE"/>
        </w:rPr>
        <w:t>.</w:t>
      </w:r>
      <w:r w:rsidR="00AF6464" w:rsidRPr="0001227A">
        <w:rPr>
          <w:lang w:val="de-DE"/>
        </w:rPr>
        <w:t xml:space="preserve"> </w:t>
      </w:r>
      <w:r w:rsidR="007D38C7" w:rsidRPr="007B5629">
        <w:rPr>
          <w:lang w:val="de-DE"/>
        </w:rPr>
        <w:t xml:space="preserve">Der Sicherheitsausschuss bestätigte, dass die Angabe „N3“ in </w:t>
      </w:r>
      <w:r w:rsidR="004B7273" w:rsidRPr="007B5629">
        <w:rPr>
          <w:lang w:val="de-DE"/>
        </w:rPr>
        <w:t xml:space="preserve">Tabelle C </w:t>
      </w:r>
      <w:r w:rsidR="007D38C7" w:rsidRPr="007B5629">
        <w:rPr>
          <w:lang w:val="de-DE"/>
        </w:rPr>
        <w:t xml:space="preserve">Spalte (5) </w:t>
      </w:r>
      <w:r w:rsidR="004B7273" w:rsidRPr="007B5629">
        <w:rPr>
          <w:lang w:val="de-DE"/>
        </w:rPr>
        <w:t>für UN-Nummer 2057</w:t>
      </w:r>
      <w:r w:rsidR="007D38C7" w:rsidRPr="007B5629">
        <w:rPr>
          <w:lang w:val="de-DE"/>
        </w:rPr>
        <w:t xml:space="preserve"> auf der Grundlage der vom CEFIC vorgelegten Informationen </w:t>
      </w:r>
      <w:r w:rsidR="004B7273" w:rsidRPr="007B5629">
        <w:rPr>
          <w:lang w:val="de-DE"/>
        </w:rPr>
        <w:t xml:space="preserve">in „N1“ geändert werden </w:t>
      </w:r>
      <w:r w:rsidR="00602203" w:rsidRPr="007B5629">
        <w:rPr>
          <w:lang w:val="de-DE"/>
        </w:rPr>
        <w:t>sollte, mit der Folge, dass für die Beförderung dieses Stoffes statt eines Typ-N-Schiffes ein Schiff des Typs C zu verwenden ist.</w:t>
      </w:r>
      <w:r w:rsidR="00CF2E73" w:rsidRPr="0001227A">
        <w:rPr>
          <w:lang w:val="de-DE"/>
        </w:rPr>
        <w:t xml:space="preserve"> </w:t>
      </w:r>
      <w:r w:rsidR="00940DDA" w:rsidRPr="007B5629">
        <w:rPr>
          <w:lang w:val="de-DE"/>
        </w:rPr>
        <w:t xml:space="preserve">Da die Anforderungen für Schiffe des Typs C strenger sind als für Typ-N-Schiffe, ist </w:t>
      </w:r>
      <w:r w:rsidR="00F556F3" w:rsidRPr="007B5629">
        <w:rPr>
          <w:lang w:val="de-DE"/>
        </w:rPr>
        <w:t xml:space="preserve">gemäß Absatz 7.2.1.21.5 </w:t>
      </w:r>
      <w:r w:rsidR="00940DDA" w:rsidRPr="007B5629">
        <w:rPr>
          <w:lang w:val="de-DE"/>
        </w:rPr>
        <w:t xml:space="preserve">die Verwendung eines Tankschiffs des Typs C möglich, </w:t>
      </w:r>
      <w:r w:rsidR="00F556F3" w:rsidRPr="007B5629">
        <w:rPr>
          <w:lang w:val="de-DE"/>
        </w:rPr>
        <w:t xml:space="preserve">allerdings sollte ein multilaterales Abkommen initiiert werden, um </w:t>
      </w:r>
      <w:r w:rsidR="00477F0A" w:rsidRPr="007B5629">
        <w:rPr>
          <w:lang w:val="de-DE"/>
        </w:rPr>
        <w:t xml:space="preserve">statt </w:t>
      </w:r>
      <w:r w:rsidR="00F556F3" w:rsidRPr="007B5629">
        <w:rPr>
          <w:lang w:val="de-DE"/>
        </w:rPr>
        <w:t>„N1“ die Angabe „N3“ zu erlauben.</w:t>
      </w:r>
    </w:p>
    <w:p w14:paraId="7EDC14AC" w14:textId="254A5632" w:rsidR="00AF6464" w:rsidRPr="0001227A" w:rsidRDefault="00EC4B3D" w:rsidP="00087F6B">
      <w:pPr>
        <w:pStyle w:val="SingleTxtG"/>
        <w:rPr>
          <w:lang w:val="de-DE"/>
        </w:rPr>
      </w:pPr>
      <w:r w:rsidRPr="0001227A">
        <w:rPr>
          <w:lang w:val="de-DE"/>
        </w:rPr>
        <w:t>27</w:t>
      </w:r>
      <w:r w:rsidR="00AF6464" w:rsidRPr="0001227A">
        <w:rPr>
          <w:lang w:val="de-DE"/>
        </w:rPr>
        <w:t>.</w:t>
      </w:r>
      <w:r w:rsidR="00AF6464" w:rsidRPr="0001227A">
        <w:rPr>
          <w:lang w:val="de-DE"/>
        </w:rPr>
        <w:tab/>
      </w:r>
      <w:r w:rsidR="00477F0A" w:rsidRPr="00087F6B">
        <w:rPr>
          <w:lang w:val="de-DE"/>
        </w:rPr>
        <w:t xml:space="preserve">Der CEFIC-Vertreter </w:t>
      </w:r>
      <w:r w:rsidR="008636F0" w:rsidRPr="00087F6B">
        <w:rPr>
          <w:lang w:val="de-DE"/>
        </w:rPr>
        <w:t xml:space="preserve">wurde gebeten, einen offiziellen Vorschlag zur Änderung der Tabelle C, </w:t>
      </w:r>
      <w:r w:rsidR="000A2D3F" w:rsidRPr="00087F6B">
        <w:rPr>
          <w:lang w:val="de-DE"/>
        </w:rPr>
        <w:t>einschließlich</w:t>
      </w:r>
      <w:r w:rsidR="008636F0" w:rsidRPr="00087F6B">
        <w:rPr>
          <w:lang w:val="de-DE"/>
        </w:rPr>
        <w:t xml:space="preserve"> de</w:t>
      </w:r>
      <w:r w:rsidR="000A2D3F" w:rsidRPr="00087F6B">
        <w:rPr>
          <w:lang w:val="de-DE"/>
        </w:rPr>
        <w:t>r</w:t>
      </w:r>
      <w:r w:rsidR="008636F0" w:rsidRPr="00087F6B">
        <w:rPr>
          <w:lang w:val="de-DE"/>
        </w:rPr>
        <w:t xml:space="preserve"> zur Rechtfertigung einer </w:t>
      </w:r>
      <w:r w:rsidR="005E62F7" w:rsidRPr="00087F6B">
        <w:rPr>
          <w:lang w:val="de-DE"/>
        </w:rPr>
        <w:t>neuen K</w:t>
      </w:r>
      <w:r w:rsidR="000A2D3F" w:rsidRPr="00087F6B">
        <w:rPr>
          <w:lang w:val="de-DE"/>
        </w:rPr>
        <w:t>l</w:t>
      </w:r>
      <w:r w:rsidR="008636F0" w:rsidRPr="00087F6B">
        <w:rPr>
          <w:lang w:val="de-DE"/>
        </w:rPr>
        <w:t xml:space="preserve">assifizierung erforderlichen Daten </w:t>
      </w:r>
      <w:r w:rsidR="00FA322F" w:rsidRPr="00087F6B">
        <w:rPr>
          <w:lang w:val="de-DE"/>
        </w:rPr>
        <w:t>über</w:t>
      </w:r>
      <w:r w:rsidR="008636F0" w:rsidRPr="00087F6B">
        <w:rPr>
          <w:lang w:val="de-DE"/>
        </w:rPr>
        <w:t xml:space="preserve"> d</w:t>
      </w:r>
      <w:r w:rsidR="00FA322F" w:rsidRPr="00087F6B">
        <w:rPr>
          <w:lang w:val="de-DE"/>
        </w:rPr>
        <w:t>i</w:t>
      </w:r>
      <w:r w:rsidR="008636F0" w:rsidRPr="00087F6B">
        <w:rPr>
          <w:lang w:val="de-DE"/>
        </w:rPr>
        <w:t>e Eigenschaften der Stoffe</w:t>
      </w:r>
      <w:r w:rsidR="00FA322F" w:rsidRPr="00087F6B">
        <w:rPr>
          <w:lang w:val="de-DE"/>
        </w:rPr>
        <w:t>,</w:t>
      </w:r>
      <w:r w:rsidR="000A2D3F" w:rsidRPr="00087F6B">
        <w:rPr>
          <w:lang w:val="de-DE"/>
        </w:rPr>
        <w:t xml:space="preserve"> </w:t>
      </w:r>
      <w:r w:rsidR="007B5629" w:rsidRPr="00087F6B">
        <w:rPr>
          <w:lang w:val="de-DE"/>
        </w:rPr>
        <w:t>vorzulegen</w:t>
      </w:r>
      <w:r w:rsidR="008636F0" w:rsidRPr="00087F6B">
        <w:rPr>
          <w:lang w:val="de-DE"/>
        </w:rPr>
        <w:t>.</w:t>
      </w:r>
    </w:p>
    <w:p w14:paraId="5C12128E" w14:textId="0A4E259F" w:rsidR="00AF6464" w:rsidRPr="0001227A" w:rsidRDefault="00AF6464" w:rsidP="006464A7">
      <w:pPr>
        <w:pStyle w:val="H1G"/>
        <w:rPr>
          <w:lang w:val="de-DE"/>
        </w:rPr>
      </w:pPr>
      <w:r w:rsidRPr="0001227A">
        <w:rPr>
          <w:lang w:val="de-DE"/>
        </w:rPr>
        <w:tab/>
      </w:r>
      <w:r w:rsidR="006464A7" w:rsidRPr="006464A7">
        <w:rPr>
          <w:lang w:val="de-DE"/>
        </w:rPr>
        <w:t>D.</w:t>
      </w:r>
      <w:r w:rsidRPr="0001227A">
        <w:rPr>
          <w:lang w:val="de-DE"/>
        </w:rPr>
        <w:tab/>
      </w:r>
      <w:r w:rsidR="006464A7" w:rsidRPr="006464A7">
        <w:rPr>
          <w:lang w:val="de-DE"/>
        </w:rPr>
        <w:t>Sachkundigenausbildung</w:t>
      </w:r>
    </w:p>
    <w:p w14:paraId="3C5EA608" w14:textId="64B80602" w:rsidR="00AF6464" w:rsidRPr="0001227A" w:rsidRDefault="00AF6464" w:rsidP="006464A7">
      <w:pPr>
        <w:pStyle w:val="H23G"/>
        <w:rPr>
          <w:lang w:val="de-DE"/>
        </w:rPr>
      </w:pPr>
      <w:r w:rsidRPr="0001227A">
        <w:rPr>
          <w:lang w:val="de-DE"/>
        </w:rPr>
        <w:tab/>
        <w:t>1.</w:t>
      </w:r>
      <w:r w:rsidRPr="0001227A">
        <w:rPr>
          <w:lang w:val="de-DE"/>
        </w:rPr>
        <w:tab/>
      </w:r>
      <w:r w:rsidR="006464A7" w:rsidRPr="006464A7">
        <w:rPr>
          <w:lang w:val="de-DE"/>
        </w:rPr>
        <w:t>Protokoll der sechzehnten Sitzung der informellen Arbeitsgruppe „Sachkundigenausbildung“</w:t>
      </w:r>
    </w:p>
    <w:p w14:paraId="16144F95" w14:textId="71219AEA" w:rsidR="00AF6464" w:rsidRPr="0001227A" w:rsidRDefault="006464A7" w:rsidP="006464A7">
      <w:pPr>
        <w:pStyle w:val="SingleTxtG"/>
        <w:spacing w:after="0"/>
        <w:rPr>
          <w:lang w:val="de-DE"/>
        </w:rPr>
      </w:pPr>
      <w:r w:rsidRPr="006464A7">
        <w:rPr>
          <w:i/>
          <w:iCs/>
          <w:lang w:val="de-DE"/>
        </w:rPr>
        <w:t>Dokument:</w:t>
      </w:r>
      <w:r w:rsidR="00AF6464" w:rsidRPr="0001227A">
        <w:rPr>
          <w:lang w:val="de-DE"/>
        </w:rPr>
        <w:tab/>
      </w:r>
      <w:r w:rsidR="00887098" w:rsidRPr="0001227A">
        <w:rPr>
          <w:lang w:val="de-DE"/>
        </w:rPr>
        <w:tab/>
      </w:r>
      <w:r w:rsidR="00FD46AC" w:rsidRPr="0001227A">
        <w:rPr>
          <w:lang w:val="de-DE"/>
        </w:rPr>
        <w:tab/>
      </w:r>
      <w:r w:rsidRPr="006464A7">
        <w:rPr>
          <w:lang w:val="de-DE"/>
        </w:rPr>
        <w:t>ECE/TRANS/WP.15/AC.2/2017/4 (ZKR)</w:t>
      </w:r>
    </w:p>
    <w:p w14:paraId="243DD655" w14:textId="5EF43E23" w:rsidR="00AF6464" w:rsidRPr="0001227A" w:rsidRDefault="006464A7" w:rsidP="006464A7">
      <w:pPr>
        <w:pStyle w:val="SingleTxtG"/>
        <w:rPr>
          <w:lang w:val="de-DE"/>
        </w:rPr>
      </w:pPr>
      <w:r w:rsidRPr="006464A7">
        <w:rPr>
          <w:i/>
          <w:iCs/>
          <w:lang w:val="de-DE"/>
        </w:rPr>
        <w:t>Informelles Dokument:</w:t>
      </w:r>
      <w:r w:rsidR="00AF6464" w:rsidRPr="0001227A">
        <w:rPr>
          <w:lang w:val="de-DE"/>
        </w:rPr>
        <w:tab/>
      </w:r>
      <w:r w:rsidRPr="006464A7">
        <w:rPr>
          <w:lang w:val="de-DE"/>
        </w:rPr>
        <w:t>INF.19 (EBU, ERSTU und ESO)</w:t>
      </w:r>
    </w:p>
    <w:p w14:paraId="73542E21" w14:textId="0191BD77" w:rsidR="00AF6464" w:rsidRPr="0001227A" w:rsidRDefault="00EC4B3D" w:rsidP="00087F6B">
      <w:pPr>
        <w:pStyle w:val="SingleTxtG"/>
        <w:rPr>
          <w:lang w:val="de-DE"/>
        </w:rPr>
      </w:pPr>
      <w:r w:rsidRPr="0001227A">
        <w:rPr>
          <w:lang w:val="de-DE"/>
        </w:rPr>
        <w:t>28</w:t>
      </w:r>
      <w:r w:rsidR="00AF6464" w:rsidRPr="0001227A">
        <w:rPr>
          <w:lang w:val="de-DE"/>
        </w:rPr>
        <w:t>.</w:t>
      </w:r>
      <w:r w:rsidR="00AF6464" w:rsidRPr="0001227A">
        <w:rPr>
          <w:lang w:val="de-DE"/>
        </w:rPr>
        <w:tab/>
      </w:r>
      <w:r w:rsidR="006464A7" w:rsidRPr="00087F6B">
        <w:rPr>
          <w:lang w:val="de-DE"/>
        </w:rPr>
        <w:t xml:space="preserve">Die Sicherheitsausschuss nahm eine </w:t>
      </w:r>
      <w:r w:rsidR="00087F6B" w:rsidRPr="00087F6B">
        <w:rPr>
          <w:lang w:val="de-DE"/>
        </w:rPr>
        <w:t>eingehende</w:t>
      </w:r>
      <w:r w:rsidR="006464A7" w:rsidRPr="00087F6B">
        <w:rPr>
          <w:lang w:val="de-DE"/>
        </w:rPr>
        <w:t xml:space="preserve"> Prüfung der Schlussfolgerungen der Arbeitsgruppe vor und genehmigte sie mit folgenden Vorbehalten.</w:t>
      </w:r>
    </w:p>
    <w:p w14:paraId="7F7A8B1D" w14:textId="0FE474DE" w:rsidR="00AF6464" w:rsidRPr="0001227A" w:rsidRDefault="00EC4B3D" w:rsidP="00087F6B">
      <w:pPr>
        <w:pStyle w:val="SingleTxtG"/>
        <w:rPr>
          <w:lang w:val="de-DE"/>
        </w:rPr>
      </w:pPr>
      <w:r w:rsidRPr="0001227A">
        <w:rPr>
          <w:lang w:val="de-DE"/>
        </w:rPr>
        <w:t>29</w:t>
      </w:r>
      <w:r w:rsidR="00AF6464" w:rsidRPr="0001227A">
        <w:rPr>
          <w:lang w:val="de-DE"/>
        </w:rPr>
        <w:t>.</w:t>
      </w:r>
      <w:r w:rsidR="00AF6464" w:rsidRPr="0001227A">
        <w:rPr>
          <w:lang w:val="de-DE"/>
        </w:rPr>
        <w:tab/>
      </w:r>
      <w:r w:rsidR="006464A7" w:rsidRPr="00087F6B">
        <w:rPr>
          <w:lang w:val="de-DE"/>
        </w:rPr>
        <w:t xml:space="preserve">Im Hinblick auf Absatz 3 b) befand der Sicherheitsausschuss, dass der Ausdruck „Container mit geschlossenen Metallwänden“ in Absatz 7.1.4.4.2 </w:t>
      </w:r>
      <w:r w:rsidR="00A9224F" w:rsidRPr="00087F6B">
        <w:rPr>
          <w:lang w:val="de-DE"/>
        </w:rPr>
        <w:t>im Lichte der Begriffsbestimmung in Abschnitt 1.2.1 durch „geschlossene Container“ ersetzt werden sollte (siehe Anlage II).</w:t>
      </w:r>
    </w:p>
    <w:p w14:paraId="1B37E3BB" w14:textId="058F40C7" w:rsidR="00AF6464" w:rsidRPr="0001227A" w:rsidRDefault="00EC4B3D" w:rsidP="005A266A">
      <w:pPr>
        <w:pStyle w:val="SingleTxtG"/>
        <w:rPr>
          <w:lang w:val="de-DE"/>
        </w:rPr>
      </w:pPr>
      <w:r w:rsidRPr="0001227A">
        <w:rPr>
          <w:lang w:val="de-DE"/>
        </w:rPr>
        <w:t>30</w:t>
      </w:r>
      <w:r w:rsidR="00AF6464" w:rsidRPr="0001227A">
        <w:rPr>
          <w:lang w:val="de-DE"/>
        </w:rPr>
        <w:t>.</w:t>
      </w:r>
      <w:r w:rsidR="00AF6464" w:rsidRPr="0001227A">
        <w:rPr>
          <w:lang w:val="de-DE"/>
        </w:rPr>
        <w:tab/>
      </w:r>
      <w:r w:rsidR="005A266A" w:rsidRPr="005A266A">
        <w:rPr>
          <w:lang w:val="de-DE"/>
        </w:rPr>
        <w:t>In</w:t>
      </w:r>
      <w:r w:rsidR="00471754" w:rsidRPr="005A266A">
        <w:rPr>
          <w:lang w:val="de-DE"/>
        </w:rPr>
        <w:t xml:space="preserve"> Absatz 3 c)</w:t>
      </w:r>
      <w:r w:rsidR="00B816A7" w:rsidRPr="005A266A">
        <w:rPr>
          <w:lang w:val="de-DE"/>
        </w:rPr>
        <w:t xml:space="preserve"> </w:t>
      </w:r>
      <w:r w:rsidR="00471754" w:rsidRPr="005A266A">
        <w:rPr>
          <w:lang w:val="de-DE"/>
        </w:rPr>
        <w:t>muss die</w:t>
      </w:r>
      <w:r w:rsidR="00B816A7" w:rsidRPr="005A266A">
        <w:rPr>
          <w:lang w:val="de-DE"/>
        </w:rPr>
        <w:t xml:space="preserve"> Frage der</w:t>
      </w:r>
      <w:r w:rsidR="00471754" w:rsidRPr="005A266A">
        <w:rPr>
          <w:lang w:val="de-DE"/>
        </w:rPr>
        <w:t xml:space="preserve"> Auslegung der Sonderbestimmung</w:t>
      </w:r>
      <w:r w:rsidR="00E20AE3" w:rsidRPr="005A266A">
        <w:rPr>
          <w:lang w:val="de-DE"/>
        </w:rPr>
        <w:t>en</w:t>
      </w:r>
      <w:r w:rsidR="00471754" w:rsidRPr="005A266A">
        <w:rPr>
          <w:lang w:val="de-DE"/>
        </w:rPr>
        <w:t xml:space="preserve"> für flexible Schüttgut-Container </w:t>
      </w:r>
      <w:r w:rsidR="009B6098" w:rsidRPr="005A266A">
        <w:rPr>
          <w:lang w:val="de-DE"/>
        </w:rPr>
        <w:t>gemäß Absatz 7.1.4.4.3 in der nächsten Sitzung auf der Grundlage eines vom ZKR-Sekretariat erstellten Dokuments geprüft werden</w:t>
      </w:r>
      <w:r w:rsidR="00425260" w:rsidRPr="005A266A">
        <w:rPr>
          <w:lang w:val="de-DE"/>
        </w:rPr>
        <w:t>.</w:t>
      </w:r>
    </w:p>
    <w:p w14:paraId="4A282AB7" w14:textId="4032483A" w:rsidR="00AF6464" w:rsidRPr="0001227A" w:rsidRDefault="00EC4B3D" w:rsidP="007A00DA">
      <w:pPr>
        <w:pStyle w:val="SingleTxtG"/>
        <w:rPr>
          <w:lang w:val="de-DE"/>
        </w:rPr>
      </w:pPr>
      <w:r w:rsidRPr="0001227A">
        <w:rPr>
          <w:lang w:val="de-DE"/>
        </w:rPr>
        <w:t>31</w:t>
      </w:r>
      <w:r w:rsidR="00AF6464" w:rsidRPr="0001227A">
        <w:rPr>
          <w:lang w:val="de-DE"/>
        </w:rPr>
        <w:t>.</w:t>
      </w:r>
      <w:r w:rsidR="00AF6464" w:rsidRPr="0001227A">
        <w:rPr>
          <w:lang w:val="de-DE"/>
        </w:rPr>
        <w:tab/>
      </w:r>
      <w:r w:rsidR="009547EE" w:rsidRPr="005A266A">
        <w:rPr>
          <w:lang w:val="de-DE"/>
        </w:rPr>
        <w:t>Hinsichtlich der Absätze 11 und 15 nahm der Sicherheitsausschuss die</w:t>
      </w:r>
      <w:r w:rsidR="00AB212E" w:rsidRPr="005A266A">
        <w:rPr>
          <w:lang w:val="de-DE"/>
        </w:rPr>
        <w:t xml:space="preserve"> im</w:t>
      </w:r>
      <w:r w:rsidR="009547EE" w:rsidRPr="005A266A">
        <w:rPr>
          <w:lang w:val="de-DE"/>
        </w:rPr>
        <w:t xml:space="preserve"> </w:t>
      </w:r>
      <w:r w:rsidR="00AB212E" w:rsidRPr="005A266A">
        <w:rPr>
          <w:lang w:val="de-DE"/>
        </w:rPr>
        <w:t xml:space="preserve">informellen Dokument INF.19 enthaltenen </w:t>
      </w:r>
      <w:r w:rsidR="009547EE" w:rsidRPr="005A266A">
        <w:rPr>
          <w:lang w:val="de-DE"/>
        </w:rPr>
        <w:t>Anmerkungen von EBU, ERSTU und</w:t>
      </w:r>
      <w:r w:rsidR="00E36F78" w:rsidRPr="005A266A">
        <w:rPr>
          <w:lang w:val="de-DE"/>
        </w:rPr>
        <w:t xml:space="preserve"> ESO</w:t>
      </w:r>
      <w:r w:rsidR="00897820" w:rsidRPr="005A266A">
        <w:rPr>
          <w:lang w:val="de-DE"/>
        </w:rPr>
        <w:t xml:space="preserve">, </w:t>
      </w:r>
      <w:r w:rsidR="00E36F78" w:rsidRPr="005A266A">
        <w:rPr>
          <w:lang w:val="de-DE"/>
        </w:rPr>
        <w:t>darunter insbesondere den Hinweis, dass</w:t>
      </w:r>
      <w:r w:rsidR="009547EE" w:rsidRPr="005A266A">
        <w:rPr>
          <w:lang w:val="de-DE"/>
        </w:rPr>
        <w:t xml:space="preserve"> </w:t>
      </w:r>
      <w:r w:rsidR="00131674" w:rsidRPr="005A266A">
        <w:rPr>
          <w:lang w:val="de-DE"/>
        </w:rPr>
        <w:t xml:space="preserve">die Skalen der </w:t>
      </w:r>
      <w:r w:rsidR="00FB6F74" w:rsidRPr="005A266A">
        <w:rPr>
          <w:lang w:val="de-DE"/>
        </w:rPr>
        <w:t xml:space="preserve">Druckmessgeräte </w:t>
      </w:r>
      <w:r w:rsidR="00897820" w:rsidRPr="005A266A">
        <w:rPr>
          <w:lang w:val="de-DE"/>
        </w:rPr>
        <w:t>auf vielen Schiffen</w:t>
      </w:r>
      <w:r w:rsidR="00FB6F74" w:rsidRPr="005A266A">
        <w:rPr>
          <w:lang w:val="de-DE"/>
        </w:rPr>
        <w:t xml:space="preserve"> </w:t>
      </w:r>
      <w:r w:rsidR="00131674" w:rsidRPr="005A266A">
        <w:rPr>
          <w:lang w:val="de-DE"/>
        </w:rPr>
        <w:t xml:space="preserve">in der Praxis </w:t>
      </w:r>
      <w:r w:rsidR="00FB6F74" w:rsidRPr="005A266A">
        <w:rPr>
          <w:lang w:val="de-DE"/>
        </w:rPr>
        <w:t>nicht in kPa, sondern in bar</w:t>
      </w:r>
      <w:r w:rsidR="00131674" w:rsidRPr="005A266A">
        <w:rPr>
          <w:lang w:val="de-DE"/>
        </w:rPr>
        <w:t xml:space="preserve"> kalib</w:t>
      </w:r>
      <w:r w:rsidR="006611F4" w:rsidRPr="005A266A">
        <w:rPr>
          <w:lang w:val="de-DE"/>
        </w:rPr>
        <w:t>r</w:t>
      </w:r>
      <w:r w:rsidR="00131674" w:rsidRPr="005A266A">
        <w:rPr>
          <w:lang w:val="de-DE"/>
        </w:rPr>
        <w:t xml:space="preserve">iert seien, </w:t>
      </w:r>
      <w:r w:rsidR="00E36F78" w:rsidRPr="005A266A">
        <w:rPr>
          <w:lang w:val="de-DE"/>
        </w:rPr>
        <w:t>zur Kenntnis</w:t>
      </w:r>
      <w:r w:rsidR="00131674" w:rsidRPr="005A266A">
        <w:rPr>
          <w:lang w:val="de-DE"/>
        </w:rPr>
        <w:t>.</w:t>
      </w:r>
      <w:r w:rsidR="00AF6464" w:rsidRPr="0001227A">
        <w:rPr>
          <w:lang w:val="de-DE"/>
        </w:rPr>
        <w:t xml:space="preserve"> </w:t>
      </w:r>
      <w:r w:rsidR="006611F4" w:rsidRPr="007A00DA">
        <w:rPr>
          <w:lang w:val="de-DE"/>
        </w:rPr>
        <w:t xml:space="preserve">Die Vertreter der Vertragsparteien </w:t>
      </w:r>
      <w:r w:rsidR="004740B0" w:rsidRPr="007A00DA">
        <w:rPr>
          <w:lang w:val="de-DE"/>
        </w:rPr>
        <w:t>waren</w:t>
      </w:r>
      <w:r w:rsidR="006611F4" w:rsidRPr="007A00DA">
        <w:rPr>
          <w:lang w:val="de-DE"/>
        </w:rPr>
        <w:t xml:space="preserve"> </w:t>
      </w:r>
      <w:r w:rsidR="005A266A" w:rsidRPr="007A00DA">
        <w:rPr>
          <w:lang w:val="de-DE"/>
        </w:rPr>
        <w:t>hingegen</w:t>
      </w:r>
      <w:r w:rsidR="006611F4" w:rsidRPr="007A00DA">
        <w:rPr>
          <w:lang w:val="de-DE"/>
        </w:rPr>
        <w:t xml:space="preserve"> </w:t>
      </w:r>
      <w:r w:rsidR="004740B0" w:rsidRPr="007A00DA">
        <w:rPr>
          <w:lang w:val="de-DE"/>
        </w:rPr>
        <w:t>der Meinung</w:t>
      </w:r>
      <w:r w:rsidR="006611F4" w:rsidRPr="007A00DA">
        <w:rPr>
          <w:lang w:val="de-DE"/>
        </w:rPr>
        <w:t xml:space="preserve">, dass einige Druckmessgeräte auch </w:t>
      </w:r>
      <w:r w:rsidR="005A266A" w:rsidRPr="007A00DA">
        <w:rPr>
          <w:lang w:val="de-DE"/>
        </w:rPr>
        <w:t xml:space="preserve">in </w:t>
      </w:r>
      <w:r w:rsidR="006611F4" w:rsidRPr="007A00DA">
        <w:rPr>
          <w:lang w:val="de-DE"/>
        </w:rPr>
        <w:t>kPa</w:t>
      </w:r>
      <w:r w:rsidR="005A266A" w:rsidRPr="007A00DA">
        <w:rPr>
          <w:lang w:val="de-DE"/>
        </w:rPr>
        <w:t xml:space="preserve"> kalibriert</w:t>
      </w:r>
      <w:r w:rsidR="006611F4" w:rsidRPr="007A00DA">
        <w:rPr>
          <w:lang w:val="de-DE"/>
        </w:rPr>
        <w:t xml:space="preserve"> </w:t>
      </w:r>
      <w:r w:rsidR="001A0B19" w:rsidRPr="007A00DA">
        <w:rPr>
          <w:lang w:val="de-DE"/>
        </w:rPr>
        <w:t>sind</w:t>
      </w:r>
      <w:r w:rsidR="006A0CAF" w:rsidRPr="007A00DA">
        <w:rPr>
          <w:lang w:val="de-DE"/>
        </w:rPr>
        <w:t xml:space="preserve">, dass die </w:t>
      </w:r>
      <w:r w:rsidR="00231573" w:rsidRPr="007A00DA">
        <w:rPr>
          <w:lang w:val="de-DE"/>
        </w:rPr>
        <w:t xml:space="preserve">entsprechenden Angaben </w:t>
      </w:r>
      <w:r w:rsidR="006A0CAF" w:rsidRPr="007A00DA">
        <w:rPr>
          <w:lang w:val="de-DE"/>
        </w:rPr>
        <w:t xml:space="preserve">in </w:t>
      </w:r>
      <w:r w:rsidR="00815B6C" w:rsidRPr="007A00DA">
        <w:rPr>
          <w:lang w:val="de-DE"/>
        </w:rPr>
        <w:t>den</w:t>
      </w:r>
      <w:r w:rsidR="002654B2" w:rsidRPr="007A00DA">
        <w:rPr>
          <w:lang w:val="de-DE"/>
        </w:rPr>
        <w:t xml:space="preserve"> Zulassungszeugnisse</w:t>
      </w:r>
      <w:r w:rsidR="00815B6C" w:rsidRPr="007A00DA">
        <w:rPr>
          <w:lang w:val="de-DE"/>
        </w:rPr>
        <w:t>n</w:t>
      </w:r>
      <w:r w:rsidR="002654B2" w:rsidRPr="007A00DA">
        <w:rPr>
          <w:lang w:val="de-DE"/>
        </w:rPr>
        <w:t xml:space="preserve"> und Prüflisten </w:t>
      </w:r>
      <w:r w:rsidR="00815B6C" w:rsidRPr="007A00DA">
        <w:rPr>
          <w:lang w:val="de-DE"/>
        </w:rPr>
        <w:t xml:space="preserve">nicht in bar, sondern in kPa </w:t>
      </w:r>
      <w:r w:rsidR="00A43B95" w:rsidRPr="007A00DA">
        <w:rPr>
          <w:lang w:val="de-DE"/>
        </w:rPr>
        <w:t>einzutragen</w:t>
      </w:r>
      <w:r w:rsidR="00231573" w:rsidRPr="007A00DA">
        <w:rPr>
          <w:lang w:val="de-DE"/>
        </w:rPr>
        <w:t xml:space="preserve"> sind</w:t>
      </w:r>
      <w:r w:rsidR="00815B6C" w:rsidRPr="007A00DA">
        <w:rPr>
          <w:lang w:val="de-DE"/>
        </w:rPr>
        <w:t xml:space="preserve"> und dass </w:t>
      </w:r>
      <w:r w:rsidR="00231573" w:rsidRPr="007A00DA">
        <w:rPr>
          <w:lang w:val="de-DE"/>
        </w:rPr>
        <w:t xml:space="preserve">die </w:t>
      </w:r>
      <w:r w:rsidR="00815B6C" w:rsidRPr="007A00DA">
        <w:rPr>
          <w:lang w:val="de-DE"/>
        </w:rPr>
        <w:t>Sach</w:t>
      </w:r>
      <w:r w:rsidR="00231573" w:rsidRPr="007A00DA">
        <w:rPr>
          <w:lang w:val="de-DE"/>
        </w:rPr>
        <w:t>kundige</w:t>
      </w:r>
      <w:r w:rsidR="001A0B19" w:rsidRPr="007A00DA">
        <w:rPr>
          <w:lang w:val="de-DE"/>
        </w:rPr>
        <w:t>n</w:t>
      </w:r>
      <w:r w:rsidR="00231573" w:rsidRPr="007A00DA">
        <w:rPr>
          <w:lang w:val="de-DE"/>
        </w:rPr>
        <w:t xml:space="preserve"> an Bord der Schiffe in der Lage sein sollten, </w:t>
      </w:r>
      <w:r w:rsidR="001A0B19" w:rsidRPr="007A00DA">
        <w:rPr>
          <w:lang w:val="de-DE"/>
        </w:rPr>
        <w:t xml:space="preserve">entsprechende </w:t>
      </w:r>
      <w:r w:rsidR="009A77A6" w:rsidRPr="007A00DA">
        <w:rPr>
          <w:lang w:val="de-DE"/>
        </w:rPr>
        <w:t xml:space="preserve">Umrechnungen </w:t>
      </w:r>
      <w:r w:rsidR="001A0B19" w:rsidRPr="007A00DA">
        <w:rPr>
          <w:lang w:val="de-DE"/>
        </w:rPr>
        <w:t>auszuführen</w:t>
      </w:r>
      <w:r w:rsidR="009A77A6" w:rsidRPr="007A00DA">
        <w:rPr>
          <w:lang w:val="de-DE"/>
        </w:rPr>
        <w:t>.</w:t>
      </w:r>
      <w:r w:rsidR="00AF6464" w:rsidRPr="0001227A">
        <w:rPr>
          <w:lang w:val="de-DE"/>
        </w:rPr>
        <w:t xml:space="preserve"> </w:t>
      </w:r>
      <w:r w:rsidR="00AB2749" w:rsidRPr="007A00DA">
        <w:rPr>
          <w:lang w:val="de-DE"/>
        </w:rPr>
        <w:t xml:space="preserve">Der Sicherheitsausschuss </w:t>
      </w:r>
      <w:r w:rsidR="00BD1A71" w:rsidRPr="007A00DA">
        <w:rPr>
          <w:lang w:val="de-DE"/>
        </w:rPr>
        <w:t>be</w:t>
      </w:r>
      <w:r w:rsidR="002D61FA" w:rsidRPr="007A00DA">
        <w:rPr>
          <w:lang w:val="de-DE"/>
        </w:rPr>
        <w:t>kr</w:t>
      </w:r>
      <w:r w:rsidR="00BD1A71" w:rsidRPr="007A00DA">
        <w:rPr>
          <w:lang w:val="de-DE"/>
        </w:rPr>
        <w:t>ä</w:t>
      </w:r>
      <w:r w:rsidR="002D61FA" w:rsidRPr="007A00DA">
        <w:rPr>
          <w:lang w:val="de-DE"/>
        </w:rPr>
        <w:t>f</w:t>
      </w:r>
      <w:r w:rsidR="00BD1A71" w:rsidRPr="007A00DA">
        <w:rPr>
          <w:lang w:val="de-DE"/>
        </w:rPr>
        <w:t xml:space="preserve">tigte </w:t>
      </w:r>
      <w:r w:rsidR="002D61FA" w:rsidRPr="007A00DA">
        <w:rPr>
          <w:lang w:val="de-DE"/>
        </w:rPr>
        <w:t>daher</w:t>
      </w:r>
      <w:r w:rsidR="00BD1A71" w:rsidRPr="007A00DA">
        <w:rPr>
          <w:lang w:val="de-DE"/>
        </w:rPr>
        <w:t xml:space="preserve">, </w:t>
      </w:r>
      <w:r w:rsidR="002D61FA" w:rsidRPr="007A00DA">
        <w:rPr>
          <w:lang w:val="de-DE"/>
        </w:rPr>
        <w:t xml:space="preserve">dass der Überdruck im Fragenkatalog nicht in Klammern </w:t>
      </w:r>
      <w:r w:rsidR="00D01230" w:rsidRPr="007A00DA">
        <w:rPr>
          <w:lang w:val="de-DE"/>
        </w:rPr>
        <w:t>in bar angegeben werden sollte und die Angaben in bar in den</w:t>
      </w:r>
      <w:r w:rsidR="00E62CC7" w:rsidRPr="007A00DA">
        <w:rPr>
          <w:lang w:val="de-DE"/>
        </w:rPr>
        <w:t xml:space="preserve"> Fallfragen bei der nächsten Überarbeitung</w:t>
      </w:r>
      <w:r w:rsidR="00D01230" w:rsidRPr="007A00DA">
        <w:rPr>
          <w:lang w:val="de-DE"/>
        </w:rPr>
        <w:t xml:space="preserve"> in kPA umgerechnet werden sollten.</w:t>
      </w:r>
    </w:p>
    <w:p w14:paraId="01FB87A6" w14:textId="4AEF25A2" w:rsidR="00AF6464" w:rsidRPr="0001227A" w:rsidRDefault="00EC4B3D" w:rsidP="007A00DA">
      <w:pPr>
        <w:pStyle w:val="SingleTxtG"/>
        <w:rPr>
          <w:lang w:val="de-DE"/>
        </w:rPr>
      </w:pPr>
      <w:r w:rsidRPr="0001227A">
        <w:rPr>
          <w:lang w:val="de-DE"/>
        </w:rPr>
        <w:t>32</w:t>
      </w:r>
      <w:r w:rsidR="00AF6464" w:rsidRPr="0001227A">
        <w:rPr>
          <w:lang w:val="de-DE"/>
        </w:rPr>
        <w:t>.</w:t>
      </w:r>
      <w:r w:rsidR="00AF6464" w:rsidRPr="0001227A">
        <w:rPr>
          <w:lang w:val="de-DE"/>
        </w:rPr>
        <w:tab/>
      </w:r>
      <w:r w:rsidR="00EE5139" w:rsidRPr="007A00DA">
        <w:rPr>
          <w:lang w:val="de-DE"/>
        </w:rPr>
        <w:t>Im Hinblick</w:t>
      </w:r>
      <w:r w:rsidR="00E521C1" w:rsidRPr="007A00DA">
        <w:rPr>
          <w:lang w:val="de-DE"/>
        </w:rPr>
        <w:t xml:space="preserve"> auf die Frage 14 b) stellt</w:t>
      </w:r>
      <w:r w:rsidR="00FD5235" w:rsidRPr="007A00DA">
        <w:rPr>
          <w:lang w:val="de-DE"/>
        </w:rPr>
        <w:t>e</w:t>
      </w:r>
      <w:r w:rsidR="00E521C1" w:rsidRPr="007A00DA">
        <w:rPr>
          <w:lang w:val="de-DE"/>
        </w:rPr>
        <w:t xml:space="preserve"> der Sicherheitsausschuss fest, dass die Forderung nach einer Ladungsheizungsmöglichkeit </w:t>
      </w:r>
      <w:r w:rsidR="00753534" w:rsidRPr="007A00DA">
        <w:rPr>
          <w:lang w:val="de-DE"/>
        </w:rPr>
        <w:t xml:space="preserve">für UN-Nummer 1307 </w:t>
      </w:r>
      <w:r w:rsidR="003F2589" w:rsidRPr="007A00DA">
        <w:rPr>
          <w:lang w:val="de-DE"/>
        </w:rPr>
        <w:t>von der informellen Arbeitsgruppe „Stoffe“ geprüft werden sollte.</w:t>
      </w:r>
    </w:p>
    <w:p w14:paraId="298FA4A0" w14:textId="5C578109" w:rsidR="00AF6464" w:rsidRPr="0001227A" w:rsidRDefault="00EC4B3D" w:rsidP="007A00DA">
      <w:pPr>
        <w:pStyle w:val="SingleTxtG"/>
        <w:rPr>
          <w:lang w:val="de-DE"/>
        </w:rPr>
      </w:pPr>
      <w:r w:rsidRPr="0001227A">
        <w:rPr>
          <w:lang w:val="de-DE"/>
        </w:rPr>
        <w:t>33</w:t>
      </w:r>
      <w:r w:rsidR="00AF6464" w:rsidRPr="0001227A">
        <w:rPr>
          <w:lang w:val="de-DE"/>
        </w:rPr>
        <w:t>.</w:t>
      </w:r>
      <w:r w:rsidR="00AF6464" w:rsidRPr="0001227A">
        <w:rPr>
          <w:lang w:val="de-DE"/>
        </w:rPr>
        <w:tab/>
      </w:r>
      <w:r w:rsidR="003F2589" w:rsidRPr="007A00DA">
        <w:rPr>
          <w:lang w:val="de-DE"/>
        </w:rPr>
        <w:t xml:space="preserve">Zu Absatz 18 merkte der Sicherheitsausschuss an, dass die deutsche Regierung in der nächsten Sitzung einen </w:t>
      </w:r>
      <w:r w:rsidR="003F2589" w:rsidRPr="003164FB">
        <w:rPr>
          <w:lang w:val="de-DE"/>
        </w:rPr>
        <w:t>Vorschlag zur Form der Sachkundebescheinigung</w:t>
      </w:r>
      <w:r w:rsidR="003F2589" w:rsidRPr="007A00DA">
        <w:rPr>
          <w:lang w:val="de-DE"/>
        </w:rPr>
        <w:t xml:space="preserve"> nach Kapitel</w:t>
      </w:r>
      <w:r w:rsidR="009A0B9C">
        <w:rPr>
          <w:lang w:val="de-DE"/>
        </w:rPr>
        <w:t> </w:t>
      </w:r>
      <w:r w:rsidR="003F2589" w:rsidRPr="007A00DA">
        <w:rPr>
          <w:lang w:val="de-DE"/>
        </w:rPr>
        <w:t>8.2 vorlegen werde.</w:t>
      </w:r>
    </w:p>
    <w:p w14:paraId="06AB663F" w14:textId="450086BE" w:rsidR="00AF6464" w:rsidRPr="0001227A" w:rsidRDefault="00AF6464" w:rsidP="007A00DA">
      <w:pPr>
        <w:pStyle w:val="H23G"/>
        <w:rPr>
          <w:lang w:val="de-DE"/>
        </w:rPr>
      </w:pPr>
      <w:r w:rsidRPr="0001227A">
        <w:rPr>
          <w:lang w:val="de-DE"/>
        </w:rPr>
        <w:lastRenderedPageBreak/>
        <w:tab/>
        <w:t>2.</w:t>
      </w:r>
      <w:r w:rsidRPr="0001227A">
        <w:rPr>
          <w:lang w:val="de-DE"/>
        </w:rPr>
        <w:tab/>
      </w:r>
      <w:r w:rsidR="00D479DC" w:rsidRPr="007A00DA">
        <w:rPr>
          <w:lang w:val="de-DE"/>
        </w:rPr>
        <w:t>Richtlinie des Verwaltungsausschusses für die Verwendung des Fragenkatalogs für die Prüfung von ADN-Sachkundigen</w:t>
      </w:r>
    </w:p>
    <w:p w14:paraId="787E3A60" w14:textId="448C7EC7" w:rsidR="00AF6464" w:rsidRPr="0001227A" w:rsidRDefault="00D479DC" w:rsidP="00D479DC">
      <w:pPr>
        <w:pStyle w:val="SingleTxtG"/>
        <w:rPr>
          <w:lang w:val="de-DE"/>
        </w:rPr>
      </w:pPr>
      <w:r w:rsidRPr="00D479DC">
        <w:rPr>
          <w:i/>
          <w:iCs/>
          <w:lang w:val="de-DE"/>
        </w:rPr>
        <w:t>Dokument:</w:t>
      </w:r>
      <w:r w:rsidR="00AF6464" w:rsidRPr="0001227A">
        <w:rPr>
          <w:lang w:val="de-DE"/>
        </w:rPr>
        <w:tab/>
      </w:r>
      <w:r w:rsidRPr="00D479DC">
        <w:rPr>
          <w:lang w:val="de-DE"/>
        </w:rPr>
        <w:t>ECE/TRANS/WP.15/AC.2/2017/7/Rev.1 (ZKR)</w:t>
      </w:r>
    </w:p>
    <w:p w14:paraId="1D927D9F" w14:textId="21F97214" w:rsidR="007C51B5" w:rsidRPr="0001227A" w:rsidRDefault="00EC4B3D" w:rsidP="007A00DA">
      <w:pPr>
        <w:pStyle w:val="SingleTxtG"/>
        <w:rPr>
          <w:lang w:val="de-DE"/>
        </w:rPr>
      </w:pPr>
      <w:r w:rsidRPr="0001227A">
        <w:rPr>
          <w:lang w:val="de-DE"/>
        </w:rPr>
        <w:t>34</w:t>
      </w:r>
      <w:r w:rsidR="00AF6464" w:rsidRPr="0001227A">
        <w:rPr>
          <w:lang w:val="de-DE"/>
        </w:rPr>
        <w:t>.</w:t>
      </w:r>
      <w:r w:rsidR="00AF6464" w:rsidRPr="0001227A">
        <w:rPr>
          <w:lang w:val="de-DE"/>
        </w:rPr>
        <w:tab/>
      </w:r>
      <w:r w:rsidR="00D479DC" w:rsidRPr="007A00DA">
        <w:rPr>
          <w:lang w:val="de-DE"/>
        </w:rPr>
        <w:t xml:space="preserve">Der Sicherheitsausschuss </w:t>
      </w:r>
      <w:r w:rsidR="0031623C" w:rsidRPr="007A00DA">
        <w:rPr>
          <w:lang w:val="de-DE"/>
        </w:rPr>
        <w:t>billigte</w:t>
      </w:r>
      <w:r w:rsidR="00930EAC" w:rsidRPr="007A00DA">
        <w:rPr>
          <w:lang w:val="de-DE"/>
        </w:rPr>
        <w:t xml:space="preserve"> den </w:t>
      </w:r>
      <w:r w:rsidR="007A00DA" w:rsidRPr="007A00DA">
        <w:rPr>
          <w:lang w:val="de-DE"/>
        </w:rPr>
        <w:t>revidierten</w:t>
      </w:r>
      <w:r w:rsidR="00930EAC" w:rsidRPr="007A00DA">
        <w:rPr>
          <w:lang w:val="de-DE"/>
        </w:rPr>
        <w:t xml:space="preserve"> Richtlinienentwurf</w:t>
      </w:r>
      <w:r w:rsidR="0031623C" w:rsidRPr="007A00DA">
        <w:rPr>
          <w:lang w:val="de-DE"/>
        </w:rPr>
        <w:t>, der dem Verwaltungsausschuss zur Annahme unterbreitet werden soll.</w:t>
      </w:r>
    </w:p>
    <w:p w14:paraId="17EA0346" w14:textId="05B52BBE" w:rsidR="002326CE" w:rsidRPr="0001227A" w:rsidRDefault="00EC4B3D" w:rsidP="007A00DA">
      <w:pPr>
        <w:pStyle w:val="SingleTxtG"/>
        <w:rPr>
          <w:lang w:val="de-DE"/>
        </w:rPr>
      </w:pPr>
      <w:r w:rsidRPr="0001227A">
        <w:rPr>
          <w:lang w:val="de-DE"/>
        </w:rPr>
        <w:t>35</w:t>
      </w:r>
      <w:r w:rsidR="002326CE" w:rsidRPr="0001227A">
        <w:rPr>
          <w:lang w:val="de-DE"/>
        </w:rPr>
        <w:t>.</w:t>
      </w:r>
      <w:r w:rsidR="002326CE" w:rsidRPr="0001227A">
        <w:rPr>
          <w:lang w:val="de-DE"/>
        </w:rPr>
        <w:tab/>
      </w:r>
      <w:r w:rsidR="00183512" w:rsidRPr="007A00DA">
        <w:rPr>
          <w:lang w:val="de-DE"/>
        </w:rPr>
        <w:t xml:space="preserve">Während der Diskussion wurde daran erinnert, dass Absatz 8.2.2.7.1.7 </w:t>
      </w:r>
      <w:r w:rsidR="00320260" w:rsidRPr="007A00DA">
        <w:rPr>
          <w:lang w:val="de-DE"/>
        </w:rPr>
        <w:t xml:space="preserve">die </w:t>
      </w:r>
      <w:r w:rsidR="00B63C75" w:rsidRPr="007A00DA">
        <w:rPr>
          <w:lang w:val="de-DE"/>
        </w:rPr>
        <w:t>Durchführung</w:t>
      </w:r>
      <w:r w:rsidR="00320260" w:rsidRPr="007A00DA">
        <w:rPr>
          <w:lang w:val="de-DE"/>
        </w:rPr>
        <w:t xml:space="preserve"> </w:t>
      </w:r>
      <w:r w:rsidR="00422DEA" w:rsidRPr="007A00DA">
        <w:rPr>
          <w:lang w:val="de-DE"/>
        </w:rPr>
        <w:t xml:space="preserve">schriftlicher Prüfungen in elektronischer Form </w:t>
      </w:r>
      <w:r w:rsidR="00B63C75" w:rsidRPr="007A00DA">
        <w:rPr>
          <w:lang w:val="de-DE"/>
        </w:rPr>
        <w:t>erlaube.</w:t>
      </w:r>
      <w:r w:rsidR="002326CE" w:rsidRPr="0001227A">
        <w:rPr>
          <w:lang w:val="de-DE"/>
        </w:rPr>
        <w:t xml:space="preserve"> </w:t>
      </w:r>
      <w:r w:rsidR="00B63C75" w:rsidRPr="007A00DA">
        <w:rPr>
          <w:lang w:val="de-DE"/>
        </w:rPr>
        <w:t>Der Sicherheitsausschuss bat die informelle Arbeitsgruppe „Sachkundigenausbildung“</w:t>
      </w:r>
      <w:r w:rsidR="000B05A3" w:rsidRPr="007A00DA">
        <w:rPr>
          <w:lang w:val="de-DE"/>
        </w:rPr>
        <w:t>,</w:t>
      </w:r>
      <w:r w:rsidR="00B63C75" w:rsidRPr="007A00DA">
        <w:rPr>
          <w:lang w:val="de-DE"/>
        </w:rPr>
        <w:t xml:space="preserve"> </w:t>
      </w:r>
      <w:r w:rsidR="000B05A3" w:rsidRPr="007A00DA">
        <w:rPr>
          <w:lang w:val="de-DE"/>
        </w:rPr>
        <w:t xml:space="preserve">die Bedeutung der Verfahren </w:t>
      </w:r>
      <w:r w:rsidR="00DC106E" w:rsidRPr="007A00DA">
        <w:rPr>
          <w:lang w:val="de-DE"/>
        </w:rPr>
        <w:t>der</w:t>
      </w:r>
      <w:r w:rsidR="000B05A3" w:rsidRPr="007A00DA">
        <w:rPr>
          <w:lang w:val="de-DE"/>
        </w:rPr>
        <w:t xml:space="preserve"> Richtlinie des Verwaltungsausschusses </w:t>
      </w:r>
      <w:r w:rsidR="00CB6396" w:rsidRPr="007A00DA">
        <w:rPr>
          <w:lang w:val="de-DE"/>
        </w:rPr>
        <w:t xml:space="preserve">und des Fragenkatalogs </w:t>
      </w:r>
      <w:r w:rsidR="00DC106E" w:rsidRPr="007A00DA">
        <w:rPr>
          <w:lang w:val="de-DE"/>
        </w:rPr>
        <w:t xml:space="preserve">im Rahmen der elektronischen Prüfungen </w:t>
      </w:r>
      <w:r w:rsidR="00CB6396" w:rsidRPr="007A00DA">
        <w:rPr>
          <w:lang w:val="de-DE"/>
        </w:rPr>
        <w:t>zu bewerten.</w:t>
      </w:r>
    </w:p>
    <w:p w14:paraId="078C44FD" w14:textId="16E99B63" w:rsidR="002326CE" w:rsidRPr="0001227A" w:rsidRDefault="002326CE" w:rsidP="007A00DA">
      <w:pPr>
        <w:pStyle w:val="H23G"/>
        <w:rPr>
          <w:lang w:val="de-DE"/>
        </w:rPr>
      </w:pPr>
      <w:r w:rsidRPr="0001227A">
        <w:rPr>
          <w:lang w:val="de-DE"/>
        </w:rPr>
        <w:tab/>
        <w:t>3.</w:t>
      </w:r>
      <w:r w:rsidRPr="0001227A">
        <w:rPr>
          <w:lang w:val="de-DE"/>
        </w:rPr>
        <w:tab/>
      </w:r>
      <w:r w:rsidR="003F563E" w:rsidRPr="007A00DA">
        <w:rPr>
          <w:lang w:val="de-DE"/>
        </w:rPr>
        <w:t>Fragenkatalog</w:t>
      </w:r>
    </w:p>
    <w:p w14:paraId="2B3F4600" w14:textId="317D2C78" w:rsidR="002326CE" w:rsidRPr="0001227A" w:rsidRDefault="00502706" w:rsidP="00502706">
      <w:pPr>
        <w:pStyle w:val="SingleTxtG"/>
        <w:spacing w:after="0"/>
        <w:rPr>
          <w:lang w:val="de-DE"/>
        </w:rPr>
      </w:pPr>
      <w:r w:rsidRPr="00502706">
        <w:rPr>
          <w:i/>
          <w:iCs/>
          <w:lang w:val="de-DE"/>
        </w:rPr>
        <w:t>Dokumente:</w:t>
      </w:r>
      <w:r w:rsidR="002326CE" w:rsidRPr="0001227A">
        <w:rPr>
          <w:lang w:val="de-DE"/>
        </w:rPr>
        <w:tab/>
      </w:r>
      <w:r w:rsidR="0030552A" w:rsidRPr="0001227A">
        <w:rPr>
          <w:lang w:val="de-DE"/>
        </w:rPr>
        <w:tab/>
      </w:r>
      <w:r w:rsidR="00C2529A" w:rsidRPr="0001227A">
        <w:rPr>
          <w:lang w:val="de-DE"/>
        </w:rPr>
        <w:tab/>
      </w:r>
      <w:r w:rsidRPr="00502706">
        <w:rPr>
          <w:lang w:val="de-DE"/>
        </w:rPr>
        <w:t>ECE/TRANS/WP.15/AC.2/2017/1 und Corr.1 (ZKR)</w:t>
      </w:r>
      <w:r w:rsidR="002326CE" w:rsidRPr="0001227A">
        <w:rPr>
          <w:lang w:val="de-DE"/>
        </w:rPr>
        <w:t xml:space="preserve"> </w:t>
      </w:r>
    </w:p>
    <w:p w14:paraId="356D284C" w14:textId="0E233019" w:rsidR="002326CE" w:rsidRPr="00B11D35" w:rsidRDefault="00502706" w:rsidP="00C2529A">
      <w:pPr>
        <w:pStyle w:val="SingleTxtG"/>
        <w:spacing w:after="0"/>
        <w:ind w:left="2835" w:firstLine="567"/>
      </w:pPr>
      <w:r w:rsidRPr="0001227A">
        <w:rPr>
          <w:lang w:val="en-US"/>
        </w:rPr>
        <w:t>ECE/TRANS/WP.15/AC.2/2017/2 (ZKR)</w:t>
      </w:r>
    </w:p>
    <w:p w14:paraId="37AFAB39" w14:textId="3FFCF7B1" w:rsidR="002326CE" w:rsidRPr="00B11D35" w:rsidRDefault="00502706" w:rsidP="00C2529A">
      <w:pPr>
        <w:pStyle w:val="SingleTxtG"/>
        <w:spacing w:after="0"/>
        <w:ind w:left="2835" w:firstLine="567"/>
      </w:pPr>
      <w:r w:rsidRPr="0001227A">
        <w:rPr>
          <w:lang w:val="en-US"/>
        </w:rPr>
        <w:t>ECE/TRANS/WP.15/AC.2/2017/3 (ZKR)</w:t>
      </w:r>
    </w:p>
    <w:p w14:paraId="69488BB6" w14:textId="263BF1BF" w:rsidR="002326CE" w:rsidRPr="0001227A" w:rsidRDefault="00502706" w:rsidP="00502706">
      <w:pPr>
        <w:pStyle w:val="SingleTxtG"/>
        <w:tabs>
          <w:tab w:val="left" w:pos="2835"/>
        </w:tabs>
        <w:rPr>
          <w:lang w:val="de-DE"/>
        </w:rPr>
      </w:pPr>
      <w:r w:rsidRPr="00502706">
        <w:rPr>
          <w:i/>
          <w:iCs/>
          <w:lang w:val="de-DE"/>
        </w:rPr>
        <w:t>Informelle Dokumente:</w:t>
      </w:r>
      <w:r w:rsidR="002326CE" w:rsidRPr="0001227A">
        <w:rPr>
          <w:lang w:val="de-DE"/>
        </w:rPr>
        <w:tab/>
      </w:r>
      <w:r w:rsidRPr="00502706">
        <w:rPr>
          <w:lang w:val="de-DE"/>
        </w:rPr>
        <w:t>INF.10, INF.14 und INF.16 (CCNR)</w:t>
      </w:r>
    </w:p>
    <w:p w14:paraId="1F24B570" w14:textId="6F4A334C" w:rsidR="002326CE" w:rsidRPr="0001227A" w:rsidRDefault="00EC4B3D" w:rsidP="008774D3">
      <w:pPr>
        <w:pStyle w:val="SingleTxtG"/>
        <w:rPr>
          <w:lang w:val="de-DE"/>
        </w:rPr>
      </w:pPr>
      <w:r w:rsidRPr="0001227A">
        <w:rPr>
          <w:lang w:val="de-DE"/>
        </w:rPr>
        <w:t>36</w:t>
      </w:r>
      <w:r w:rsidR="002326CE" w:rsidRPr="0001227A">
        <w:rPr>
          <w:lang w:val="de-DE"/>
        </w:rPr>
        <w:t>.</w:t>
      </w:r>
      <w:r w:rsidR="002326CE" w:rsidRPr="0001227A">
        <w:rPr>
          <w:lang w:val="de-DE"/>
        </w:rPr>
        <w:tab/>
      </w:r>
      <w:r w:rsidR="00502706" w:rsidRPr="008774D3">
        <w:rPr>
          <w:lang w:val="de-DE"/>
        </w:rPr>
        <w:t xml:space="preserve">Der Sicherheitsausschuss begrüßte die Arbeiten der informellen Arbeitsgruppe „Sachkundigenausbildung“ zur Aktualisierung des Fragenkatalogs und empfahl dem Verwaltungsausschuss, den </w:t>
      </w:r>
      <w:r w:rsidR="00025AB8" w:rsidRPr="008774D3">
        <w:rPr>
          <w:lang w:val="de-DE"/>
        </w:rPr>
        <w:t>revidierten</w:t>
      </w:r>
      <w:r w:rsidR="00502706" w:rsidRPr="008774D3">
        <w:rPr>
          <w:lang w:val="de-DE"/>
        </w:rPr>
        <w:t xml:space="preserve"> Katalog zu billigen.</w:t>
      </w:r>
    </w:p>
    <w:p w14:paraId="5E5147E0" w14:textId="6AB6B976" w:rsidR="002326CE" w:rsidRPr="0001227A" w:rsidRDefault="002326CE" w:rsidP="00502706">
      <w:pPr>
        <w:pStyle w:val="H23G"/>
        <w:rPr>
          <w:lang w:val="de-DE"/>
        </w:rPr>
      </w:pPr>
      <w:r w:rsidRPr="0001227A">
        <w:rPr>
          <w:lang w:val="de-DE"/>
        </w:rPr>
        <w:tab/>
        <w:t>4.</w:t>
      </w:r>
      <w:r w:rsidRPr="0001227A">
        <w:rPr>
          <w:lang w:val="de-DE"/>
        </w:rPr>
        <w:tab/>
      </w:r>
      <w:r w:rsidR="00502706" w:rsidRPr="00502706">
        <w:rPr>
          <w:lang w:val="de-DE"/>
        </w:rPr>
        <w:t>Arbeitsprogramm der informellen Arbeitsgruppe „Sachkundigenausbildung“</w:t>
      </w:r>
    </w:p>
    <w:p w14:paraId="6F3F536F" w14:textId="22032F42" w:rsidR="002326CE" w:rsidRPr="0001227A" w:rsidRDefault="00502706" w:rsidP="002326CE">
      <w:pPr>
        <w:pStyle w:val="SingleTxtG"/>
        <w:rPr>
          <w:lang w:val="de-DE"/>
        </w:rPr>
      </w:pPr>
      <w:r w:rsidRPr="0001227A">
        <w:rPr>
          <w:i/>
          <w:iCs/>
          <w:lang w:val="de-DE"/>
        </w:rPr>
        <w:t>Dok</w:t>
      </w:r>
      <w:r w:rsidR="002326CE" w:rsidRPr="0001227A">
        <w:rPr>
          <w:i/>
          <w:iCs/>
          <w:lang w:val="de-DE"/>
        </w:rPr>
        <w:t>ument</w:t>
      </w:r>
      <w:r w:rsidRPr="0001227A">
        <w:rPr>
          <w:lang w:val="de-DE"/>
        </w:rPr>
        <w:t>:</w:t>
      </w:r>
      <w:r w:rsidRPr="0001227A">
        <w:rPr>
          <w:lang w:val="de-DE"/>
        </w:rPr>
        <w:tab/>
        <w:t>ECE/TRANS/WP.15/AC.2/2017/8 (ZK</w:t>
      </w:r>
      <w:r w:rsidR="002326CE" w:rsidRPr="0001227A">
        <w:rPr>
          <w:lang w:val="de-DE"/>
        </w:rPr>
        <w:t>R)</w:t>
      </w:r>
    </w:p>
    <w:p w14:paraId="6B70BB37" w14:textId="11B3E903" w:rsidR="002326CE" w:rsidRPr="0001227A" w:rsidRDefault="00EC4B3D" w:rsidP="008774D3">
      <w:pPr>
        <w:pStyle w:val="SingleTxtG"/>
        <w:rPr>
          <w:lang w:val="de-DE"/>
        </w:rPr>
      </w:pPr>
      <w:r w:rsidRPr="0001227A">
        <w:rPr>
          <w:lang w:val="de-DE"/>
        </w:rPr>
        <w:t>37</w:t>
      </w:r>
      <w:r w:rsidR="002326CE" w:rsidRPr="0001227A">
        <w:rPr>
          <w:lang w:val="de-DE"/>
        </w:rPr>
        <w:t>.</w:t>
      </w:r>
      <w:r w:rsidR="002326CE" w:rsidRPr="0001227A">
        <w:rPr>
          <w:lang w:val="de-DE"/>
        </w:rPr>
        <w:tab/>
      </w:r>
      <w:r w:rsidR="00502706" w:rsidRPr="008774D3">
        <w:rPr>
          <w:lang w:val="de-DE"/>
        </w:rPr>
        <w:t>Der Sicherheitsausschuss stimmte der Aktualisierung des Arbeitsprogramms der Arbeitsgruppe zu.</w:t>
      </w:r>
    </w:p>
    <w:p w14:paraId="5ECB0A6A" w14:textId="10B951AC" w:rsidR="002326CE" w:rsidRPr="0001227A" w:rsidRDefault="002326CE" w:rsidP="00502706">
      <w:pPr>
        <w:pStyle w:val="H23G"/>
        <w:rPr>
          <w:lang w:val="de-DE"/>
        </w:rPr>
      </w:pPr>
      <w:r w:rsidRPr="0001227A">
        <w:rPr>
          <w:lang w:val="de-DE"/>
        </w:rPr>
        <w:tab/>
        <w:t>5.</w:t>
      </w:r>
      <w:r w:rsidRPr="0001227A">
        <w:rPr>
          <w:lang w:val="de-DE"/>
        </w:rPr>
        <w:tab/>
      </w:r>
      <w:r w:rsidR="00502706" w:rsidRPr="00502706">
        <w:rPr>
          <w:lang w:val="de-DE"/>
        </w:rPr>
        <w:t>Fragenkatalog für die Ausbildung von Sicherheitsberatern</w:t>
      </w:r>
    </w:p>
    <w:p w14:paraId="2E5B71D4" w14:textId="58DB46A2" w:rsidR="002326CE" w:rsidRPr="0001227A" w:rsidRDefault="00502706" w:rsidP="002326CE">
      <w:pPr>
        <w:pStyle w:val="SingleTxtG"/>
        <w:rPr>
          <w:lang w:val="de-DE"/>
        </w:rPr>
      </w:pPr>
      <w:r w:rsidRPr="0001227A">
        <w:rPr>
          <w:i/>
          <w:iCs/>
          <w:lang w:val="de-DE"/>
        </w:rPr>
        <w:t>Dok</w:t>
      </w:r>
      <w:r w:rsidR="002326CE" w:rsidRPr="0001227A">
        <w:rPr>
          <w:i/>
          <w:iCs/>
          <w:lang w:val="de-DE"/>
        </w:rPr>
        <w:t>ument</w:t>
      </w:r>
      <w:r w:rsidR="002326CE" w:rsidRPr="0001227A">
        <w:rPr>
          <w:lang w:val="de-DE"/>
        </w:rPr>
        <w:t>:</w:t>
      </w:r>
      <w:r w:rsidR="002326CE" w:rsidRPr="0001227A">
        <w:rPr>
          <w:lang w:val="de-DE"/>
        </w:rPr>
        <w:tab/>
        <w:t>ECE/TRANS/WP.15/AC.2/2017/14 (D</w:t>
      </w:r>
      <w:r w:rsidRPr="0001227A">
        <w:rPr>
          <w:lang w:val="de-DE"/>
        </w:rPr>
        <w:t>ona</w:t>
      </w:r>
      <w:r w:rsidR="002326CE" w:rsidRPr="0001227A">
        <w:rPr>
          <w:lang w:val="de-DE"/>
        </w:rPr>
        <w:t>u</w:t>
      </w:r>
      <w:r w:rsidRPr="0001227A">
        <w:rPr>
          <w:lang w:val="de-DE"/>
        </w:rPr>
        <w:t>k</w:t>
      </w:r>
      <w:r w:rsidR="002326CE" w:rsidRPr="0001227A">
        <w:rPr>
          <w:lang w:val="de-DE"/>
        </w:rPr>
        <w:t>ommission)</w:t>
      </w:r>
    </w:p>
    <w:p w14:paraId="052AAC62" w14:textId="7B34FFF3" w:rsidR="002326CE" w:rsidRPr="0001227A" w:rsidRDefault="00EC4B3D" w:rsidP="00CC3772">
      <w:pPr>
        <w:pStyle w:val="SingleTxtG"/>
        <w:rPr>
          <w:lang w:val="de-DE"/>
        </w:rPr>
      </w:pPr>
      <w:r w:rsidRPr="0001227A">
        <w:rPr>
          <w:lang w:val="de-DE"/>
        </w:rPr>
        <w:t>38</w:t>
      </w:r>
      <w:r w:rsidR="002326CE" w:rsidRPr="0001227A">
        <w:rPr>
          <w:lang w:val="de-DE"/>
        </w:rPr>
        <w:t>.</w:t>
      </w:r>
      <w:r w:rsidR="002326CE" w:rsidRPr="0001227A">
        <w:rPr>
          <w:lang w:val="de-DE"/>
        </w:rPr>
        <w:tab/>
      </w:r>
      <w:r w:rsidR="00502706" w:rsidRPr="008774D3">
        <w:rPr>
          <w:lang w:val="de-DE"/>
        </w:rPr>
        <w:t>Der Sicherheitsausschuss nahm den Wunsch der Do</w:t>
      </w:r>
      <w:r w:rsidR="00777CDA" w:rsidRPr="008774D3">
        <w:rPr>
          <w:lang w:val="de-DE"/>
        </w:rPr>
        <w:t>naukommission, zu den Arbeiten a</w:t>
      </w:r>
      <w:r w:rsidR="00502706" w:rsidRPr="008774D3">
        <w:rPr>
          <w:lang w:val="de-DE"/>
        </w:rPr>
        <w:t xml:space="preserve">m ADN durch die Erstellung eines Handbuchs mit Fragen und </w:t>
      </w:r>
      <w:r w:rsidR="00F43E7E" w:rsidRPr="008774D3">
        <w:rPr>
          <w:lang w:val="de-DE"/>
        </w:rPr>
        <w:t>P</w:t>
      </w:r>
      <w:r w:rsidR="00502706" w:rsidRPr="008774D3">
        <w:rPr>
          <w:lang w:val="de-DE"/>
        </w:rPr>
        <w:t>ra</w:t>
      </w:r>
      <w:r w:rsidR="00F43E7E" w:rsidRPr="008774D3">
        <w:rPr>
          <w:lang w:val="de-DE"/>
        </w:rPr>
        <w:t>x</w:t>
      </w:r>
      <w:r w:rsidR="00502706" w:rsidRPr="008774D3">
        <w:rPr>
          <w:lang w:val="de-DE"/>
        </w:rPr>
        <w:t>is</w:t>
      </w:r>
      <w:r w:rsidR="00F43E7E" w:rsidRPr="008774D3">
        <w:rPr>
          <w:lang w:val="de-DE"/>
        </w:rPr>
        <w:t>ü</w:t>
      </w:r>
      <w:r w:rsidR="00502706" w:rsidRPr="008774D3">
        <w:rPr>
          <w:lang w:val="de-DE"/>
        </w:rPr>
        <w:t>bungen für die Ausbildung von Sicherheitsberatern beizutragen</w:t>
      </w:r>
      <w:r w:rsidR="00777CDA" w:rsidRPr="008774D3">
        <w:rPr>
          <w:lang w:val="de-DE"/>
        </w:rPr>
        <w:t>,</w:t>
      </w:r>
      <w:r w:rsidR="00502706" w:rsidRPr="008774D3">
        <w:rPr>
          <w:lang w:val="de-DE"/>
        </w:rPr>
        <w:t xml:space="preserve"> </w:t>
      </w:r>
      <w:r w:rsidR="008774D3" w:rsidRPr="008774D3">
        <w:rPr>
          <w:lang w:val="de-DE"/>
        </w:rPr>
        <w:t>mit Interesse</w:t>
      </w:r>
      <w:r w:rsidR="00777CDA" w:rsidRPr="008774D3">
        <w:rPr>
          <w:lang w:val="de-DE"/>
        </w:rPr>
        <w:t xml:space="preserve"> zur Kenntnis.</w:t>
      </w:r>
      <w:r w:rsidR="002326CE" w:rsidRPr="0001227A">
        <w:rPr>
          <w:lang w:val="de-DE"/>
        </w:rPr>
        <w:t xml:space="preserve"> </w:t>
      </w:r>
      <w:r w:rsidR="004F416D" w:rsidRPr="009D1FEC">
        <w:rPr>
          <w:lang w:val="de-DE"/>
        </w:rPr>
        <w:t>Mittelfristig</w:t>
      </w:r>
      <w:r w:rsidR="00777CDA" w:rsidRPr="009D1FEC">
        <w:rPr>
          <w:lang w:val="de-DE"/>
        </w:rPr>
        <w:t xml:space="preserve"> soll</w:t>
      </w:r>
      <w:r w:rsidR="008774D3" w:rsidRPr="009D1FEC">
        <w:rPr>
          <w:lang w:val="de-DE"/>
        </w:rPr>
        <w:t>en</w:t>
      </w:r>
      <w:r w:rsidR="00777CDA" w:rsidRPr="00CC3772">
        <w:rPr>
          <w:lang w:val="de-DE"/>
        </w:rPr>
        <w:t xml:space="preserve"> </w:t>
      </w:r>
      <w:r w:rsidR="004F416D" w:rsidRPr="00CC3772">
        <w:rPr>
          <w:lang w:val="de-DE"/>
        </w:rPr>
        <w:t xml:space="preserve">alle ADN-Vertragsparteien </w:t>
      </w:r>
      <w:r w:rsidR="00574F81" w:rsidRPr="00CC3772">
        <w:rPr>
          <w:lang w:val="de-DE"/>
        </w:rPr>
        <w:t xml:space="preserve">zur Verwendung des Handbuchs </w:t>
      </w:r>
      <w:r w:rsidR="008774D3" w:rsidRPr="00CC3772">
        <w:rPr>
          <w:lang w:val="de-DE"/>
        </w:rPr>
        <w:t>verp</w:t>
      </w:r>
      <w:r w:rsidR="004F416D" w:rsidRPr="00CC3772">
        <w:rPr>
          <w:lang w:val="de-DE"/>
        </w:rPr>
        <w:t>flicht</w:t>
      </w:r>
      <w:r w:rsidR="008774D3" w:rsidRPr="00CC3772">
        <w:rPr>
          <w:lang w:val="de-DE"/>
        </w:rPr>
        <w:t>et</w:t>
      </w:r>
      <w:r w:rsidR="004F416D" w:rsidRPr="00CC3772">
        <w:rPr>
          <w:lang w:val="de-DE"/>
        </w:rPr>
        <w:t xml:space="preserve"> </w:t>
      </w:r>
      <w:r w:rsidR="00CC3772" w:rsidRPr="00CC3772">
        <w:rPr>
          <w:lang w:val="de-DE"/>
        </w:rPr>
        <w:t>werden</w:t>
      </w:r>
      <w:r w:rsidR="00777CDA" w:rsidRPr="00CC3772">
        <w:rPr>
          <w:lang w:val="de-DE"/>
        </w:rPr>
        <w:t>.</w:t>
      </w:r>
    </w:p>
    <w:p w14:paraId="5123E153" w14:textId="398F4A19" w:rsidR="002326CE" w:rsidRPr="0001227A" w:rsidRDefault="00EC4B3D" w:rsidP="00400206">
      <w:pPr>
        <w:pStyle w:val="SingleTxtG"/>
        <w:rPr>
          <w:lang w:val="de-DE"/>
        </w:rPr>
      </w:pPr>
      <w:r w:rsidRPr="0001227A">
        <w:rPr>
          <w:lang w:val="de-DE"/>
        </w:rPr>
        <w:t>39</w:t>
      </w:r>
      <w:r w:rsidR="002326CE" w:rsidRPr="0001227A">
        <w:rPr>
          <w:lang w:val="de-DE"/>
        </w:rPr>
        <w:t>.</w:t>
      </w:r>
      <w:r w:rsidR="002326CE" w:rsidRPr="0001227A">
        <w:rPr>
          <w:lang w:val="de-DE"/>
        </w:rPr>
        <w:tab/>
      </w:r>
      <w:r w:rsidR="00B64B36" w:rsidRPr="00CC3772">
        <w:rPr>
          <w:lang w:val="de-DE"/>
        </w:rPr>
        <w:t>Manche Delegationen unterstützten diese Initiative.</w:t>
      </w:r>
      <w:r w:rsidR="002326CE" w:rsidRPr="0001227A">
        <w:rPr>
          <w:lang w:val="de-DE"/>
        </w:rPr>
        <w:t xml:space="preserve"> </w:t>
      </w:r>
      <w:r w:rsidR="00B64B36" w:rsidRPr="00400206">
        <w:rPr>
          <w:lang w:val="de-DE"/>
        </w:rPr>
        <w:t xml:space="preserve">Andere Delegationen erklärten, dass sie gegen solche Arbeiten keine Einwände hätten, </w:t>
      </w:r>
      <w:r w:rsidR="002A30D5" w:rsidRPr="00400206">
        <w:rPr>
          <w:lang w:val="de-DE"/>
        </w:rPr>
        <w:t xml:space="preserve">gleichzeitig </w:t>
      </w:r>
      <w:r w:rsidR="00B64B36" w:rsidRPr="00400206">
        <w:rPr>
          <w:lang w:val="de-DE"/>
        </w:rPr>
        <w:t xml:space="preserve">äußerten </w:t>
      </w:r>
      <w:r w:rsidR="002A30D5" w:rsidRPr="00400206">
        <w:rPr>
          <w:lang w:val="de-DE"/>
        </w:rPr>
        <w:t xml:space="preserve">sie jedoch </w:t>
      </w:r>
      <w:r w:rsidR="00CC3772" w:rsidRPr="00400206">
        <w:rPr>
          <w:lang w:val="de-DE"/>
        </w:rPr>
        <w:t>Vorbehalte</w:t>
      </w:r>
      <w:r w:rsidR="00B64B36" w:rsidRPr="00400206">
        <w:rPr>
          <w:lang w:val="de-DE"/>
        </w:rPr>
        <w:t xml:space="preserve"> </w:t>
      </w:r>
      <w:r w:rsidR="00CC3772" w:rsidRPr="00400206">
        <w:rPr>
          <w:lang w:val="de-DE"/>
        </w:rPr>
        <w:t>gegen</w:t>
      </w:r>
      <w:r w:rsidR="00E61385" w:rsidRPr="00400206">
        <w:rPr>
          <w:lang w:val="de-DE"/>
        </w:rPr>
        <w:t xml:space="preserve"> ihre</w:t>
      </w:r>
      <w:r w:rsidR="00CC3772" w:rsidRPr="00400206">
        <w:rPr>
          <w:lang w:val="de-DE"/>
        </w:rPr>
        <w:t>n</w:t>
      </w:r>
      <w:r w:rsidR="00E61385" w:rsidRPr="00400206">
        <w:rPr>
          <w:lang w:val="de-DE"/>
        </w:rPr>
        <w:t xml:space="preserve"> Zweck, dies aus folgenden Gründen:</w:t>
      </w:r>
    </w:p>
    <w:p w14:paraId="6888100E" w14:textId="34311EBE" w:rsidR="002326CE" w:rsidRPr="0001227A" w:rsidRDefault="002326CE" w:rsidP="00400206">
      <w:pPr>
        <w:pStyle w:val="SingleTxtG"/>
        <w:rPr>
          <w:lang w:val="de-DE"/>
        </w:rPr>
      </w:pPr>
      <w:r w:rsidRPr="0001227A">
        <w:rPr>
          <w:lang w:val="de-DE"/>
        </w:rPr>
        <w:tab/>
      </w:r>
      <w:r w:rsidR="00E61385" w:rsidRPr="00400206">
        <w:rPr>
          <w:lang w:val="de-DE"/>
        </w:rPr>
        <w:t>a)</w:t>
      </w:r>
      <w:r w:rsidRPr="0001227A">
        <w:rPr>
          <w:lang w:val="de-DE"/>
        </w:rPr>
        <w:tab/>
      </w:r>
      <w:r w:rsidR="00E61385" w:rsidRPr="00400206">
        <w:rPr>
          <w:lang w:val="de-DE"/>
        </w:rPr>
        <w:t>Derzeit gibt es keine speziellen Bestimmungen für die Ausbildung von ADN-Sicherheitsberatern, sondern lediglich eine allgemeine Pflicht</w:t>
      </w:r>
      <w:r w:rsidR="00380023" w:rsidRPr="00400206">
        <w:rPr>
          <w:lang w:val="de-DE"/>
        </w:rPr>
        <w:t>,</w:t>
      </w:r>
      <w:r w:rsidR="00E61385" w:rsidRPr="00400206">
        <w:rPr>
          <w:lang w:val="de-DE"/>
        </w:rPr>
        <w:t xml:space="preserve"> </w:t>
      </w:r>
      <w:r w:rsidR="00380023" w:rsidRPr="00400206">
        <w:rPr>
          <w:lang w:val="de-DE"/>
        </w:rPr>
        <w:t xml:space="preserve">sich einer Ausbildung </w:t>
      </w:r>
      <w:r w:rsidR="00E61385" w:rsidRPr="00400206">
        <w:rPr>
          <w:lang w:val="de-DE"/>
        </w:rPr>
        <w:t>zu</w:t>
      </w:r>
      <w:r w:rsidR="00380023" w:rsidRPr="00400206">
        <w:rPr>
          <w:lang w:val="de-DE"/>
        </w:rPr>
        <w:t xml:space="preserve"> unte</w:t>
      </w:r>
      <w:r w:rsidR="00E61385" w:rsidRPr="00400206">
        <w:rPr>
          <w:lang w:val="de-DE"/>
        </w:rPr>
        <w:t>r</w:t>
      </w:r>
      <w:r w:rsidR="00380023" w:rsidRPr="00400206">
        <w:rPr>
          <w:lang w:val="de-DE"/>
        </w:rPr>
        <w:t>ziehen</w:t>
      </w:r>
      <w:r w:rsidR="00E61385" w:rsidRPr="00400206">
        <w:rPr>
          <w:lang w:val="de-DE"/>
        </w:rPr>
        <w:t xml:space="preserve"> </w:t>
      </w:r>
      <w:r w:rsidR="00380023" w:rsidRPr="00400206">
        <w:rPr>
          <w:lang w:val="de-DE"/>
        </w:rPr>
        <w:t>und eine Prüfung abzulegen.</w:t>
      </w:r>
      <w:r w:rsidRPr="0001227A">
        <w:rPr>
          <w:lang w:val="de-DE"/>
        </w:rPr>
        <w:t xml:space="preserve"> </w:t>
      </w:r>
      <w:r w:rsidR="00380023" w:rsidRPr="00400206">
        <w:rPr>
          <w:lang w:val="de-DE"/>
        </w:rPr>
        <w:t>Die Praktiken sind von Land zu Land unterschiedlich, frühere Harmonisierungsbemühungen haben jedoch deutlich gezeigt, dass die Vertragsparteien diesbezüglich ein</w:t>
      </w:r>
      <w:r w:rsidR="00366143" w:rsidRPr="00400206">
        <w:rPr>
          <w:lang w:val="de-DE"/>
        </w:rPr>
        <w:t xml:space="preserve"> gewisses Maß a</w:t>
      </w:r>
      <w:r w:rsidR="00380023" w:rsidRPr="00400206">
        <w:rPr>
          <w:lang w:val="de-DE"/>
        </w:rPr>
        <w:t xml:space="preserve">n </w:t>
      </w:r>
      <w:r w:rsidR="00366143" w:rsidRPr="00400206">
        <w:rPr>
          <w:lang w:val="de-DE"/>
        </w:rPr>
        <w:t>Flexibilität wahren möchten.</w:t>
      </w:r>
    </w:p>
    <w:p w14:paraId="46DCE04C" w14:textId="67F651C8" w:rsidR="002326CE" w:rsidRPr="0001227A" w:rsidRDefault="002326CE" w:rsidP="00400206">
      <w:pPr>
        <w:pStyle w:val="SingleTxtG"/>
        <w:rPr>
          <w:lang w:val="de-DE"/>
        </w:rPr>
      </w:pPr>
      <w:r w:rsidRPr="0001227A">
        <w:rPr>
          <w:lang w:val="de-DE"/>
        </w:rPr>
        <w:tab/>
      </w:r>
      <w:r w:rsidR="00DD079C" w:rsidRPr="00400206">
        <w:rPr>
          <w:lang w:val="de-DE"/>
        </w:rPr>
        <w:t>b)</w:t>
      </w:r>
      <w:r w:rsidRPr="0001227A">
        <w:rPr>
          <w:lang w:val="de-DE"/>
        </w:rPr>
        <w:tab/>
      </w:r>
      <w:r w:rsidR="00DD079C" w:rsidRPr="00400206">
        <w:rPr>
          <w:lang w:val="de-DE"/>
        </w:rPr>
        <w:t>Die Erstellung eines Fragenkatalogs könnte den Vertragsparteien bei der Durchführung der Prüfungen helfen, jedoch verfügen die meisten von ihnen bereits über Fragenkataloge, die sie nicht in Frage gestellt sehen wollen.</w:t>
      </w:r>
    </w:p>
    <w:p w14:paraId="22959D13" w14:textId="6377ED4E" w:rsidR="002326CE" w:rsidRPr="0001227A" w:rsidRDefault="002326CE" w:rsidP="00400206">
      <w:pPr>
        <w:pStyle w:val="SingleTxtG"/>
        <w:rPr>
          <w:lang w:val="de-DE"/>
        </w:rPr>
      </w:pPr>
      <w:r w:rsidRPr="0001227A">
        <w:rPr>
          <w:lang w:val="de-DE"/>
        </w:rPr>
        <w:tab/>
      </w:r>
      <w:r w:rsidR="00DD079C" w:rsidRPr="00400206">
        <w:rPr>
          <w:lang w:val="de-DE"/>
        </w:rPr>
        <w:t>c)</w:t>
      </w:r>
      <w:r w:rsidRPr="0001227A">
        <w:rPr>
          <w:lang w:val="de-DE"/>
        </w:rPr>
        <w:tab/>
      </w:r>
      <w:r w:rsidR="00DD079C" w:rsidRPr="00400206">
        <w:rPr>
          <w:lang w:val="de-DE"/>
        </w:rPr>
        <w:t>Die Prüfungen für Sicherheitsberater beziehen sich nicht nur auf das ADN</w:t>
      </w:r>
      <w:r w:rsidR="009D1FEC">
        <w:rPr>
          <w:lang w:val="de-DE"/>
        </w:rPr>
        <w:t>,</w:t>
      </w:r>
      <w:r w:rsidRPr="0001227A">
        <w:rPr>
          <w:lang w:val="de-DE"/>
        </w:rPr>
        <w:t xml:space="preserve"> </w:t>
      </w:r>
      <w:r w:rsidR="009D1FEC">
        <w:rPr>
          <w:lang w:val="de-DE"/>
        </w:rPr>
        <w:t>sondern</w:t>
      </w:r>
      <w:r w:rsidR="00400206" w:rsidRPr="00400206">
        <w:rPr>
          <w:lang w:val="de-DE"/>
        </w:rPr>
        <w:t xml:space="preserve"> sehen </w:t>
      </w:r>
      <w:r w:rsidR="00DD079C" w:rsidRPr="00400206">
        <w:rPr>
          <w:lang w:val="de-DE"/>
        </w:rPr>
        <w:t>viele Fragen mit Bezug zu allen Landverkehrsträgern (Schiene, Straße, Wasserstraße)</w:t>
      </w:r>
      <w:r w:rsidR="00400206" w:rsidRPr="00400206">
        <w:rPr>
          <w:lang w:val="de-DE"/>
        </w:rPr>
        <w:t xml:space="preserve"> vor</w:t>
      </w:r>
      <w:r w:rsidR="009D1FEC">
        <w:rPr>
          <w:lang w:val="de-DE"/>
        </w:rPr>
        <w:t>.</w:t>
      </w:r>
      <w:r w:rsidR="00DD079C" w:rsidRPr="00400206">
        <w:rPr>
          <w:lang w:val="de-DE"/>
        </w:rPr>
        <w:t xml:space="preserve"> </w:t>
      </w:r>
      <w:r w:rsidR="00400206" w:rsidRPr="00400206">
        <w:rPr>
          <w:lang w:val="de-DE"/>
        </w:rPr>
        <w:t>Falls</w:t>
      </w:r>
      <w:r w:rsidR="00E723BB" w:rsidRPr="00400206">
        <w:rPr>
          <w:lang w:val="de-DE"/>
        </w:rPr>
        <w:t xml:space="preserve"> die Absicht besteht</w:t>
      </w:r>
      <w:r w:rsidR="00DD079C" w:rsidRPr="00400206">
        <w:rPr>
          <w:lang w:val="de-DE"/>
        </w:rPr>
        <w:t xml:space="preserve">, Fragenkataloge </w:t>
      </w:r>
      <w:r w:rsidR="00E723BB" w:rsidRPr="00400206">
        <w:rPr>
          <w:lang w:val="de-DE"/>
        </w:rPr>
        <w:t xml:space="preserve">zu erstellen, die nicht </w:t>
      </w:r>
      <w:r w:rsidR="00E30A02" w:rsidRPr="00400206">
        <w:rPr>
          <w:lang w:val="de-DE"/>
        </w:rPr>
        <w:t>spezifisch das ADN betreffen, sollte die Initiative an die RID/ADR/ADN-Tagung verwiesen werden.</w:t>
      </w:r>
    </w:p>
    <w:p w14:paraId="60B7B718" w14:textId="7D019BFD" w:rsidR="002326CE" w:rsidRPr="0001227A" w:rsidRDefault="002326CE" w:rsidP="00400206">
      <w:pPr>
        <w:pStyle w:val="SingleTxtG"/>
        <w:rPr>
          <w:lang w:val="de-DE"/>
        </w:rPr>
      </w:pPr>
      <w:r w:rsidRPr="0001227A">
        <w:rPr>
          <w:lang w:val="de-DE"/>
        </w:rPr>
        <w:tab/>
      </w:r>
      <w:r w:rsidR="00400491" w:rsidRPr="00400206">
        <w:rPr>
          <w:lang w:val="de-DE"/>
        </w:rPr>
        <w:t>d)</w:t>
      </w:r>
      <w:r w:rsidRPr="0001227A">
        <w:rPr>
          <w:lang w:val="de-DE"/>
        </w:rPr>
        <w:tab/>
      </w:r>
      <w:r w:rsidR="00400491" w:rsidRPr="00400206">
        <w:rPr>
          <w:lang w:val="de-DE"/>
        </w:rPr>
        <w:t>Die Prüfungen gehen auch auf Fragen im Zusammenhang mit den nationalen Rechtsvorschriften des Landes</w:t>
      </w:r>
      <w:r w:rsidR="001131B5" w:rsidRPr="00400206">
        <w:rPr>
          <w:lang w:val="de-DE"/>
        </w:rPr>
        <w:t xml:space="preserve"> ein</w:t>
      </w:r>
      <w:r w:rsidR="00400491" w:rsidRPr="00400206">
        <w:rPr>
          <w:lang w:val="de-DE"/>
        </w:rPr>
        <w:t>, in dem die Prüfungen stattfinden</w:t>
      </w:r>
      <w:r w:rsidR="00CD29AE" w:rsidRPr="00400206">
        <w:rPr>
          <w:lang w:val="de-DE"/>
        </w:rPr>
        <w:t>.</w:t>
      </w:r>
    </w:p>
    <w:p w14:paraId="02F801B8" w14:textId="0F0844AE" w:rsidR="002326CE" w:rsidRPr="0001227A" w:rsidRDefault="00C1649F" w:rsidP="00400206">
      <w:pPr>
        <w:pStyle w:val="SingleTxtG"/>
        <w:rPr>
          <w:lang w:val="de-DE"/>
        </w:rPr>
      </w:pPr>
      <w:r>
        <w:rPr>
          <w:lang w:val="de-DE"/>
        </w:rPr>
        <w:br w:type="page"/>
      </w:r>
      <w:r w:rsidR="002326CE" w:rsidRPr="0001227A">
        <w:rPr>
          <w:lang w:val="de-DE"/>
        </w:rPr>
        <w:lastRenderedPageBreak/>
        <w:tab/>
      </w:r>
      <w:r w:rsidR="001131B5" w:rsidRPr="00400206">
        <w:rPr>
          <w:lang w:val="de-DE"/>
        </w:rPr>
        <w:t>e)</w:t>
      </w:r>
      <w:r w:rsidR="002326CE" w:rsidRPr="0001227A">
        <w:rPr>
          <w:lang w:val="de-DE"/>
        </w:rPr>
        <w:tab/>
      </w:r>
      <w:r w:rsidR="001131B5" w:rsidRPr="00400206">
        <w:rPr>
          <w:lang w:val="de-DE"/>
        </w:rPr>
        <w:t xml:space="preserve">Es handelt sich um eine </w:t>
      </w:r>
      <w:r w:rsidR="00400206" w:rsidRPr="00400206">
        <w:rPr>
          <w:lang w:val="de-DE"/>
        </w:rPr>
        <w:t>umfangreiche</w:t>
      </w:r>
      <w:r w:rsidR="001131B5" w:rsidRPr="00400206">
        <w:rPr>
          <w:lang w:val="de-DE"/>
        </w:rPr>
        <w:t xml:space="preserve"> Aufgabe und aus dem Vorschlag geht nicht klar hervor, wie die Arbeiten bis Ende 2017 in den vier Arbeitssprachen des Sicherheitsausschusses abgeschlossen werden k</w:t>
      </w:r>
      <w:r w:rsidR="001A2DFB" w:rsidRPr="00400206">
        <w:rPr>
          <w:lang w:val="de-DE"/>
        </w:rPr>
        <w:t>önn</w:t>
      </w:r>
      <w:r w:rsidR="001131B5" w:rsidRPr="00400206">
        <w:rPr>
          <w:lang w:val="de-DE"/>
        </w:rPr>
        <w:t>en.</w:t>
      </w:r>
      <w:r w:rsidR="002326CE" w:rsidRPr="0001227A">
        <w:rPr>
          <w:lang w:val="de-DE"/>
        </w:rPr>
        <w:t xml:space="preserve"> </w:t>
      </w:r>
      <w:r w:rsidR="001A2DFB" w:rsidRPr="00400206">
        <w:rPr>
          <w:lang w:val="de-DE"/>
        </w:rPr>
        <w:t>Zudem beinhaltet die Erstellung eines Fragenkatalogs die Verpflichtung, den Katalog alle zwei Jahre zu aktualisieren.</w:t>
      </w:r>
    </w:p>
    <w:p w14:paraId="7F6695D4" w14:textId="78D55F42" w:rsidR="002326CE" w:rsidRPr="0001227A" w:rsidRDefault="00EC4B3D" w:rsidP="00400206">
      <w:pPr>
        <w:pStyle w:val="SingleTxtG"/>
        <w:rPr>
          <w:lang w:val="de-DE"/>
        </w:rPr>
      </w:pPr>
      <w:r w:rsidRPr="0001227A">
        <w:rPr>
          <w:lang w:val="de-DE"/>
        </w:rPr>
        <w:t>40</w:t>
      </w:r>
      <w:r w:rsidR="002326CE" w:rsidRPr="0001227A">
        <w:rPr>
          <w:lang w:val="de-DE"/>
        </w:rPr>
        <w:t>.</w:t>
      </w:r>
      <w:r w:rsidR="002326CE" w:rsidRPr="0001227A">
        <w:rPr>
          <w:lang w:val="de-DE"/>
        </w:rPr>
        <w:tab/>
      </w:r>
      <w:r w:rsidR="006401FE" w:rsidRPr="00400206">
        <w:rPr>
          <w:lang w:val="de-DE"/>
        </w:rPr>
        <w:t xml:space="preserve">Der Vertreter der Donaukommission berichtete, dass beabsichtigt sei, in einem ersten Schritt </w:t>
      </w:r>
      <w:r w:rsidR="00E25416" w:rsidRPr="00400206">
        <w:rPr>
          <w:lang w:val="de-DE"/>
        </w:rPr>
        <w:t xml:space="preserve">auf der Grundlage der Informationen der Mitgliedstaaten der Donaukommission </w:t>
      </w:r>
      <w:r w:rsidR="006401FE" w:rsidRPr="00400206">
        <w:rPr>
          <w:lang w:val="de-DE"/>
        </w:rPr>
        <w:t xml:space="preserve">eine </w:t>
      </w:r>
      <w:r w:rsidR="00E25416" w:rsidRPr="00400206">
        <w:rPr>
          <w:lang w:val="de-DE"/>
        </w:rPr>
        <w:t xml:space="preserve">Zusammenstellung von Fragen </w:t>
      </w:r>
      <w:r w:rsidR="00E25416" w:rsidRPr="00DC59F2">
        <w:rPr>
          <w:lang w:val="de-DE"/>
        </w:rPr>
        <w:t>vorzubereiten</w:t>
      </w:r>
      <w:r w:rsidR="00FD2D3E" w:rsidRPr="00400206">
        <w:rPr>
          <w:lang w:val="de-DE"/>
        </w:rPr>
        <w:t>, wobei</w:t>
      </w:r>
      <w:r w:rsidR="00400206" w:rsidRPr="00400206">
        <w:rPr>
          <w:lang w:val="de-DE"/>
        </w:rPr>
        <w:t xml:space="preserve"> auch</w:t>
      </w:r>
      <w:r w:rsidR="00FD2D3E" w:rsidRPr="00400206">
        <w:rPr>
          <w:lang w:val="de-DE"/>
        </w:rPr>
        <w:t xml:space="preserve"> alle anderen Vertragsparteien des ADN zu den Arbeiten beitragen könnten.</w:t>
      </w:r>
      <w:r w:rsidR="002326CE" w:rsidRPr="0001227A">
        <w:rPr>
          <w:lang w:val="de-DE"/>
        </w:rPr>
        <w:t xml:space="preserve"> </w:t>
      </w:r>
      <w:r w:rsidR="00FD2D3E" w:rsidRPr="00400206">
        <w:rPr>
          <w:lang w:val="de-DE"/>
        </w:rPr>
        <w:t>Der Katalog solle in Englisch und einer weiteren Arbeitssprache der Donaukommission erstellt werden.</w:t>
      </w:r>
    </w:p>
    <w:p w14:paraId="1D8EE9BF" w14:textId="0225D4AD" w:rsidR="002326CE" w:rsidRPr="0001227A" w:rsidRDefault="00EC4B3D" w:rsidP="00400206">
      <w:pPr>
        <w:pStyle w:val="SingleTxtG"/>
        <w:rPr>
          <w:lang w:val="de-DE"/>
        </w:rPr>
      </w:pPr>
      <w:r w:rsidRPr="0001227A">
        <w:rPr>
          <w:lang w:val="de-DE"/>
        </w:rPr>
        <w:t>41</w:t>
      </w:r>
      <w:r w:rsidR="002326CE" w:rsidRPr="0001227A">
        <w:rPr>
          <w:lang w:val="de-DE"/>
        </w:rPr>
        <w:t>.</w:t>
      </w:r>
      <w:r w:rsidR="002326CE" w:rsidRPr="0001227A">
        <w:rPr>
          <w:lang w:val="de-DE"/>
        </w:rPr>
        <w:tab/>
      </w:r>
      <w:r w:rsidR="00FD2D3E" w:rsidRPr="00400206">
        <w:rPr>
          <w:lang w:val="de-DE"/>
        </w:rPr>
        <w:t>Der Vorsitzende bat das Sekretariat</w:t>
      </w:r>
      <w:r w:rsidR="008A1D9B" w:rsidRPr="00400206">
        <w:rPr>
          <w:lang w:val="de-DE"/>
        </w:rPr>
        <w:t xml:space="preserve"> der UN-ECE</w:t>
      </w:r>
      <w:r w:rsidR="00FD2D3E" w:rsidRPr="00400206">
        <w:rPr>
          <w:lang w:val="de-DE"/>
        </w:rPr>
        <w:t xml:space="preserve">, dem Sekretariat der Donaukommission die Kontaktdaten der zuständigen Behörden in den Nichtmitgliedstaaten der Donaukommission mitzuteilen, damit </w:t>
      </w:r>
      <w:r w:rsidR="00F85164" w:rsidRPr="00400206">
        <w:rPr>
          <w:lang w:val="de-DE"/>
        </w:rPr>
        <w:t xml:space="preserve">sich </w:t>
      </w:r>
      <w:r w:rsidR="00FD2D3E" w:rsidRPr="00400206">
        <w:rPr>
          <w:lang w:val="de-DE"/>
        </w:rPr>
        <w:t xml:space="preserve">diese </w:t>
      </w:r>
      <w:r w:rsidR="00F85164" w:rsidRPr="00400206">
        <w:rPr>
          <w:lang w:val="de-DE"/>
        </w:rPr>
        <w:t>bei Interesse auf Einladung des Sekretariats der Donaukommission an den Arbeiten beteiligen können.</w:t>
      </w:r>
      <w:r w:rsidR="002326CE" w:rsidRPr="0001227A">
        <w:rPr>
          <w:lang w:val="de-DE"/>
        </w:rPr>
        <w:t xml:space="preserve"> </w:t>
      </w:r>
      <w:r w:rsidR="004B7C47" w:rsidRPr="00400206">
        <w:rPr>
          <w:lang w:val="de-DE"/>
        </w:rPr>
        <w:t xml:space="preserve">Er erklärte, dass der Katalog im Rahmen des ADN vorläufig nur empfehlenden Charakter haben könne und das Sekretariat der Donaukommission die erforderlichen Maßnahmen </w:t>
      </w:r>
      <w:r w:rsidR="001E69E2" w:rsidRPr="00400206">
        <w:rPr>
          <w:lang w:val="de-DE"/>
        </w:rPr>
        <w:t>treffen</w:t>
      </w:r>
      <w:r w:rsidR="004B7C47" w:rsidRPr="00400206">
        <w:rPr>
          <w:lang w:val="de-DE"/>
        </w:rPr>
        <w:t xml:space="preserve"> sollte, um sicherzustellen, dass die Antworten auf die Fragen nicht an die Öffentlichkeit gelangen.</w:t>
      </w:r>
      <w:r w:rsidR="002326CE" w:rsidRPr="0001227A">
        <w:rPr>
          <w:lang w:val="de-DE"/>
        </w:rPr>
        <w:t xml:space="preserve"> </w:t>
      </w:r>
    </w:p>
    <w:p w14:paraId="0EA9F505" w14:textId="7608B4B5" w:rsidR="002326CE" w:rsidRPr="0001227A" w:rsidRDefault="002326CE" w:rsidP="006D0A1C">
      <w:pPr>
        <w:pStyle w:val="H23G"/>
        <w:rPr>
          <w:lang w:val="de-DE"/>
        </w:rPr>
      </w:pPr>
      <w:r w:rsidRPr="0001227A">
        <w:rPr>
          <w:lang w:val="de-DE"/>
        </w:rPr>
        <w:tab/>
        <w:t>6.</w:t>
      </w:r>
      <w:r w:rsidRPr="0001227A">
        <w:rPr>
          <w:lang w:val="de-DE"/>
        </w:rPr>
        <w:tab/>
      </w:r>
      <w:r w:rsidR="006D0A1C" w:rsidRPr="006D0A1C">
        <w:rPr>
          <w:lang w:val="de-DE"/>
        </w:rPr>
        <w:t>Prüfungsstatistiken</w:t>
      </w:r>
      <w:r w:rsidRPr="0001227A">
        <w:rPr>
          <w:lang w:val="de-DE"/>
        </w:rPr>
        <w:t xml:space="preserve"> </w:t>
      </w:r>
    </w:p>
    <w:p w14:paraId="29296FE0" w14:textId="27FB22F3" w:rsidR="002326CE" w:rsidRPr="0001227A" w:rsidRDefault="006D0A1C" w:rsidP="006D0A1C">
      <w:pPr>
        <w:pStyle w:val="SingleTxtG"/>
        <w:rPr>
          <w:lang w:val="de-DE"/>
        </w:rPr>
      </w:pPr>
      <w:r w:rsidRPr="006D0A1C">
        <w:rPr>
          <w:i/>
          <w:iCs/>
          <w:lang w:val="de-DE"/>
        </w:rPr>
        <w:t>Informelles Dokument:</w:t>
      </w:r>
      <w:r w:rsidR="002326CE" w:rsidRPr="0001227A">
        <w:rPr>
          <w:lang w:val="de-DE"/>
        </w:rPr>
        <w:tab/>
      </w:r>
      <w:r w:rsidRPr="006D0A1C">
        <w:rPr>
          <w:lang w:val="de-DE"/>
        </w:rPr>
        <w:t>INF.11 (Niederlande)</w:t>
      </w:r>
    </w:p>
    <w:p w14:paraId="35B59A8D" w14:textId="2F17D624" w:rsidR="002326CE" w:rsidRPr="0001227A" w:rsidRDefault="00EC4B3D" w:rsidP="00400206">
      <w:pPr>
        <w:pStyle w:val="SingleTxtG"/>
        <w:rPr>
          <w:lang w:val="de-DE"/>
        </w:rPr>
      </w:pPr>
      <w:r w:rsidRPr="0001227A">
        <w:rPr>
          <w:lang w:val="de-DE"/>
        </w:rPr>
        <w:t>42</w:t>
      </w:r>
      <w:r w:rsidR="002326CE" w:rsidRPr="0001227A">
        <w:rPr>
          <w:lang w:val="de-DE"/>
        </w:rPr>
        <w:t>.</w:t>
      </w:r>
      <w:r w:rsidR="002326CE" w:rsidRPr="0001227A">
        <w:rPr>
          <w:lang w:val="de-DE"/>
        </w:rPr>
        <w:tab/>
      </w:r>
      <w:r w:rsidR="006D0A1C" w:rsidRPr="00400206">
        <w:rPr>
          <w:lang w:val="de-DE"/>
        </w:rPr>
        <w:t xml:space="preserve">Der Sicherheitsausschuss nahm die von den Niederlanden vorgelegten Informationen </w:t>
      </w:r>
      <w:r w:rsidR="00400206" w:rsidRPr="00400206">
        <w:rPr>
          <w:lang w:val="de-DE"/>
        </w:rPr>
        <w:t>mit Interesse</w:t>
      </w:r>
      <w:r w:rsidR="006D0A1C" w:rsidRPr="00400206">
        <w:rPr>
          <w:lang w:val="de-DE"/>
        </w:rPr>
        <w:t xml:space="preserve"> zur Kenntnis und </w:t>
      </w:r>
      <w:r w:rsidR="00047610" w:rsidRPr="00400206">
        <w:rPr>
          <w:lang w:val="de-DE"/>
        </w:rPr>
        <w:t>lud</w:t>
      </w:r>
      <w:r w:rsidR="006D0A1C" w:rsidRPr="00400206">
        <w:rPr>
          <w:lang w:val="de-DE"/>
        </w:rPr>
        <w:t xml:space="preserve"> alle Vertragsparteien </w:t>
      </w:r>
      <w:r w:rsidR="00047610" w:rsidRPr="00400206">
        <w:rPr>
          <w:lang w:val="de-DE"/>
        </w:rPr>
        <w:t>ein</w:t>
      </w:r>
      <w:r w:rsidR="006D0A1C" w:rsidRPr="00400206">
        <w:rPr>
          <w:lang w:val="de-DE"/>
        </w:rPr>
        <w:t>, zur Erhebung von Statistiken beizutragen.</w:t>
      </w:r>
    </w:p>
    <w:p w14:paraId="12F6D337" w14:textId="5D1871D3" w:rsidR="002326CE" w:rsidRPr="0001227A" w:rsidRDefault="002326CE" w:rsidP="00400206">
      <w:pPr>
        <w:pStyle w:val="H23G"/>
        <w:rPr>
          <w:lang w:val="de-DE"/>
        </w:rPr>
      </w:pPr>
      <w:r w:rsidRPr="0001227A">
        <w:rPr>
          <w:lang w:val="de-DE"/>
        </w:rPr>
        <w:tab/>
        <w:t>7.</w:t>
      </w:r>
      <w:r w:rsidRPr="0001227A">
        <w:rPr>
          <w:lang w:val="de-DE"/>
        </w:rPr>
        <w:tab/>
      </w:r>
      <w:r w:rsidR="00047610" w:rsidRPr="00400206">
        <w:rPr>
          <w:lang w:val="de-DE"/>
        </w:rPr>
        <w:t>Musterbescheinigungen</w:t>
      </w:r>
    </w:p>
    <w:p w14:paraId="22119D1B" w14:textId="1020315B" w:rsidR="002326CE" w:rsidRPr="0001227A" w:rsidRDefault="00EC4B3D" w:rsidP="00400206">
      <w:pPr>
        <w:pStyle w:val="SingleTxtG"/>
        <w:rPr>
          <w:lang w:val="de-DE"/>
        </w:rPr>
      </w:pPr>
      <w:r w:rsidRPr="0001227A">
        <w:rPr>
          <w:lang w:val="de-DE"/>
        </w:rPr>
        <w:t>43</w:t>
      </w:r>
      <w:r w:rsidR="002326CE" w:rsidRPr="0001227A">
        <w:rPr>
          <w:lang w:val="de-DE"/>
        </w:rPr>
        <w:t>.</w:t>
      </w:r>
      <w:r w:rsidR="002326CE" w:rsidRPr="0001227A">
        <w:rPr>
          <w:lang w:val="de-DE"/>
        </w:rPr>
        <w:tab/>
      </w:r>
      <w:r w:rsidR="00047610" w:rsidRPr="00400206">
        <w:rPr>
          <w:lang w:val="de-DE"/>
        </w:rPr>
        <w:t xml:space="preserve">Es wurde daran erinnert, dass die Vertragsparteien gemäß Absatz 8.2.2.8.2 der dem ADN beigefügten Verordnung dem Sekretariat der UN-ECE ein Muster jeder ausgestellten Bescheinigung zur Verfügung stellen </w:t>
      </w:r>
      <w:r w:rsidR="00400206" w:rsidRPr="00400206">
        <w:rPr>
          <w:lang w:val="de-DE"/>
        </w:rPr>
        <w:t>sollen</w:t>
      </w:r>
      <w:r w:rsidR="00047610" w:rsidRPr="00400206">
        <w:rPr>
          <w:lang w:val="de-DE"/>
        </w:rPr>
        <w:t>.</w:t>
      </w:r>
      <w:r w:rsidR="002326CE" w:rsidRPr="0001227A">
        <w:rPr>
          <w:lang w:val="de-DE"/>
        </w:rPr>
        <w:t xml:space="preserve"> </w:t>
      </w:r>
      <w:r w:rsidR="005739D2" w:rsidRPr="00400206">
        <w:rPr>
          <w:lang w:val="de-DE"/>
        </w:rPr>
        <w:t xml:space="preserve">Bisher </w:t>
      </w:r>
      <w:r w:rsidR="00DB34AA" w:rsidRPr="00400206">
        <w:rPr>
          <w:lang w:val="de-DE"/>
        </w:rPr>
        <w:t>sind</w:t>
      </w:r>
      <w:r w:rsidR="005739D2" w:rsidRPr="00400206">
        <w:rPr>
          <w:lang w:val="de-DE"/>
        </w:rPr>
        <w:t xml:space="preserve"> lediglich Bulgarien, Deutschland, die Niederlande, Österreich, Rumänien, die Schweiz und die Slowakei </w:t>
      </w:r>
      <w:r w:rsidR="00DB34AA" w:rsidRPr="00400206">
        <w:rPr>
          <w:lang w:val="de-DE"/>
        </w:rPr>
        <w:t>dieser Pflicht nachgekommen.</w:t>
      </w:r>
      <w:r w:rsidR="002326CE" w:rsidRPr="0001227A">
        <w:rPr>
          <w:lang w:val="de-DE"/>
        </w:rPr>
        <w:t xml:space="preserve"> </w:t>
      </w:r>
      <w:r w:rsidR="00DB34AA" w:rsidRPr="00400206">
        <w:rPr>
          <w:lang w:val="de-DE"/>
        </w:rPr>
        <w:t>Die eingereichten Musterbescheinigungen können auf der Website der UN-ECE eingesehen werden.</w:t>
      </w:r>
    </w:p>
    <w:p w14:paraId="18C4CA29" w14:textId="598F8E16" w:rsidR="00914C83" w:rsidRPr="0001227A" w:rsidRDefault="00914C83" w:rsidP="00DB34AA">
      <w:pPr>
        <w:pStyle w:val="H1G"/>
        <w:rPr>
          <w:lang w:val="de-DE"/>
        </w:rPr>
      </w:pPr>
      <w:r w:rsidRPr="0001227A">
        <w:rPr>
          <w:lang w:val="de-DE"/>
        </w:rPr>
        <w:tab/>
      </w:r>
      <w:r w:rsidR="00DB34AA" w:rsidRPr="00DB34AA">
        <w:rPr>
          <w:lang w:val="de-DE"/>
        </w:rPr>
        <w:t>E.</w:t>
      </w:r>
      <w:r w:rsidRPr="0001227A">
        <w:rPr>
          <w:lang w:val="de-DE"/>
        </w:rPr>
        <w:tab/>
      </w:r>
      <w:r w:rsidR="00DB34AA" w:rsidRPr="00DB34AA">
        <w:rPr>
          <w:lang w:val="de-DE"/>
        </w:rPr>
        <w:t>Fragen im Zusammenhang mit den Klassifikationsgesellschaften</w:t>
      </w:r>
    </w:p>
    <w:p w14:paraId="508C46F5" w14:textId="79F6E3F7" w:rsidR="00914C83" w:rsidRPr="0001227A" w:rsidRDefault="00EC4B3D" w:rsidP="00400206">
      <w:pPr>
        <w:pStyle w:val="SingleTxtG"/>
        <w:rPr>
          <w:lang w:val="de-DE"/>
        </w:rPr>
      </w:pPr>
      <w:r w:rsidRPr="0001227A">
        <w:rPr>
          <w:lang w:val="de-DE"/>
        </w:rPr>
        <w:t>44</w:t>
      </w:r>
      <w:r w:rsidR="00914C83" w:rsidRPr="0001227A">
        <w:rPr>
          <w:lang w:val="de-DE"/>
        </w:rPr>
        <w:t>.</w:t>
      </w:r>
      <w:r w:rsidR="00914C83" w:rsidRPr="0001227A">
        <w:rPr>
          <w:lang w:val="de-DE"/>
        </w:rPr>
        <w:tab/>
      </w:r>
      <w:r w:rsidR="00400206" w:rsidRPr="00400206">
        <w:rPr>
          <w:lang w:val="de-DE"/>
        </w:rPr>
        <w:t>Es wurde daran erinnert, dass d</w:t>
      </w:r>
      <w:r w:rsidR="00DB34AA" w:rsidRPr="00400206">
        <w:rPr>
          <w:lang w:val="de-DE"/>
        </w:rPr>
        <w:t xml:space="preserve">ie Liste der von den ADN-Vertragsparteien anerkannten Klassifikationsgesellschaften </w:t>
      </w:r>
      <w:r w:rsidR="0099583D" w:rsidRPr="00400206">
        <w:rPr>
          <w:lang w:val="de-DE"/>
        </w:rPr>
        <w:t xml:space="preserve">auf der Website der UN-ECE unter </w:t>
      </w:r>
      <w:r w:rsidR="00DB34AA" w:rsidRPr="00400206">
        <w:rPr>
          <w:lang w:val="de-DE"/>
        </w:rPr>
        <w:t>folgende</w:t>
      </w:r>
      <w:r w:rsidR="0099583D" w:rsidRPr="00400206">
        <w:rPr>
          <w:lang w:val="de-DE"/>
        </w:rPr>
        <w:t>m</w:t>
      </w:r>
      <w:r w:rsidR="00DB34AA" w:rsidRPr="00400206">
        <w:rPr>
          <w:lang w:val="de-DE"/>
        </w:rPr>
        <w:t xml:space="preserve"> </w:t>
      </w:r>
      <w:r w:rsidR="0099583D" w:rsidRPr="00400206">
        <w:rPr>
          <w:lang w:val="de-DE"/>
        </w:rPr>
        <w:t>Link</w:t>
      </w:r>
      <w:r w:rsidR="00DB34AA" w:rsidRPr="00400206">
        <w:rPr>
          <w:lang w:val="de-DE"/>
        </w:rPr>
        <w:t xml:space="preserve"> abgerufen werden</w:t>
      </w:r>
      <w:r w:rsidR="00400206" w:rsidRPr="00400206">
        <w:rPr>
          <w:lang w:val="de-DE"/>
        </w:rPr>
        <w:t xml:space="preserve"> kann</w:t>
      </w:r>
      <w:r w:rsidR="00DB34AA" w:rsidRPr="00400206">
        <w:rPr>
          <w:lang w:val="de-DE"/>
        </w:rPr>
        <w:t>: www.unece.org/trans/danger/publi/adn/adnclassifications.html.</w:t>
      </w:r>
    </w:p>
    <w:p w14:paraId="308B0A75" w14:textId="60B31BB0" w:rsidR="00914C83" w:rsidRPr="0001227A" w:rsidRDefault="00EC4B3D" w:rsidP="00400206">
      <w:pPr>
        <w:pStyle w:val="SingleTxtG"/>
        <w:rPr>
          <w:lang w:val="de-DE"/>
        </w:rPr>
      </w:pPr>
      <w:r w:rsidRPr="0001227A">
        <w:rPr>
          <w:lang w:val="de-DE"/>
        </w:rPr>
        <w:t>45</w:t>
      </w:r>
      <w:r w:rsidR="00914C83" w:rsidRPr="0001227A">
        <w:rPr>
          <w:lang w:val="de-DE"/>
        </w:rPr>
        <w:t>.</w:t>
      </w:r>
      <w:r w:rsidR="00914C83" w:rsidRPr="0001227A">
        <w:rPr>
          <w:lang w:val="de-DE"/>
        </w:rPr>
        <w:tab/>
      </w:r>
      <w:r w:rsidR="002D1BD5" w:rsidRPr="00400206">
        <w:rPr>
          <w:lang w:val="de-DE"/>
        </w:rPr>
        <w:t xml:space="preserve">Der Sicherheitsausschuss stellte fest, dass die zwei russischen empfohlenen ADN-Klassifikationsgesellschaften die gewünschten Informationen zur Einhaltung der Norm ISO/IEC 17020:2012 noch nicht vorgelegt </w:t>
      </w:r>
      <w:r w:rsidR="00400206" w:rsidRPr="00754AFB">
        <w:rPr>
          <w:lang w:val="de-DE"/>
        </w:rPr>
        <w:t>ha</w:t>
      </w:r>
      <w:r w:rsidR="002D1BD5" w:rsidRPr="00754AFB">
        <w:rPr>
          <w:lang w:val="de-DE"/>
        </w:rPr>
        <w:t>tten</w:t>
      </w:r>
      <w:r w:rsidR="002D1BD5" w:rsidRPr="00400206">
        <w:rPr>
          <w:lang w:val="de-DE"/>
        </w:rPr>
        <w:t>, und bat sie daher, dies</w:t>
      </w:r>
      <w:r w:rsidR="00B11AA6" w:rsidRPr="00400206">
        <w:rPr>
          <w:lang w:val="de-DE"/>
        </w:rPr>
        <w:t xml:space="preserve"> noch zu </w:t>
      </w:r>
      <w:r w:rsidR="00400206" w:rsidRPr="00400206">
        <w:rPr>
          <w:lang w:val="de-DE"/>
        </w:rPr>
        <w:t>erledigen</w:t>
      </w:r>
      <w:r w:rsidR="002D1BD5" w:rsidRPr="00400206">
        <w:rPr>
          <w:lang w:val="de-DE"/>
        </w:rPr>
        <w:t xml:space="preserve"> (siehe auch ECE/TRANS/WP.15/AC.2/56, Abs. 39 und 36).</w:t>
      </w:r>
    </w:p>
    <w:p w14:paraId="611D0218" w14:textId="4B3F77FD" w:rsidR="002326CE" w:rsidRPr="0001227A" w:rsidRDefault="00C1649F" w:rsidP="007178F3">
      <w:pPr>
        <w:pStyle w:val="HChG"/>
        <w:rPr>
          <w:lang w:val="de-DE"/>
        </w:rPr>
      </w:pPr>
      <w:r>
        <w:rPr>
          <w:lang w:val="de-DE"/>
        </w:rPr>
        <w:br w:type="page"/>
      </w:r>
      <w:r w:rsidR="002326CE" w:rsidRPr="0001227A">
        <w:rPr>
          <w:lang w:val="de-DE"/>
        </w:rPr>
        <w:lastRenderedPageBreak/>
        <w:tab/>
      </w:r>
      <w:r w:rsidR="007178F3" w:rsidRPr="007178F3">
        <w:rPr>
          <w:lang w:val="de-DE"/>
        </w:rPr>
        <w:t>VI.</w:t>
      </w:r>
      <w:r w:rsidR="002326CE" w:rsidRPr="0001227A">
        <w:rPr>
          <w:lang w:val="de-DE"/>
        </w:rPr>
        <w:tab/>
      </w:r>
      <w:r w:rsidR="007178F3" w:rsidRPr="007178F3">
        <w:rPr>
          <w:lang w:val="de-DE"/>
        </w:rPr>
        <w:t>Vorschläge für Änderungen der dem ADN beigefügten Verordnung (TOP 5)</w:t>
      </w:r>
    </w:p>
    <w:p w14:paraId="30E63986" w14:textId="133718AE" w:rsidR="002326CE" w:rsidRPr="0001227A" w:rsidRDefault="002326CE" w:rsidP="007178F3">
      <w:pPr>
        <w:pStyle w:val="H1G"/>
        <w:rPr>
          <w:lang w:val="de-DE"/>
        </w:rPr>
      </w:pPr>
      <w:r w:rsidRPr="0001227A">
        <w:rPr>
          <w:lang w:val="de-DE"/>
        </w:rPr>
        <w:tab/>
      </w:r>
      <w:r w:rsidR="007178F3" w:rsidRPr="007178F3">
        <w:rPr>
          <w:lang w:val="de-DE"/>
        </w:rPr>
        <w:t>A.</w:t>
      </w:r>
      <w:r w:rsidRPr="0001227A">
        <w:rPr>
          <w:lang w:val="de-DE"/>
        </w:rPr>
        <w:tab/>
      </w:r>
      <w:r w:rsidR="007178F3" w:rsidRPr="007178F3">
        <w:rPr>
          <w:lang w:val="de-DE"/>
        </w:rPr>
        <w:t>Arbeiten der Gemeinsamen RID/ADR/ADN-Tagung</w:t>
      </w:r>
    </w:p>
    <w:p w14:paraId="0B398540" w14:textId="48EB8E93" w:rsidR="002326CE" w:rsidRPr="0001227A" w:rsidRDefault="002326CE" w:rsidP="007178F3">
      <w:pPr>
        <w:pStyle w:val="H23G"/>
        <w:rPr>
          <w:lang w:val="de-DE"/>
        </w:rPr>
      </w:pPr>
      <w:r w:rsidRPr="0001227A">
        <w:rPr>
          <w:lang w:val="de-DE"/>
        </w:rPr>
        <w:tab/>
        <w:t>1.</w:t>
      </w:r>
      <w:r w:rsidRPr="0001227A">
        <w:rPr>
          <w:lang w:val="de-DE"/>
        </w:rPr>
        <w:tab/>
      </w:r>
      <w:r w:rsidR="007178F3" w:rsidRPr="007178F3">
        <w:rPr>
          <w:lang w:val="de-DE"/>
        </w:rPr>
        <w:t>Protokoll der Herbstsitzung 2016 der Gemeinsamen Tagung und der 101. Sitzung der Arbeitsgruppe „Beförderung gefährlicher Güter“ der UN-ECE</w:t>
      </w:r>
    </w:p>
    <w:p w14:paraId="38B9AB3D" w14:textId="5E487D02" w:rsidR="002326CE" w:rsidRPr="0001227A" w:rsidRDefault="007178F3" w:rsidP="00C07505">
      <w:pPr>
        <w:pStyle w:val="SingleTxtG"/>
        <w:keepNext/>
        <w:keepLines/>
        <w:spacing w:after="0"/>
        <w:rPr>
          <w:lang w:val="de-DE"/>
        </w:rPr>
      </w:pPr>
      <w:r w:rsidRPr="007178F3">
        <w:rPr>
          <w:i/>
          <w:iCs/>
          <w:lang w:val="de-DE"/>
        </w:rPr>
        <w:t>Dokumente:</w:t>
      </w:r>
      <w:r w:rsidR="002326CE" w:rsidRPr="0001227A">
        <w:rPr>
          <w:lang w:val="de-DE"/>
        </w:rPr>
        <w:tab/>
        <w:t xml:space="preserve">ECE/TRANS/WP.15/AC.1/144 </w:t>
      </w:r>
    </w:p>
    <w:p w14:paraId="45EB0579" w14:textId="77777777" w:rsidR="002326CE" w:rsidRPr="0001227A" w:rsidRDefault="002326CE" w:rsidP="00C07505">
      <w:pPr>
        <w:pStyle w:val="SingleTxtG"/>
        <w:keepNext/>
        <w:keepLines/>
        <w:ind w:left="2268"/>
        <w:rPr>
          <w:lang w:val="de-DE"/>
        </w:rPr>
      </w:pPr>
      <w:r w:rsidRPr="0001227A">
        <w:rPr>
          <w:lang w:val="de-DE"/>
        </w:rPr>
        <w:t>ECE/TRANS/WP.15/235</w:t>
      </w:r>
    </w:p>
    <w:p w14:paraId="643DC347" w14:textId="3C24E9F3" w:rsidR="002326CE" w:rsidRPr="0001227A" w:rsidRDefault="00EC4B3D" w:rsidP="005F7F0E">
      <w:pPr>
        <w:pStyle w:val="SingleTxtG"/>
        <w:rPr>
          <w:lang w:val="de-DE"/>
        </w:rPr>
      </w:pPr>
      <w:r w:rsidRPr="0001227A">
        <w:rPr>
          <w:lang w:val="de-DE"/>
        </w:rPr>
        <w:t>46</w:t>
      </w:r>
      <w:r w:rsidR="002326CE" w:rsidRPr="0001227A">
        <w:rPr>
          <w:lang w:val="de-DE"/>
        </w:rPr>
        <w:t>.</w:t>
      </w:r>
      <w:r w:rsidR="002326CE" w:rsidRPr="0001227A">
        <w:rPr>
          <w:lang w:val="de-DE"/>
        </w:rPr>
        <w:tab/>
      </w:r>
      <w:r w:rsidR="007178F3" w:rsidRPr="005F7F0E">
        <w:rPr>
          <w:lang w:val="de-DE"/>
        </w:rPr>
        <w:t xml:space="preserve">Der Sicherheitsausschuss stellte fest, dass die Berichte </w:t>
      </w:r>
      <w:r w:rsidR="00E03D27" w:rsidRPr="005F7F0E">
        <w:rPr>
          <w:lang w:val="de-DE"/>
        </w:rPr>
        <w:t>derzeit nur in Englisch und Französisch verfügbar seien und Änderungsvorschläge</w:t>
      </w:r>
      <w:r w:rsidR="004F729B" w:rsidRPr="005F7F0E">
        <w:rPr>
          <w:lang w:val="de-DE"/>
        </w:rPr>
        <w:t xml:space="preserve"> zum ADN</w:t>
      </w:r>
      <w:r w:rsidR="00645B35" w:rsidRPr="005F7F0E">
        <w:rPr>
          <w:lang w:val="de-DE"/>
        </w:rPr>
        <w:t>,</w:t>
      </w:r>
      <w:r w:rsidR="00E03D27" w:rsidRPr="005F7F0E">
        <w:rPr>
          <w:lang w:val="de-DE"/>
        </w:rPr>
        <w:t xml:space="preserve"> </w:t>
      </w:r>
      <w:r w:rsidR="00645B35" w:rsidRPr="005F7F0E">
        <w:rPr>
          <w:lang w:val="de-DE"/>
        </w:rPr>
        <w:t xml:space="preserve">die 2019 in Kraft treten sollen, </w:t>
      </w:r>
      <w:r w:rsidR="004F729B" w:rsidRPr="005F7F0E">
        <w:rPr>
          <w:lang w:val="de-DE"/>
        </w:rPr>
        <w:t xml:space="preserve">daher </w:t>
      </w:r>
      <w:r w:rsidR="00645B35" w:rsidRPr="005F7F0E">
        <w:rPr>
          <w:lang w:val="de-DE"/>
        </w:rPr>
        <w:t>erst in der Sitzung im August 2017 oder Januar 2018 behandelt werden könnten.</w:t>
      </w:r>
    </w:p>
    <w:p w14:paraId="30797035" w14:textId="5FF3028A" w:rsidR="002326CE" w:rsidRPr="0001227A" w:rsidRDefault="00EC4B3D" w:rsidP="005F7F0E">
      <w:pPr>
        <w:pStyle w:val="SingleTxtG"/>
        <w:rPr>
          <w:lang w:val="de-DE"/>
        </w:rPr>
      </w:pPr>
      <w:r w:rsidRPr="0001227A">
        <w:rPr>
          <w:lang w:val="de-DE"/>
        </w:rPr>
        <w:t>47</w:t>
      </w:r>
      <w:r w:rsidR="002326CE" w:rsidRPr="0001227A">
        <w:rPr>
          <w:lang w:val="de-DE"/>
        </w:rPr>
        <w:t>.</w:t>
      </w:r>
      <w:r w:rsidR="002326CE" w:rsidRPr="0001227A">
        <w:rPr>
          <w:lang w:val="de-DE"/>
        </w:rPr>
        <w:tab/>
      </w:r>
      <w:r w:rsidR="004F729B" w:rsidRPr="005F7F0E">
        <w:rPr>
          <w:lang w:val="de-DE"/>
        </w:rPr>
        <w:t>Die in Anlage III des Dokuments ECE/TRANS/WP.15/AC.1/144 und Anlage II des Dokuments ECE/TRANS/WP.15/235 aufgeführten Berichtigungen wurden bereits in der ADN-Ausgabe 2017 berücksichtigt.</w:t>
      </w:r>
    </w:p>
    <w:p w14:paraId="3DD26CEF" w14:textId="4C1F4468" w:rsidR="002326CE" w:rsidRPr="0001227A" w:rsidRDefault="002326CE" w:rsidP="005218B0">
      <w:pPr>
        <w:pStyle w:val="H23G"/>
        <w:rPr>
          <w:lang w:val="de-DE"/>
        </w:rPr>
      </w:pPr>
      <w:r w:rsidRPr="0001227A">
        <w:rPr>
          <w:lang w:val="de-DE"/>
        </w:rPr>
        <w:tab/>
        <w:t>2.</w:t>
      </w:r>
      <w:r w:rsidRPr="0001227A">
        <w:rPr>
          <w:lang w:val="de-DE"/>
        </w:rPr>
        <w:tab/>
      </w:r>
      <w:r w:rsidR="005218B0" w:rsidRPr="005218B0">
        <w:rPr>
          <w:lang w:val="de-DE"/>
        </w:rPr>
        <w:t>Verweis auf die Richtlinien 67/548/EWG und 88/379/EWG des Rates der Europäischen Union</w:t>
      </w:r>
    </w:p>
    <w:p w14:paraId="4CA9D1D5" w14:textId="3DA7AD82" w:rsidR="002326CE" w:rsidRPr="000B4155" w:rsidRDefault="005218B0" w:rsidP="005218B0">
      <w:pPr>
        <w:pStyle w:val="SingleTxtG"/>
        <w:rPr>
          <w:lang w:val="de-DE"/>
        </w:rPr>
      </w:pPr>
      <w:r w:rsidRPr="005218B0">
        <w:rPr>
          <w:i/>
          <w:iCs/>
          <w:lang w:val="de-DE"/>
        </w:rPr>
        <w:t>Dokument:</w:t>
      </w:r>
      <w:r w:rsidR="002326CE" w:rsidRPr="000B4155">
        <w:rPr>
          <w:lang w:val="de-DE"/>
        </w:rPr>
        <w:tab/>
      </w:r>
      <w:r w:rsidRPr="005218B0">
        <w:rPr>
          <w:lang w:val="de-DE"/>
        </w:rPr>
        <w:t>ECE/TRANS/WP.15/AC.2/2017/10 (Sekretariat)</w:t>
      </w:r>
    </w:p>
    <w:p w14:paraId="29E3BD62" w14:textId="4F5508B8" w:rsidR="002326CE" w:rsidRPr="0001227A" w:rsidRDefault="00EC4B3D" w:rsidP="005F7F0E">
      <w:pPr>
        <w:pStyle w:val="SingleTxtG"/>
        <w:rPr>
          <w:lang w:val="de-DE"/>
        </w:rPr>
      </w:pPr>
      <w:r w:rsidRPr="0001227A">
        <w:rPr>
          <w:lang w:val="de-DE"/>
        </w:rPr>
        <w:t>48</w:t>
      </w:r>
      <w:r w:rsidR="002326CE" w:rsidRPr="0001227A">
        <w:rPr>
          <w:lang w:val="de-DE"/>
        </w:rPr>
        <w:t>.</w:t>
      </w:r>
      <w:r w:rsidR="002326CE" w:rsidRPr="0001227A">
        <w:rPr>
          <w:lang w:val="de-DE"/>
        </w:rPr>
        <w:tab/>
      </w:r>
      <w:r w:rsidR="00726AFB" w:rsidRPr="005F7F0E">
        <w:rPr>
          <w:lang w:val="de-DE"/>
        </w:rPr>
        <w:t>Der Sicherheitsausschuss nahm den Vorschlag des Sekretariats, die Verweise auf die Richtlinien in der Fußnote zu Unterabschnitt 3.2.4.3 durch einen Verweis auf die Verordnung (EG) Nr. 1272/2008 des Europäischen Parlaments und des Rates</w:t>
      </w:r>
      <w:r w:rsidR="002953A6" w:rsidRPr="005F7F0E">
        <w:rPr>
          <w:lang w:val="de-DE"/>
        </w:rPr>
        <w:t xml:space="preserve"> zu ersetzen,</w:t>
      </w:r>
      <w:r w:rsidR="00726AFB" w:rsidRPr="005F7F0E">
        <w:rPr>
          <w:lang w:val="de-DE"/>
        </w:rPr>
        <w:t xml:space="preserve"> mit einigen Änderungen an (siehe Anlage II).</w:t>
      </w:r>
    </w:p>
    <w:p w14:paraId="20E52CC0" w14:textId="7178B9BC" w:rsidR="00914C83" w:rsidRPr="0001227A" w:rsidRDefault="00914C83" w:rsidP="005F7F0E">
      <w:pPr>
        <w:pStyle w:val="H23G"/>
        <w:rPr>
          <w:lang w:val="de-DE"/>
        </w:rPr>
      </w:pPr>
      <w:r w:rsidRPr="0001227A">
        <w:rPr>
          <w:lang w:val="de-DE"/>
        </w:rPr>
        <w:tab/>
        <w:t>3.</w:t>
      </w:r>
      <w:r w:rsidRPr="0001227A">
        <w:rPr>
          <w:lang w:val="de-DE"/>
        </w:rPr>
        <w:tab/>
      </w:r>
      <w:r w:rsidR="002953A6" w:rsidRPr="005F7F0E">
        <w:rPr>
          <w:lang w:val="de-DE"/>
        </w:rPr>
        <w:t>Sondervorschrift 665 – Beförderung von Kohle</w:t>
      </w:r>
    </w:p>
    <w:p w14:paraId="12F2748E" w14:textId="6F645C06" w:rsidR="00914C83" w:rsidRPr="0001227A" w:rsidRDefault="002953A6" w:rsidP="002953A6">
      <w:pPr>
        <w:pStyle w:val="SingleTxtG"/>
        <w:rPr>
          <w:lang w:val="de-DE"/>
        </w:rPr>
      </w:pPr>
      <w:r w:rsidRPr="002953A6">
        <w:rPr>
          <w:i/>
          <w:iCs/>
          <w:lang w:val="de-DE"/>
        </w:rPr>
        <w:t>Dokument:</w:t>
      </w:r>
      <w:r w:rsidR="00914C83" w:rsidRPr="0001227A">
        <w:rPr>
          <w:lang w:val="de-DE"/>
        </w:rPr>
        <w:tab/>
      </w:r>
      <w:r w:rsidRPr="002953A6">
        <w:rPr>
          <w:lang w:val="de-DE"/>
        </w:rPr>
        <w:t>ECE/TRANS/WP.15/AC.2/2017/9 (Sekretariat)</w:t>
      </w:r>
    </w:p>
    <w:p w14:paraId="7A6E24E7" w14:textId="30E6F483" w:rsidR="00914C83" w:rsidRPr="0001227A" w:rsidRDefault="00EC4B3D" w:rsidP="00642E50">
      <w:pPr>
        <w:pStyle w:val="SingleTxtG"/>
        <w:rPr>
          <w:lang w:val="de-DE"/>
        </w:rPr>
      </w:pPr>
      <w:r w:rsidRPr="0001227A">
        <w:rPr>
          <w:lang w:val="de-DE"/>
        </w:rPr>
        <w:t>49</w:t>
      </w:r>
      <w:r w:rsidR="00914C83" w:rsidRPr="0001227A">
        <w:rPr>
          <w:lang w:val="de-DE"/>
        </w:rPr>
        <w:t>.</w:t>
      </w:r>
      <w:r w:rsidR="00914C83" w:rsidRPr="0001227A">
        <w:rPr>
          <w:lang w:val="de-DE"/>
        </w:rPr>
        <w:tab/>
      </w:r>
      <w:r w:rsidR="002953A6" w:rsidRPr="005F7F0E">
        <w:rPr>
          <w:lang w:val="de-DE"/>
        </w:rPr>
        <w:t xml:space="preserve">Der Sicherheitsausschuss nahm zur Kenntnis, dass </w:t>
      </w:r>
      <w:r w:rsidR="002953A6" w:rsidRPr="00754AFB">
        <w:rPr>
          <w:lang w:val="de-DE"/>
        </w:rPr>
        <w:t>die Einführung der UN-Nummer 1361 zugeordnete</w:t>
      </w:r>
      <w:r w:rsidR="0002302E" w:rsidRPr="00754AFB">
        <w:rPr>
          <w:lang w:val="de-DE"/>
        </w:rPr>
        <w:t>n</w:t>
      </w:r>
      <w:r w:rsidR="002953A6" w:rsidRPr="00754AFB">
        <w:rPr>
          <w:lang w:val="de-DE"/>
        </w:rPr>
        <w:t xml:space="preserve"> Sondervorschrift 665 unabsichtlich zu einem Widerspruch </w:t>
      </w:r>
      <w:r w:rsidR="007E0BB0" w:rsidRPr="00754AFB">
        <w:rPr>
          <w:lang w:val="de-DE"/>
        </w:rPr>
        <w:t>mit der ebenfalls UN-Nr. 1361 zugeordneten Sondervorschrift 803 geführt ha</w:t>
      </w:r>
      <w:r w:rsidR="00FA4068" w:rsidRPr="00754AFB">
        <w:rPr>
          <w:lang w:val="de-DE"/>
        </w:rPr>
        <w:t>t</w:t>
      </w:r>
      <w:r w:rsidR="001C0E29" w:rsidRPr="00754AFB">
        <w:rPr>
          <w:lang w:val="de-DE"/>
        </w:rPr>
        <w:t xml:space="preserve">, da die Sondervorschrift 665 für die Beförderung von Kohle, Koks und Anthrazitkohle, die den Klassifizierungskriterien der Klasse 4.2 Verpackungsgruppe III entsprechen, eine völlige Freistellung vorsieht, während die Sondervorschrift 803 für die Freistellung </w:t>
      </w:r>
      <w:r w:rsidR="00035DBD" w:rsidRPr="00754AFB">
        <w:rPr>
          <w:lang w:val="de-DE"/>
        </w:rPr>
        <w:t xml:space="preserve">der Beförderung </w:t>
      </w:r>
      <w:r w:rsidR="001C0E29" w:rsidRPr="00754AFB">
        <w:rPr>
          <w:lang w:val="de-DE"/>
        </w:rPr>
        <w:t xml:space="preserve">von Steinkohle, Koks und Anthrazitkohle </w:t>
      </w:r>
      <w:r w:rsidR="00035DBD" w:rsidRPr="00754AFB">
        <w:rPr>
          <w:lang w:val="de-DE"/>
        </w:rPr>
        <w:t xml:space="preserve">in loser Schüttung </w:t>
      </w:r>
      <w:r w:rsidR="0042772F" w:rsidRPr="00754AFB">
        <w:rPr>
          <w:lang w:val="de-DE"/>
        </w:rPr>
        <w:t>besondere Bedingungen vorsieht.</w:t>
      </w:r>
      <w:r w:rsidR="00914C83" w:rsidRPr="0001227A">
        <w:rPr>
          <w:lang w:val="de-DE"/>
        </w:rPr>
        <w:t xml:space="preserve"> </w:t>
      </w:r>
      <w:r w:rsidR="00213E17" w:rsidRPr="00754AFB">
        <w:rPr>
          <w:lang w:val="de-DE"/>
        </w:rPr>
        <w:t xml:space="preserve">Der Sicherheitsausschuss hielt es für unerlässlich, diesen Widerspruch durch eine Änderung der Sondervorschrift 665 </w:t>
      </w:r>
      <w:r w:rsidR="005F7F0E" w:rsidRPr="00754AFB">
        <w:rPr>
          <w:lang w:val="de-DE"/>
        </w:rPr>
        <w:t>entsprechend dem Vorschlag des Sekretariats in Absatz 5 des Dokuments zu korrigieren</w:t>
      </w:r>
      <w:r w:rsidR="00213E17" w:rsidRPr="00754AFB">
        <w:rPr>
          <w:lang w:val="de-DE"/>
        </w:rPr>
        <w:t xml:space="preserve"> (siehe Anlage I).</w:t>
      </w:r>
    </w:p>
    <w:p w14:paraId="6E8AB065" w14:textId="35FDD2D5" w:rsidR="00914C83" w:rsidRPr="0001227A" w:rsidRDefault="00EC4B3D" w:rsidP="00642E50">
      <w:pPr>
        <w:pStyle w:val="SingleTxtG"/>
        <w:rPr>
          <w:lang w:val="de-DE"/>
        </w:rPr>
      </w:pPr>
      <w:r w:rsidRPr="0001227A">
        <w:rPr>
          <w:lang w:val="de-DE"/>
        </w:rPr>
        <w:t>50</w:t>
      </w:r>
      <w:r w:rsidR="00914C83" w:rsidRPr="0001227A">
        <w:rPr>
          <w:lang w:val="de-DE"/>
        </w:rPr>
        <w:t>.</w:t>
      </w:r>
      <w:r w:rsidR="00914C83" w:rsidRPr="0001227A">
        <w:rPr>
          <w:lang w:val="de-DE"/>
        </w:rPr>
        <w:tab/>
      </w:r>
      <w:r w:rsidR="000E69F0" w:rsidRPr="00754AFB">
        <w:rPr>
          <w:lang w:val="de-DE"/>
        </w:rPr>
        <w:t xml:space="preserve">Der Sicherheitsausschuss stellte ferner fest, dass der Wortlaut der Sonderbestimmung 665 mit dem der Sonderbestimmung 665 des ADR übereinstimmt, aber von </w:t>
      </w:r>
      <w:r w:rsidR="00591A0E" w:rsidRPr="00754AFB">
        <w:rPr>
          <w:lang w:val="de-DE"/>
        </w:rPr>
        <w:t xml:space="preserve">dem </w:t>
      </w:r>
      <w:r w:rsidR="000E69F0" w:rsidRPr="00754AFB">
        <w:rPr>
          <w:lang w:val="de-DE"/>
        </w:rPr>
        <w:t>der Sonderbestimmung 665 des RID abweicht.</w:t>
      </w:r>
      <w:r w:rsidR="00914C83" w:rsidRPr="0001227A">
        <w:rPr>
          <w:lang w:val="de-DE"/>
        </w:rPr>
        <w:t xml:space="preserve"> </w:t>
      </w:r>
      <w:r w:rsidR="00591A0E" w:rsidRPr="00754AFB">
        <w:rPr>
          <w:lang w:val="de-DE"/>
        </w:rPr>
        <w:t>Dies könnte zu Problemen führen, wenn Wagen, die Kohle in loser Schüttung enthalten, auf Schiffe verladen werden</w:t>
      </w:r>
      <w:r w:rsidR="00591A0E" w:rsidRPr="00642E50">
        <w:rPr>
          <w:lang w:val="de-DE"/>
        </w:rPr>
        <w:t>.</w:t>
      </w:r>
      <w:r w:rsidR="00914C83" w:rsidRPr="0001227A">
        <w:rPr>
          <w:lang w:val="de-DE"/>
        </w:rPr>
        <w:t xml:space="preserve"> </w:t>
      </w:r>
      <w:r w:rsidR="00591A0E" w:rsidRPr="00642E50">
        <w:rPr>
          <w:lang w:val="de-DE"/>
        </w:rPr>
        <w:t xml:space="preserve">Der Sicherheitsausschuss vertrat die Ansicht, dass </w:t>
      </w:r>
      <w:r w:rsidR="000340CA" w:rsidRPr="00642E50">
        <w:rPr>
          <w:lang w:val="de-DE"/>
        </w:rPr>
        <w:t>es an d</w:t>
      </w:r>
      <w:r w:rsidR="00591A0E" w:rsidRPr="00642E50">
        <w:rPr>
          <w:lang w:val="de-DE"/>
        </w:rPr>
        <w:t>e</w:t>
      </w:r>
      <w:r w:rsidR="000340CA" w:rsidRPr="00642E50">
        <w:rPr>
          <w:lang w:val="de-DE"/>
        </w:rPr>
        <w:t>n</w:t>
      </w:r>
      <w:r w:rsidR="00591A0E" w:rsidRPr="00642E50">
        <w:rPr>
          <w:lang w:val="de-DE"/>
        </w:rPr>
        <w:t xml:space="preserve"> betroffenen Delegationen </w:t>
      </w:r>
      <w:r w:rsidR="000340CA" w:rsidRPr="00642E50">
        <w:rPr>
          <w:lang w:val="de-DE"/>
        </w:rPr>
        <w:t xml:space="preserve">sei, zu </w:t>
      </w:r>
      <w:r w:rsidR="00591A0E" w:rsidRPr="00642E50">
        <w:rPr>
          <w:lang w:val="de-DE"/>
        </w:rPr>
        <w:t xml:space="preserve">überprüfen, ob dies in der Praxis ein Problem </w:t>
      </w:r>
      <w:r w:rsidR="00D7346F" w:rsidRPr="00642E50">
        <w:rPr>
          <w:lang w:val="de-DE"/>
        </w:rPr>
        <w:t>sei</w:t>
      </w:r>
      <w:r w:rsidR="00591A0E" w:rsidRPr="00642E50">
        <w:rPr>
          <w:lang w:val="de-DE"/>
        </w:rPr>
        <w:t xml:space="preserve"> und, falls ja, eine Lösung vorzuschlagen.</w:t>
      </w:r>
    </w:p>
    <w:p w14:paraId="599E03E8" w14:textId="0C7796C5" w:rsidR="002326CE" w:rsidRPr="0001227A" w:rsidRDefault="002326CE" w:rsidP="00D7346F">
      <w:pPr>
        <w:pStyle w:val="H1G"/>
        <w:rPr>
          <w:lang w:val="de-DE"/>
        </w:rPr>
      </w:pPr>
      <w:r w:rsidRPr="0001227A">
        <w:rPr>
          <w:lang w:val="de-DE"/>
        </w:rPr>
        <w:tab/>
        <w:t xml:space="preserve">B. </w:t>
      </w:r>
      <w:r w:rsidRPr="0001227A">
        <w:rPr>
          <w:lang w:val="de-DE"/>
        </w:rPr>
        <w:tab/>
      </w:r>
      <w:r w:rsidR="00D7346F" w:rsidRPr="00D7346F">
        <w:rPr>
          <w:lang w:val="de-DE"/>
        </w:rPr>
        <w:t>Weitere Vorschläge</w:t>
      </w:r>
    </w:p>
    <w:p w14:paraId="1E08C6CE" w14:textId="16E82129" w:rsidR="002326CE" w:rsidRPr="0001227A" w:rsidRDefault="002326CE" w:rsidP="00D7346F">
      <w:pPr>
        <w:pStyle w:val="H23G"/>
        <w:rPr>
          <w:lang w:val="de-DE"/>
        </w:rPr>
      </w:pPr>
      <w:r w:rsidRPr="0001227A">
        <w:rPr>
          <w:lang w:val="de-DE"/>
        </w:rPr>
        <w:tab/>
        <w:t>1.</w:t>
      </w:r>
      <w:r w:rsidRPr="0001227A">
        <w:rPr>
          <w:lang w:val="de-DE"/>
        </w:rPr>
        <w:tab/>
      </w:r>
      <w:r w:rsidR="00D7346F" w:rsidRPr="00D7346F">
        <w:rPr>
          <w:lang w:val="de-DE"/>
        </w:rPr>
        <w:t>Unterabschnitt 3.2.3.1 ADN, Erläuterungen zur Tabelle C</w:t>
      </w:r>
    </w:p>
    <w:p w14:paraId="51BF9969" w14:textId="18029980" w:rsidR="002326CE" w:rsidRPr="0001227A" w:rsidRDefault="00D7346F" w:rsidP="00D7346F">
      <w:pPr>
        <w:pStyle w:val="SingleTxtG"/>
        <w:rPr>
          <w:lang w:val="de-DE"/>
        </w:rPr>
      </w:pPr>
      <w:r w:rsidRPr="00D7346F">
        <w:rPr>
          <w:i/>
          <w:iCs/>
          <w:lang w:val="de-DE"/>
        </w:rPr>
        <w:t>Dokument:</w:t>
      </w:r>
      <w:r w:rsidR="002326CE" w:rsidRPr="0001227A">
        <w:rPr>
          <w:lang w:val="de-DE"/>
        </w:rPr>
        <w:tab/>
      </w:r>
      <w:r w:rsidRPr="00D7346F">
        <w:rPr>
          <w:lang w:val="de-DE"/>
        </w:rPr>
        <w:t>ECE/TRANS/WP.15/AC.2/2017/6 (Deutschland)</w:t>
      </w:r>
    </w:p>
    <w:p w14:paraId="3E6D4369" w14:textId="0E688DCC" w:rsidR="002326CE" w:rsidRPr="0001227A" w:rsidRDefault="00EC4B3D" w:rsidP="004B24E7">
      <w:pPr>
        <w:pStyle w:val="SingleTxtG"/>
        <w:rPr>
          <w:lang w:val="de-DE"/>
        </w:rPr>
      </w:pPr>
      <w:r w:rsidRPr="0001227A">
        <w:rPr>
          <w:lang w:val="de-DE"/>
        </w:rPr>
        <w:t>51</w:t>
      </w:r>
      <w:r w:rsidR="002326CE" w:rsidRPr="0001227A">
        <w:rPr>
          <w:lang w:val="de-DE"/>
        </w:rPr>
        <w:t>.</w:t>
      </w:r>
      <w:r w:rsidR="002326CE" w:rsidRPr="0001227A">
        <w:rPr>
          <w:lang w:val="de-DE"/>
        </w:rPr>
        <w:tab/>
      </w:r>
      <w:r w:rsidR="004B24E7" w:rsidRPr="004B24E7">
        <w:rPr>
          <w:lang w:val="de-DE"/>
        </w:rPr>
        <w:t>Der Änderungsvorschlag zu Unterabschnitt 3.2.3.1 wurde angenommen (siehe Anlage II).</w:t>
      </w:r>
    </w:p>
    <w:p w14:paraId="00BFED10" w14:textId="50DBE0B8" w:rsidR="002326CE" w:rsidRPr="0001227A" w:rsidRDefault="002326CE" w:rsidP="004B24E7">
      <w:pPr>
        <w:pStyle w:val="H23G"/>
        <w:rPr>
          <w:lang w:val="de-DE"/>
        </w:rPr>
      </w:pPr>
      <w:r w:rsidRPr="0001227A">
        <w:rPr>
          <w:lang w:val="de-DE"/>
        </w:rPr>
        <w:lastRenderedPageBreak/>
        <w:tab/>
        <w:t>2.</w:t>
      </w:r>
      <w:r w:rsidRPr="0001227A">
        <w:rPr>
          <w:lang w:val="de-DE"/>
        </w:rPr>
        <w:tab/>
      </w:r>
      <w:r w:rsidR="004B24E7" w:rsidRPr="004B24E7">
        <w:rPr>
          <w:lang w:val="de-DE"/>
        </w:rPr>
        <w:t>Löschmittel</w:t>
      </w:r>
    </w:p>
    <w:p w14:paraId="5DF63116" w14:textId="3ED1665F" w:rsidR="002326CE" w:rsidRPr="0001227A" w:rsidRDefault="004B24E7" w:rsidP="004B24E7">
      <w:pPr>
        <w:pStyle w:val="SingleTxtG"/>
        <w:rPr>
          <w:lang w:val="de-DE"/>
        </w:rPr>
      </w:pPr>
      <w:r w:rsidRPr="004B24E7">
        <w:rPr>
          <w:i/>
          <w:iCs/>
          <w:lang w:val="de-DE"/>
        </w:rPr>
        <w:t>Dokument:</w:t>
      </w:r>
      <w:r w:rsidR="002326CE" w:rsidRPr="0001227A">
        <w:rPr>
          <w:lang w:val="de-DE"/>
        </w:rPr>
        <w:tab/>
      </w:r>
      <w:r w:rsidRPr="004B24E7">
        <w:rPr>
          <w:lang w:val="de-DE"/>
        </w:rPr>
        <w:t>ECE/TRANS/WP.15/AC.2/2017/16 (Belgien und Niederlande)</w:t>
      </w:r>
    </w:p>
    <w:p w14:paraId="48C614A0" w14:textId="0142AB4D" w:rsidR="002326CE" w:rsidRPr="0001227A" w:rsidRDefault="004B24E7" w:rsidP="004B24E7">
      <w:pPr>
        <w:pStyle w:val="SingleTxtG"/>
        <w:rPr>
          <w:lang w:val="de-DE"/>
        </w:rPr>
      </w:pPr>
      <w:r w:rsidRPr="004B24E7">
        <w:rPr>
          <w:i/>
          <w:iCs/>
          <w:lang w:val="de-DE"/>
        </w:rPr>
        <w:t>Informelles Dokument:</w:t>
      </w:r>
      <w:r w:rsidR="002326CE" w:rsidRPr="0001227A">
        <w:rPr>
          <w:lang w:val="de-DE"/>
        </w:rPr>
        <w:tab/>
      </w:r>
      <w:r w:rsidRPr="004B24E7">
        <w:rPr>
          <w:lang w:val="de-DE"/>
        </w:rPr>
        <w:t>INF.23 (Belgien und Niederlande)</w:t>
      </w:r>
    </w:p>
    <w:p w14:paraId="72121830" w14:textId="750A8FDB" w:rsidR="00AF6464" w:rsidRPr="0001227A" w:rsidRDefault="00EC4B3D" w:rsidP="00642E50">
      <w:pPr>
        <w:pStyle w:val="SingleTxtG"/>
        <w:rPr>
          <w:lang w:val="de-DE"/>
        </w:rPr>
      </w:pPr>
      <w:r w:rsidRPr="0001227A">
        <w:rPr>
          <w:lang w:val="de-DE"/>
        </w:rPr>
        <w:t>52</w:t>
      </w:r>
      <w:r w:rsidR="00B87DC4" w:rsidRPr="0001227A">
        <w:rPr>
          <w:lang w:val="de-DE"/>
        </w:rPr>
        <w:t>.</w:t>
      </w:r>
      <w:r w:rsidR="002326CE" w:rsidRPr="0001227A">
        <w:rPr>
          <w:lang w:val="de-DE"/>
        </w:rPr>
        <w:tab/>
      </w:r>
      <w:r w:rsidR="004B24E7" w:rsidRPr="00642E50">
        <w:rPr>
          <w:lang w:val="de-DE"/>
        </w:rPr>
        <w:t xml:space="preserve">Der Sicherheitsausschuss </w:t>
      </w:r>
      <w:r w:rsidR="00D32394" w:rsidRPr="00642E50">
        <w:rPr>
          <w:lang w:val="de-DE"/>
        </w:rPr>
        <w:t xml:space="preserve">stimmte der Zulassung </w:t>
      </w:r>
      <w:r w:rsidR="00833229" w:rsidRPr="00642E50">
        <w:rPr>
          <w:lang w:val="de-DE"/>
        </w:rPr>
        <w:t>t</w:t>
      </w:r>
      <w:r w:rsidR="00D32394" w:rsidRPr="00642E50">
        <w:rPr>
          <w:lang w:val="de-DE"/>
        </w:rPr>
        <w:t>rocken</w:t>
      </w:r>
      <w:r w:rsidR="00833229" w:rsidRPr="00642E50">
        <w:rPr>
          <w:lang w:val="de-DE"/>
        </w:rPr>
        <w:t>er A</w:t>
      </w:r>
      <w:r w:rsidR="00642E50" w:rsidRPr="00642E50">
        <w:rPr>
          <w:lang w:val="de-DE"/>
        </w:rPr>
        <w:t>erosole als Löschmittel im Rahmen</w:t>
      </w:r>
      <w:r w:rsidR="00D32394" w:rsidRPr="00642E50">
        <w:rPr>
          <w:lang w:val="de-DE"/>
        </w:rPr>
        <w:t xml:space="preserve"> de</w:t>
      </w:r>
      <w:r w:rsidR="00642E50" w:rsidRPr="00642E50">
        <w:rPr>
          <w:lang w:val="de-DE"/>
        </w:rPr>
        <w:t xml:space="preserve">r Absätze </w:t>
      </w:r>
      <w:r w:rsidR="00D32394" w:rsidRPr="00642E50">
        <w:rPr>
          <w:lang w:val="de-DE"/>
        </w:rPr>
        <w:t>9.1.0.40.2.1 und 9.3.X.40.2.1 grundsätzlich zu, sofern die Europäische Richtlinie 2014/90/EU nur als Beispiel genannt wird.</w:t>
      </w:r>
    </w:p>
    <w:p w14:paraId="3B36D004" w14:textId="767A97A6" w:rsidR="004E732D" w:rsidRPr="0001227A" w:rsidRDefault="00EC4B3D" w:rsidP="00C05F0C">
      <w:pPr>
        <w:pStyle w:val="SingleTxtG"/>
        <w:rPr>
          <w:lang w:val="de-DE"/>
        </w:rPr>
      </w:pPr>
      <w:r w:rsidRPr="0001227A">
        <w:rPr>
          <w:lang w:val="de-DE"/>
        </w:rPr>
        <w:t>53</w:t>
      </w:r>
      <w:r w:rsidR="004E732D" w:rsidRPr="0001227A">
        <w:rPr>
          <w:lang w:val="de-DE"/>
        </w:rPr>
        <w:t>.</w:t>
      </w:r>
      <w:r w:rsidR="004E732D" w:rsidRPr="0001227A">
        <w:rPr>
          <w:lang w:val="de-DE"/>
        </w:rPr>
        <w:tab/>
      </w:r>
      <w:r w:rsidR="00833229" w:rsidRPr="00C11644">
        <w:rPr>
          <w:lang w:val="de-DE"/>
        </w:rPr>
        <w:t xml:space="preserve">Allerdings wurde festgestellt, dass die fraglichen Löschmittel nicht im europäischen Standard ES-TRIN enthalten sind und einige Unterschiede zwischen </w:t>
      </w:r>
      <w:r w:rsidR="0090770A" w:rsidRPr="00C11644">
        <w:rPr>
          <w:lang w:val="de-DE"/>
        </w:rPr>
        <w:t>diesem Standard und den Bestimmungen des ADN zur Verwendung anderer Löschmittel wie CO</w:t>
      </w:r>
      <w:r w:rsidR="0090770A" w:rsidRPr="00C11644">
        <w:rPr>
          <w:vertAlign w:val="subscript"/>
          <w:lang w:val="de-DE"/>
        </w:rPr>
        <w:t>2</w:t>
      </w:r>
      <w:r w:rsidR="0090770A" w:rsidRPr="00C11644">
        <w:rPr>
          <w:lang w:val="de-DE"/>
        </w:rPr>
        <w:t xml:space="preserve"> bestehen.</w:t>
      </w:r>
      <w:r w:rsidR="00DF3F05" w:rsidRPr="00C11644">
        <w:rPr>
          <w:lang w:val="de-DE"/>
        </w:rPr>
        <w:t xml:space="preserve"> </w:t>
      </w:r>
      <w:r w:rsidR="00642E50" w:rsidRPr="00C11644">
        <w:rPr>
          <w:lang w:val="de-DE"/>
        </w:rPr>
        <w:t>Zudem hat d</w:t>
      </w:r>
      <w:r w:rsidR="00DF3F05" w:rsidRPr="00C11644">
        <w:rPr>
          <w:lang w:val="de-DE"/>
        </w:rPr>
        <w:t>iese Frage auf der Agenda des Europäischen Ausschusses zur Ausarbeitung gemeinsamer Standards im Bereich der Binnenschifffahrt (CESNI) keine Priorität.</w:t>
      </w:r>
      <w:r w:rsidR="004E732D" w:rsidRPr="0001227A">
        <w:rPr>
          <w:lang w:val="de-DE"/>
        </w:rPr>
        <w:t xml:space="preserve"> </w:t>
      </w:r>
      <w:r w:rsidR="00C11644" w:rsidRPr="00C05F0C">
        <w:rPr>
          <w:lang w:val="de-DE"/>
        </w:rPr>
        <w:t>D</w:t>
      </w:r>
      <w:r w:rsidR="00E731CE" w:rsidRPr="00C05F0C">
        <w:rPr>
          <w:lang w:val="de-DE"/>
        </w:rPr>
        <w:t>e</w:t>
      </w:r>
      <w:r w:rsidR="00C05F0C">
        <w:rPr>
          <w:lang w:val="de-DE"/>
        </w:rPr>
        <w:t>s Weiteren lag</w:t>
      </w:r>
      <w:r w:rsidR="00920C9F">
        <w:rPr>
          <w:lang w:val="de-DE"/>
        </w:rPr>
        <w:t xml:space="preserve"> das </w:t>
      </w:r>
      <w:r w:rsidR="00920C9F" w:rsidRPr="00C05F0C">
        <w:rPr>
          <w:lang w:val="de-DE"/>
        </w:rPr>
        <w:t xml:space="preserve">informelle Dokument INF.23 </w:t>
      </w:r>
      <w:r w:rsidR="00920C9F">
        <w:rPr>
          <w:lang w:val="de-DE"/>
        </w:rPr>
        <w:t>mit</w:t>
      </w:r>
      <w:r w:rsidR="00C05F0C">
        <w:rPr>
          <w:lang w:val="de-DE"/>
        </w:rPr>
        <w:t xml:space="preserve"> de</w:t>
      </w:r>
      <w:r w:rsidR="00920C9F">
        <w:rPr>
          <w:lang w:val="de-DE"/>
        </w:rPr>
        <w:t>n</w:t>
      </w:r>
      <w:r w:rsidR="00E731CE" w:rsidRPr="00C05F0C">
        <w:rPr>
          <w:lang w:val="de-DE"/>
        </w:rPr>
        <w:t xml:space="preserve"> Textvorschläge</w:t>
      </w:r>
      <w:r w:rsidR="00920C9F">
        <w:rPr>
          <w:lang w:val="de-DE"/>
        </w:rPr>
        <w:t>n</w:t>
      </w:r>
      <w:r w:rsidR="00E731CE" w:rsidRPr="00C05F0C">
        <w:rPr>
          <w:lang w:val="de-DE"/>
        </w:rPr>
        <w:t xml:space="preserve"> für die neuen Absätze 9.1.0.40.2.14 und 9.3.X.40.2.14 nur in </w:t>
      </w:r>
      <w:r w:rsidR="00C11644" w:rsidRPr="00C05F0C">
        <w:rPr>
          <w:lang w:val="de-DE"/>
        </w:rPr>
        <w:t>d</w:t>
      </w:r>
      <w:r w:rsidR="00E731CE" w:rsidRPr="00C05F0C">
        <w:rPr>
          <w:lang w:val="de-DE"/>
        </w:rPr>
        <w:t>eutsch</w:t>
      </w:r>
      <w:r w:rsidR="00C11644" w:rsidRPr="00C05F0C">
        <w:rPr>
          <w:lang w:val="de-DE"/>
        </w:rPr>
        <w:t>er Sprache vor</w:t>
      </w:r>
      <w:r w:rsidR="00E731CE" w:rsidRPr="00C05F0C">
        <w:rPr>
          <w:lang w:val="de-DE"/>
        </w:rPr>
        <w:t>.</w:t>
      </w:r>
    </w:p>
    <w:p w14:paraId="40D6F68E" w14:textId="08E98A1E" w:rsidR="004E732D" w:rsidRPr="0001227A" w:rsidRDefault="00EC4B3D" w:rsidP="00D80A4A">
      <w:pPr>
        <w:pStyle w:val="SingleTxtG"/>
        <w:rPr>
          <w:lang w:val="de-DE"/>
        </w:rPr>
      </w:pPr>
      <w:r w:rsidRPr="0001227A">
        <w:rPr>
          <w:lang w:val="de-DE"/>
        </w:rPr>
        <w:t>54</w:t>
      </w:r>
      <w:r w:rsidR="004E732D" w:rsidRPr="0001227A">
        <w:rPr>
          <w:lang w:val="de-DE"/>
        </w:rPr>
        <w:t>.</w:t>
      </w:r>
      <w:r w:rsidR="004E732D" w:rsidRPr="0001227A">
        <w:rPr>
          <w:lang w:val="de-DE"/>
        </w:rPr>
        <w:tab/>
      </w:r>
      <w:r w:rsidR="00E731CE" w:rsidRPr="00D80A4A">
        <w:rPr>
          <w:lang w:val="de-DE"/>
        </w:rPr>
        <w:t>Im Anschluss an die Diskussion wurden der niederländische und der belgische Vertreter gebeten, für die nächste Sitzung einen offiziellen Vorschlag auszuarbeiten und dabei der Notwendigkeit einer Harmonisierung mit dem ES-TRIN Rechnung zu tragen.</w:t>
      </w:r>
      <w:r w:rsidR="004E732D" w:rsidRPr="0001227A">
        <w:rPr>
          <w:lang w:val="de-DE"/>
        </w:rPr>
        <w:t xml:space="preserve"> </w:t>
      </w:r>
      <w:r w:rsidR="004574BE" w:rsidRPr="00024B9E">
        <w:rPr>
          <w:lang w:val="de-DE"/>
        </w:rPr>
        <w:t xml:space="preserve">Das Sekretariat der ZKR wurde gebeten, </w:t>
      </w:r>
      <w:r w:rsidR="00024B9E" w:rsidRPr="00024B9E">
        <w:rPr>
          <w:lang w:val="de-DE"/>
        </w:rPr>
        <w:t>diese Angelegenheit dem</w:t>
      </w:r>
      <w:r w:rsidR="004574BE" w:rsidRPr="00024B9E">
        <w:rPr>
          <w:lang w:val="de-DE"/>
        </w:rPr>
        <w:t xml:space="preserve"> CESNI </w:t>
      </w:r>
      <w:r w:rsidR="00024B9E" w:rsidRPr="00024B9E">
        <w:rPr>
          <w:lang w:val="de-DE"/>
        </w:rPr>
        <w:t>zur Kenntnis zu bringen</w:t>
      </w:r>
      <w:r w:rsidR="004574BE" w:rsidRPr="00024B9E">
        <w:rPr>
          <w:lang w:val="de-DE"/>
        </w:rPr>
        <w:t xml:space="preserve">, um </w:t>
      </w:r>
      <w:r w:rsidR="00024B9E" w:rsidRPr="00024B9E">
        <w:rPr>
          <w:lang w:val="de-DE"/>
        </w:rPr>
        <w:t xml:space="preserve">die Arbeiten zum Einsatz trockener Löschmittel auf Binnenschiffen </w:t>
      </w:r>
      <w:r w:rsidR="00D80A4A">
        <w:rPr>
          <w:lang w:val="de-DE"/>
        </w:rPr>
        <w:t>allgemein</w:t>
      </w:r>
      <w:r w:rsidR="00024B9E" w:rsidRPr="00024B9E">
        <w:rPr>
          <w:lang w:val="de-DE"/>
        </w:rPr>
        <w:t xml:space="preserve"> voranzutreiben.</w:t>
      </w:r>
    </w:p>
    <w:p w14:paraId="11BD7BE8" w14:textId="111C53DF" w:rsidR="004E732D" w:rsidRPr="0001227A" w:rsidRDefault="004E732D" w:rsidP="00024B9E">
      <w:pPr>
        <w:pStyle w:val="H23G"/>
        <w:rPr>
          <w:lang w:val="de-DE"/>
        </w:rPr>
      </w:pPr>
      <w:r w:rsidRPr="0001227A">
        <w:rPr>
          <w:lang w:val="de-DE"/>
        </w:rPr>
        <w:tab/>
        <w:t>3.</w:t>
      </w:r>
      <w:r w:rsidRPr="0001227A">
        <w:rPr>
          <w:lang w:val="de-DE"/>
        </w:rPr>
        <w:tab/>
      </w:r>
      <w:r w:rsidR="00024B9E" w:rsidRPr="00024B9E">
        <w:rPr>
          <w:lang w:val="de-DE"/>
        </w:rPr>
        <w:t>Berichtigungen zu der dem ADN beigefügten Verordnung</w:t>
      </w:r>
    </w:p>
    <w:p w14:paraId="2D473059" w14:textId="4FF52CBF" w:rsidR="004E732D" w:rsidRPr="0001227A" w:rsidRDefault="00024B9E" w:rsidP="00024B9E">
      <w:pPr>
        <w:pStyle w:val="SingleTxtG"/>
        <w:rPr>
          <w:lang w:val="de-DE"/>
        </w:rPr>
      </w:pPr>
      <w:r w:rsidRPr="00024B9E">
        <w:rPr>
          <w:i/>
          <w:iCs/>
          <w:lang w:val="de-DE"/>
        </w:rPr>
        <w:t>Informelles Dokument:</w:t>
      </w:r>
      <w:r w:rsidR="004E732D" w:rsidRPr="0001227A">
        <w:rPr>
          <w:lang w:val="de-DE"/>
        </w:rPr>
        <w:tab/>
      </w:r>
      <w:r w:rsidRPr="00024B9E">
        <w:rPr>
          <w:lang w:val="de-DE"/>
        </w:rPr>
        <w:t>INF.4 (Sekretariat)</w:t>
      </w:r>
    </w:p>
    <w:p w14:paraId="1F16A199" w14:textId="4C2D1CA1" w:rsidR="004E732D" w:rsidRPr="0001227A" w:rsidRDefault="00EC4B3D" w:rsidP="00AC441E">
      <w:pPr>
        <w:pStyle w:val="SingleTxtG"/>
        <w:rPr>
          <w:lang w:val="de-DE"/>
        </w:rPr>
      </w:pPr>
      <w:r w:rsidRPr="0001227A">
        <w:rPr>
          <w:lang w:val="de-DE"/>
        </w:rPr>
        <w:t>55</w:t>
      </w:r>
      <w:r w:rsidR="004E732D" w:rsidRPr="0001227A">
        <w:rPr>
          <w:lang w:val="de-DE"/>
        </w:rPr>
        <w:t>.</w:t>
      </w:r>
      <w:r w:rsidR="004E732D" w:rsidRPr="0001227A">
        <w:rPr>
          <w:lang w:val="de-DE"/>
        </w:rPr>
        <w:tab/>
      </w:r>
      <w:r w:rsidR="00024B9E" w:rsidRPr="00AC441E">
        <w:rPr>
          <w:lang w:val="de-DE"/>
        </w:rPr>
        <w:t>Der Sicherheitsausschuss stellte in Absatz 1.6.7.2.1.4 einen typografischen Fehler fest, der berichtig</w:t>
      </w:r>
      <w:r w:rsidR="003362D4" w:rsidRPr="00AC441E">
        <w:rPr>
          <w:lang w:val="de-DE"/>
        </w:rPr>
        <w:t>t werd</w:t>
      </w:r>
      <w:r w:rsidR="00024B9E" w:rsidRPr="00AC441E">
        <w:rPr>
          <w:lang w:val="de-DE"/>
        </w:rPr>
        <w:t xml:space="preserve">en </w:t>
      </w:r>
      <w:r w:rsidR="003362D4" w:rsidRPr="00AC441E">
        <w:rPr>
          <w:lang w:val="de-DE"/>
        </w:rPr>
        <w:t>muss</w:t>
      </w:r>
      <w:r w:rsidR="00024B9E" w:rsidRPr="00AC441E">
        <w:rPr>
          <w:lang w:val="de-DE"/>
        </w:rPr>
        <w:t xml:space="preserve"> (siehe Anlage I).</w:t>
      </w:r>
    </w:p>
    <w:p w14:paraId="42422733" w14:textId="4B87D3F3" w:rsidR="004E732D" w:rsidRPr="0001227A" w:rsidRDefault="004E732D" w:rsidP="00AC441E">
      <w:pPr>
        <w:pStyle w:val="H23G"/>
        <w:rPr>
          <w:lang w:val="de-DE"/>
        </w:rPr>
      </w:pPr>
      <w:r w:rsidRPr="0001227A">
        <w:rPr>
          <w:lang w:val="de-DE"/>
        </w:rPr>
        <w:tab/>
        <w:t>4.</w:t>
      </w:r>
      <w:r w:rsidRPr="0001227A">
        <w:rPr>
          <w:lang w:val="de-DE"/>
        </w:rPr>
        <w:tab/>
      </w:r>
      <w:r w:rsidR="00AC441E" w:rsidRPr="00AC441E">
        <w:rPr>
          <w:lang w:val="de-DE"/>
        </w:rPr>
        <w:t>Vorschläge zur Aktualisierung von Verweisen</w:t>
      </w:r>
    </w:p>
    <w:p w14:paraId="7EE6A757" w14:textId="6AA4FEDA" w:rsidR="004E732D" w:rsidRPr="0001227A" w:rsidRDefault="00AC441E" w:rsidP="00AC441E">
      <w:pPr>
        <w:pStyle w:val="SingleTxtG"/>
        <w:rPr>
          <w:lang w:val="de-DE"/>
        </w:rPr>
      </w:pPr>
      <w:r w:rsidRPr="00AC441E">
        <w:rPr>
          <w:i/>
          <w:iCs/>
          <w:lang w:val="de-DE"/>
        </w:rPr>
        <w:t>Informelles Dokument:</w:t>
      </w:r>
      <w:r w:rsidR="004E732D" w:rsidRPr="0001227A">
        <w:rPr>
          <w:lang w:val="de-DE"/>
        </w:rPr>
        <w:tab/>
      </w:r>
      <w:r w:rsidRPr="00AC441E">
        <w:rPr>
          <w:lang w:val="de-DE"/>
        </w:rPr>
        <w:t>INF.6 (Frankreich)</w:t>
      </w:r>
    </w:p>
    <w:p w14:paraId="71AEB04F" w14:textId="7AC82A3C" w:rsidR="004E732D" w:rsidRPr="0001227A" w:rsidRDefault="00EC4B3D" w:rsidP="00B00325">
      <w:pPr>
        <w:pStyle w:val="SingleTxtG"/>
        <w:rPr>
          <w:lang w:val="de-DE"/>
        </w:rPr>
      </w:pPr>
      <w:r w:rsidRPr="0001227A">
        <w:rPr>
          <w:lang w:val="de-DE"/>
        </w:rPr>
        <w:t>56</w:t>
      </w:r>
      <w:r w:rsidR="004E732D" w:rsidRPr="0001227A">
        <w:rPr>
          <w:lang w:val="de-DE"/>
        </w:rPr>
        <w:t>.</w:t>
      </w:r>
      <w:r w:rsidR="004E732D" w:rsidRPr="0001227A">
        <w:rPr>
          <w:lang w:val="de-DE"/>
        </w:rPr>
        <w:tab/>
      </w:r>
      <w:r w:rsidR="00AC441E" w:rsidRPr="00B00325">
        <w:rPr>
          <w:lang w:val="de-DE"/>
        </w:rPr>
        <w:t xml:space="preserve">Der Sicherheitsausschuss stellte fest, dass der Verweis auf das Rundschreiben DSC.1/Circ.12 der Internationalen Seeschifffahrtsorganisation (IMO) in Unterabschnitt 1.1.4.3 veraltet </w:t>
      </w:r>
      <w:r w:rsidR="00B00325" w:rsidRPr="00B00325">
        <w:rPr>
          <w:lang w:val="de-DE"/>
        </w:rPr>
        <w:t>ist</w:t>
      </w:r>
      <w:r w:rsidR="00AC441E" w:rsidRPr="00B00325">
        <w:rPr>
          <w:lang w:val="de-DE"/>
        </w:rPr>
        <w:t>, und kam überein, ihn durch einen Verweis auf das Rundschreiben CCC.1/Circ.3 zu ersetzen (siehe Anlage II).</w:t>
      </w:r>
      <w:r w:rsidR="006B587D" w:rsidRPr="0001227A">
        <w:rPr>
          <w:lang w:val="de-DE"/>
        </w:rPr>
        <w:t xml:space="preserve"> </w:t>
      </w:r>
      <w:r w:rsidR="00FA4614" w:rsidRPr="00B00325">
        <w:rPr>
          <w:lang w:val="de-DE"/>
        </w:rPr>
        <w:t xml:space="preserve">Da diese Änderung auch </w:t>
      </w:r>
      <w:r w:rsidR="00B00325" w:rsidRPr="00B00325">
        <w:rPr>
          <w:lang w:val="de-DE"/>
        </w:rPr>
        <w:t xml:space="preserve">das </w:t>
      </w:r>
      <w:r w:rsidR="00FA4614" w:rsidRPr="00B00325">
        <w:rPr>
          <w:lang w:val="de-DE"/>
        </w:rPr>
        <w:t xml:space="preserve">RID und </w:t>
      </w:r>
      <w:r w:rsidR="00B00325" w:rsidRPr="00B00325">
        <w:rPr>
          <w:lang w:val="de-DE"/>
        </w:rPr>
        <w:t xml:space="preserve">das </w:t>
      </w:r>
      <w:r w:rsidR="00FA4614" w:rsidRPr="00B00325">
        <w:rPr>
          <w:lang w:val="de-DE"/>
        </w:rPr>
        <w:t>ADR betrifft, sollte sie der Gemeinsamen RID/ADR/ADN-Tagung zur Kenntnis gebracht werden.</w:t>
      </w:r>
    </w:p>
    <w:p w14:paraId="55AEC2B4" w14:textId="0FC69AE1" w:rsidR="004E732D" w:rsidRPr="0001227A" w:rsidRDefault="00EC4B3D" w:rsidP="00B00325">
      <w:pPr>
        <w:pStyle w:val="SingleTxtG"/>
        <w:rPr>
          <w:lang w:val="de-DE"/>
        </w:rPr>
      </w:pPr>
      <w:r w:rsidRPr="0001227A">
        <w:rPr>
          <w:lang w:val="de-DE"/>
        </w:rPr>
        <w:t>57</w:t>
      </w:r>
      <w:r w:rsidR="004E732D" w:rsidRPr="0001227A">
        <w:rPr>
          <w:lang w:val="de-DE"/>
        </w:rPr>
        <w:t>.</w:t>
      </w:r>
      <w:r w:rsidR="004E732D" w:rsidRPr="0001227A">
        <w:rPr>
          <w:lang w:val="de-DE"/>
        </w:rPr>
        <w:tab/>
      </w:r>
      <w:r w:rsidR="00BE2F80" w:rsidRPr="00B00325">
        <w:rPr>
          <w:lang w:val="de-DE"/>
        </w:rPr>
        <w:t>Der Sicherheitsausschuss nahm zur Kenntnis, dass der Verweis in Abschnitt 5.4.2 auf d</w:t>
      </w:r>
      <w:r w:rsidR="00DB5C13" w:rsidRPr="00B00325">
        <w:rPr>
          <w:lang w:val="de-DE"/>
        </w:rPr>
        <w:t>i</w:t>
      </w:r>
      <w:r w:rsidR="00BE2F80" w:rsidRPr="00B00325">
        <w:rPr>
          <w:lang w:val="de-DE"/>
        </w:rPr>
        <w:t>e</w:t>
      </w:r>
      <w:r w:rsidR="00DB5C13" w:rsidRPr="00B00325">
        <w:rPr>
          <w:lang w:val="de-DE"/>
        </w:rPr>
        <w:t xml:space="preserve"> Verfahrensregeln </w:t>
      </w:r>
      <w:r w:rsidR="00EC5AF9" w:rsidRPr="00B00325">
        <w:rPr>
          <w:lang w:val="de-DE"/>
        </w:rPr>
        <w:t>der</w:t>
      </w:r>
      <w:r w:rsidR="00BE2F80" w:rsidRPr="00B00325">
        <w:rPr>
          <w:lang w:val="de-DE"/>
        </w:rPr>
        <w:t xml:space="preserve"> IMO/ILO/UNECE </w:t>
      </w:r>
      <w:r w:rsidR="00EC5AF9" w:rsidRPr="00B00325">
        <w:rPr>
          <w:lang w:val="de-DE"/>
        </w:rPr>
        <w:t>für das Verpacken von Güterbeförderungseinheiten in der Ausgabe 2017 des ADN bereits aktualisiert wurde.</w:t>
      </w:r>
    </w:p>
    <w:p w14:paraId="2C7064E9" w14:textId="42F0F074" w:rsidR="004E732D" w:rsidRPr="0001227A" w:rsidRDefault="004E732D" w:rsidP="00604C80">
      <w:pPr>
        <w:pStyle w:val="H23G"/>
        <w:rPr>
          <w:lang w:val="de-DE"/>
        </w:rPr>
      </w:pPr>
      <w:r w:rsidRPr="0001227A">
        <w:rPr>
          <w:lang w:val="de-DE"/>
        </w:rPr>
        <w:tab/>
        <w:t>5.</w:t>
      </w:r>
      <w:r w:rsidRPr="0001227A">
        <w:rPr>
          <w:lang w:val="de-DE"/>
        </w:rPr>
        <w:tab/>
      </w:r>
      <w:r w:rsidR="00604C80" w:rsidRPr="00604C80">
        <w:rPr>
          <w:lang w:val="de-DE"/>
        </w:rPr>
        <w:t>Typogra</w:t>
      </w:r>
      <w:r w:rsidR="00833462">
        <w:rPr>
          <w:lang w:val="de-DE"/>
        </w:rPr>
        <w:t>f</w:t>
      </w:r>
      <w:r w:rsidR="00604C80" w:rsidRPr="00604C80">
        <w:rPr>
          <w:lang w:val="de-DE"/>
        </w:rPr>
        <w:t>ische Korrekturen in Kapitel 1.16 der ADN-Ausgabe 2017</w:t>
      </w:r>
    </w:p>
    <w:p w14:paraId="6EDBF93C" w14:textId="1DEDBB5C" w:rsidR="004E732D" w:rsidRPr="0001227A" w:rsidRDefault="00604C80" w:rsidP="00604C80">
      <w:pPr>
        <w:pStyle w:val="SingleTxtG"/>
        <w:rPr>
          <w:lang w:val="de-DE"/>
        </w:rPr>
      </w:pPr>
      <w:r w:rsidRPr="00604C80">
        <w:rPr>
          <w:i/>
          <w:iCs/>
          <w:lang w:val="de-DE"/>
        </w:rPr>
        <w:t>Informelles Dokument:</w:t>
      </w:r>
      <w:r w:rsidR="004E732D" w:rsidRPr="0001227A">
        <w:rPr>
          <w:lang w:val="de-DE"/>
        </w:rPr>
        <w:tab/>
      </w:r>
      <w:r w:rsidRPr="00604C80">
        <w:rPr>
          <w:lang w:val="de-DE"/>
        </w:rPr>
        <w:t>INF.9 (Frankreich)</w:t>
      </w:r>
    </w:p>
    <w:p w14:paraId="07F574A7" w14:textId="368C984A" w:rsidR="004E732D" w:rsidRPr="0001227A" w:rsidRDefault="00EC4B3D" w:rsidP="00B00325">
      <w:pPr>
        <w:pStyle w:val="SingleTxtG"/>
        <w:rPr>
          <w:lang w:val="de-DE"/>
        </w:rPr>
      </w:pPr>
      <w:r w:rsidRPr="0001227A">
        <w:rPr>
          <w:lang w:val="de-DE"/>
        </w:rPr>
        <w:t>58</w:t>
      </w:r>
      <w:r w:rsidR="004E732D" w:rsidRPr="0001227A">
        <w:rPr>
          <w:lang w:val="de-DE"/>
        </w:rPr>
        <w:t>.</w:t>
      </w:r>
      <w:r w:rsidR="004E732D" w:rsidRPr="0001227A">
        <w:rPr>
          <w:lang w:val="de-DE"/>
        </w:rPr>
        <w:tab/>
      </w:r>
      <w:r w:rsidR="00604C80" w:rsidRPr="00B00325">
        <w:rPr>
          <w:lang w:val="de-DE"/>
        </w:rPr>
        <w:t xml:space="preserve">Der Sicherheitsausschuss bestätigte, dass die vorgeschlagenen Korrekturen </w:t>
      </w:r>
      <w:r w:rsidR="00833462" w:rsidRPr="00B00325">
        <w:rPr>
          <w:lang w:val="de-DE"/>
        </w:rPr>
        <w:t xml:space="preserve">typografischer Natur sind und </w:t>
      </w:r>
      <w:r w:rsidR="00576D8F" w:rsidRPr="00B00325">
        <w:rPr>
          <w:lang w:val="de-DE"/>
        </w:rPr>
        <w:t>durchgeführt</w:t>
      </w:r>
      <w:r w:rsidR="00833462" w:rsidRPr="00B00325">
        <w:rPr>
          <w:lang w:val="de-DE"/>
        </w:rPr>
        <w:t xml:space="preserve"> werden sollten (siehe Anlage I).</w:t>
      </w:r>
    </w:p>
    <w:p w14:paraId="6E88D5E6" w14:textId="081A9B36" w:rsidR="004E732D" w:rsidRPr="0001227A" w:rsidRDefault="004E732D" w:rsidP="00576D8F">
      <w:pPr>
        <w:pStyle w:val="H23G"/>
        <w:rPr>
          <w:lang w:val="de-DE"/>
        </w:rPr>
      </w:pPr>
      <w:r w:rsidRPr="0001227A">
        <w:rPr>
          <w:lang w:val="de-DE"/>
        </w:rPr>
        <w:tab/>
        <w:t>6.</w:t>
      </w:r>
      <w:r w:rsidRPr="0001227A">
        <w:rPr>
          <w:lang w:val="de-DE"/>
        </w:rPr>
        <w:tab/>
      </w:r>
      <w:r w:rsidR="00576D8F" w:rsidRPr="00576D8F">
        <w:rPr>
          <w:lang w:val="de-DE"/>
        </w:rPr>
        <w:t>Änderungen in Tabelle C betreffend die Beförderung der UN-Nr. 1280</w:t>
      </w:r>
      <w:r w:rsidR="00576D8F" w:rsidRPr="00576D8F">
        <w:rPr>
          <w:lang w:val="de-DE"/>
        </w:rPr>
        <w:br/>
        <w:t>Propylenoxid und UN-Nr. 2983 Ethylenoxid und Propylenoxid, Mischung</w:t>
      </w:r>
    </w:p>
    <w:p w14:paraId="1282D158" w14:textId="02F88FC5" w:rsidR="004E732D" w:rsidRPr="0001227A" w:rsidRDefault="00576D8F" w:rsidP="00576D8F">
      <w:pPr>
        <w:pStyle w:val="SingleTxtG"/>
        <w:rPr>
          <w:lang w:val="de-DE"/>
        </w:rPr>
      </w:pPr>
      <w:r w:rsidRPr="00576D8F">
        <w:rPr>
          <w:i/>
          <w:iCs/>
          <w:lang w:val="de-DE"/>
        </w:rPr>
        <w:t>Informelle Dokumente:</w:t>
      </w:r>
      <w:r w:rsidR="004E732D" w:rsidRPr="0001227A">
        <w:rPr>
          <w:lang w:val="de-DE"/>
        </w:rPr>
        <w:tab/>
      </w:r>
      <w:r w:rsidRPr="00576D8F">
        <w:rPr>
          <w:lang w:val="de-DE"/>
        </w:rPr>
        <w:t>INF.17 und Add.1 (EBU und ESO)</w:t>
      </w:r>
    </w:p>
    <w:p w14:paraId="3FA5C8F4" w14:textId="28278BCC" w:rsidR="004E732D" w:rsidRPr="0001227A" w:rsidRDefault="00EC4B3D" w:rsidP="00B00325">
      <w:pPr>
        <w:pStyle w:val="SingleTxtG"/>
        <w:rPr>
          <w:lang w:val="de-DE"/>
        </w:rPr>
      </w:pPr>
      <w:r w:rsidRPr="0001227A">
        <w:rPr>
          <w:lang w:val="de-DE"/>
        </w:rPr>
        <w:t>59</w:t>
      </w:r>
      <w:r w:rsidR="004E732D" w:rsidRPr="0001227A">
        <w:rPr>
          <w:lang w:val="de-DE"/>
        </w:rPr>
        <w:t>.</w:t>
      </w:r>
      <w:r w:rsidR="004E732D" w:rsidRPr="0001227A">
        <w:rPr>
          <w:lang w:val="de-DE"/>
        </w:rPr>
        <w:tab/>
      </w:r>
      <w:r w:rsidR="00576D8F" w:rsidRPr="00B00325">
        <w:rPr>
          <w:lang w:val="de-DE"/>
        </w:rPr>
        <w:t xml:space="preserve">Einige Delegationen </w:t>
      </w:r>
      <w:r w:rsidR="004C2261" w:rsidRPr="00B00325">
        <w:rPr>
          <w:lang w:val="de-DE"/>
        </w:rPr>
        <w:t>bef</w:t>
      </w:r>
      <w:r w:rsidR="00576D8F" w:rsidRPr="00B00325">
        <w:rPr>
          <w:lang w:val="de-DE"/>
        </w:rPr>
        <w:t>ür</w:t>
      </w:r>
      <w:r w:rsidR="004C2261" w:rsidRPr="00B00325">
        <w:rPr>
          <w:lang w:val="de-DE"/>
        </w:rPr>
        <w:t>worteten</w:t>
      </w:r>
      <w:r w:rsidR="00576D8F" w:rsidRPr="00B00325">
        <w:rPr>
          <w:lang w:val="de-DE"/>
        </w:rPr>
        <w:t xml:space="preserve"> den Vorschlag</w:t>
      </w:r>
      <w:r w:rsidR="004C2261" w:rsidRPr="00B00325">
        <w:rPr>
          <w:lang w:val="de-DE"/>
        </w:rPr>
        <w:t xml:space="preserve">, </w:t>
      </w:r>
      <w:r w:rsidR="00C20EF7" w:rsidRPr="00B00325">
        <w:rPr>
          <w:lang w:val="de-DE"/>
        </w:rPr>
        <w:t>den</w:t>
      </w:r>
      <w:r w:rsidR="004C2261" w:rsidRPr="00B00325">
        <w:rPr>
          <w:lang w:val="de-DE"/>
        </w:rPr>
        <w:t xml:space="preserve"> Abst</w:t>
      </w:r>
      <w:r w:rsidR="00C20EF7" w:rsidRPr="00B00325">
        <w:rPr>
          <w:lang w:val="de-DE"/>
        </w:rPr>
        <w:t>a</w:t>
      </w:r>
      <w:r w:rsidR="004C2261" w:rsidRPr="00B00325">
        <w:rPr>
          <w:lang w:val="de-DE"/>
        </w:rPr>
        <w:t xml:space="preserve">nd </w:t>
      </w:r>
      <w:r w:rsidR="009A6AF3" w:rsidRPr="00B00325">
        <w:rPr>
          <w:lang w:val="de-DE"/>
        </w:rPr>
        <w:t>der</w:t>
      </w:r>
      <w:r w:rsidR="004C2261" w:rsidRPr="00B00325">
        <w:rPr>
          <w:lang w:val="de-DE"/>
        </w:rPr>
        <w:t xml:space="preserve"> Prüfungen von Tanks für die Beförderung solcher Stoffe zu vergrößern,</w:t>
      </w:r>
      <w:r w:rsidR="00576D8F" w:rsidRPr="00B00325">
        <w:rPr>
          <w:lang w:val="de-DE"/>
        </w:rPr>
        <w:t xml:space="preserve"> </w:t>
      </w:r>
      <w:r w:rsidR="00CC23F7" w:rsidRPr="00B00325">
        <w:rPr>
          <w:lang w:val="de-DE"/>
        </w:rPr>
        <w:t xml:space="preserve">verlangten jedoch eine </w:t>
      </w:r>
      <w:r w:rsidR="001D5338" w:rsidRPr="00B00325">
        <w:rPr>
          <w:lang w:val="de-DE"/>
        </w:rPr>
        <w:t>Höchstfrist von fünf Jahren bei Erneuerung der Klasse.</w:t>
      </w:r>
      <w:r w:rsidR="004E732D" w:rsidRPr="0001227A">
        <w:rPr>
          <w:lang w:val="de-DE"/>
        </w:rPr>
        <w:t xml:space="preserve"> </w:t>
      </w:r>
      <w:r w:rsidR="00CC1F15" w:rsidRPr="00B00325">
        <w:rPr>
          <w:lang w:val="de-DE"/>
        </w:rPr>
        <w:t>Andere Delegationen äußerten Vorbehalte, insbesondere, weil der Abstand de</w:t>
      </w:r>
      <w:r w:rsidR="009A6AF3" w:rsidRPr="00B00325">
        <w:rPr>
          <w:lang w:val="de-DE"/>
        </w:rPr>
        <w:t>r</w:t>
      </w:r>
      <w:r w:rsidR="00CC1F15" w:rsidRPr="00B00325">
        <w:rPr>
          <w:lang w:val="de-DE"/>
        </w:rPr>
        <w:t xml:space="preserve"> </w:t>
      </w:r>
      <w:r w:rsidR="00FB04F3" w:rsidRPr="00B00325">
        <w:rPr>
          <w:lang w:val="de-DE"/>
        </w:rPr>
        <w:t xml:space="preserve">Prüfungen von Ladetanks für die betroffenen Stoffe in den </w:t>
      </w:r>
      <w:r w:rsidR="00CC1F15" w:rsidRPr="00B00325">
        <w:rPr>
          <w:lang w:val="de-DE"/>
        </w:rPr>
        <w:t>I</w:t>
      </w:r>
      <w:r w:rsidR="00E24512" w:rsidRPr="00B00325">
        <w:rPr>
          <w:lang w:val="de-DE"/>
        </w:rPr>
        <w:t xml:space="preserve">BC- und IGC-Codes der IMO </w:t>
      </w:r>
      <w:r w:rsidR="00CC1F15" w:rsidRPr="00B00325">
        <w:rPr>
          <w:lang w:val="de-DE"/>
        </w:rPr>
        <w:t>zwei Jahre beträgt.</w:t>
      </w:r>
    </w:p>
    <w:p w14:paraId="561B0404" w14:textId="5CEB0843" w:rsidR="004E732D" w:rsidRPr="0001227A" w:rsidRDefault="00C1649F" w:rsidP="00B00325">
      <w:pPr>
        <w:pStyle w:val="SingleTxtG"/>
        <w:rPr>
          <w:lang w:val="de-DE"/>
        </w:rPr>
      </w:pPr>
      <w:r>
        <w:rPr>
          <w:lang w:val="de-DE"/>
        </w:rPr>
        <w:br w:type="page"/>
      </w:r>
      <w:r w:rsidR="00EC4B3D" w:rsidRPr="0001227A">
        <w:rPr>
          <w:lang w:val="de-DE"/>
        </w:rPr>
        <w:lastRenderedPageBreak/>
        <w:t>60</w:t>
      </w:r>
      <w:r w:rsidR="004E732D" w:rsidRPr="0001227A">
        <w:rPr>
          <w:lang w:val="de-DE"/>
        </w:rPr>
        <w:t>.</w:t>
      </w:r>
      <w:r w:rsidR="004E732D" w:rsidRPr="0001227A">
        <w:rPr>
          <w:lang w:val="de-DE"/>
        </w:rPr>
        <w:tab/>
      </w:r>
      <w:r w:rsidR="009A6AF3" w:rsidRPr="00B00325">
        <w:rPr>
          <w:lang w:val="de-DE"/>
        </w:rPr>
        <w:t xml:space="preserve">EBU und ESO wurden gebeten, in der nächsten Sitzung einen offiziellen Vorschlag </w:t>
      </w:r>
      <w:r w:rsidR="00B00325">
        <w:rPr>
          <w:lang w:val="de-DE"/>
        </w:rPr>
        <w:t>vorzulegen</w:t>
      </w:r>
      <w:r w:rsidR="009A6AF3" w:rsidRPr="00B00325">
        <w:rPr>
          <w:lang w:val="de-DE"/>
        </w:rPr>
        <w:t>.</w:t>
      </w:r>
    </w:p>
    <w:p w14:paraId="65760350" w14:textId="5124D56B" w:rsidR="004E732D" w:rsidRPr="0001227A" w:rsidRDefault="004E732D" w:rsidP="00CF474D">
      <w:pPr>
        <w:pStyle w:val="H23G"/>
        <w:rPr>
          <w:lang w:val="de-DE"/>
        </w:rPr>
      </w:pPr>
      <w:r w:rsidRPr="0001227A">
        <w:rPr>
          <w:lang w:val="de-DE"/>
        </w:rPr>
        <w:tab/>
        <w:t>7.</w:t>
      </w:r>
      <w:r w:rsidRPr="0001227A">
        <w:rPr>
          <w:lang w:val="de-DE"/>
        </w:rPr>
        <w:tab/>
      </w:r>
      <w:r w:rsidR="00CF474D" w:rsidRPr="00CF474D">
        <w:rPr>
          <w:lang w:val="de-DE"/>
        </w:rPr>
        <w:t>Autonome Schutzsysteme</w:t>
      </w:r>
    </w:p>
    <w:p w14:paraId="7B6A098C" w14:textId="59FB3B2C" w:rsidR="004E732D" w:rsidRPr="0001227A" w:rsidRDefault="00CF474D" w:rsidP="00CF474D">
      <w:pPr>
        <w:pStyle w:val="SingleTxtG"/>
        <w:rPr>
          <w:lang w:val="de-DE"/>
        </w:rPr>
      </w:pPr>
      <w:r w:rsidRPr="00CF474D">
        <w:rPr>
          <w:i/>
          <w:iCs/>
          <w:lang w:val="de-DE"/>
        </w:rPr>
        <w:t>Informelles Dokument:</w:t>
      </w:r>
      <w:r w:rsidR="004E732D" w:rsidRPr="0001227A">
        <w:rPr>
          <w:lang w:val="de-DE"/>
        </w:rPr>
        <w:tab/>
      </w:r>
      <w:r w:rsidRPr="00CF474D">
        <w:rPr>
          <w:lang w:val="de-DE"/>
        </w:rPr>
        <w:t>INF.20/Rev.1 (EBU, ESO und ERSTU)</w:t>
      </w:r>
    </w:p>
    <w:p w14:paraId="2DFD38DF" w14:textId="4DC09803" w:rsidR="004E732D" w:rsidRPr="0001227A" w:rsidRDefault="00EC4B3D" w:rsidP="00B00325">
      <w:pPr>
        <w:pStyle w:val="SingleTxtG"/>
        <w:rPr>
          <w:lang w:val="de-DE"/>
        </w:rPr>
      </w:pPr>
      <w:r w:rsidRPr="0001227A">
        <w:rPr>
          <w:lang w:val="de-DE"/>
        </w:rPr>
        <w:t>61</w:t>
      </w:r>
      <w:r w:rsidR="004E732D" w:rsidRPr="0001227A">
        <w:rPr>
          <w:lang w:val="de-DE"/>
        </w:rPr>
        <w:t>.</w:t>
      </w:r>
      <w:r w:rsidR="004E732D" w:rsidRPr="0001227A">
        <w:rPr>
          <w:lang w:val="de-DE"/>
        </w:rPr>
        <w:tab/>
      </w:r>
      <w:r w:rsidR="000C5757" w:rsidRPr="00B00325">
        <w:rPr>
          <w:lang w:val="de-DE"/>
        </w:rPr>
        <w:t xml:space="preserve">Das Dokument </w:t>
      </w:r>
      <w:r w:rsidR="00754AFB">
        <w:rPr>
          <w:lang w:val="de-DE"/>
        </w:rPr>
        <w:t>greift</w:t>
      </w:r>
      <w:r w:rsidR="000C5757" w:rsidRPr="00B00325">
        <w:rPr>
          <w:lang w:val="de-DE"/>
        </w:rPr>
        <w:t xml:space="preserve"> die Entscheidungen der letzten Sitzung (ECE/TRANS/WP.15/AC.2/60, Abs. 41 bis 44)</w:t>
      </w:r>
      <w:r w:rsidR="00FE4632" w:rsidRPr="00B00325">
        <w:rPr>
          <w:lang w:val="de-DE"/>
        </w:rPr>
        <w:t xml:space="preserve"> bezüglich der Bestimmung der </w:t>
      </w:r>
      <w:r w:rsidR="00E13B1A" w:rsidRPr="00B00325">
        <w:rPr>
          <w:lang w:val="de-DE"/>
        </w:rPr>
        <w:t xml:space="preserve">Explosionsgruppe oder </w:t>
      </w:r>
      <w:r w:rsidR="00E13B1A" w:rsidRPr="00754AFB">
        <w:rPr>
          <w:lang w:val="de-DE"/>
        </w:rPr>
        <w:t>Untergruppe für den Einbau</w:t>
      </w:r>
      <w:r w:rsidR="00E13B1A" w:rsidRPr="00B00325">
        <w:rPr>
          <w:lang w:val="de-DE"/>
        </w:rPr>
        <w:t xml:space="preserve"> der S</w:t>
      </w:r>
      <w:r w:rsidR="00BD233D" w:rsidRPr="00B00325">
        <w:rPr>
          <w:lang w:val="de-DE"/>
        </w:rPr>
        <w:t>chutzs</w:t>
      </w:r>
      <w:r w:rsidR="00E13B1A" w:rsidRPr="00B00325">
        <w:rPr>
          <w:lang w:val="de-DE"/>
        </w:rPr>
        <w:t>ysteme</w:t>
      </w:r>
      <w:r w:rsidR="0033045D" w:rsidRPr="00B00325">
        <w:rPr>
          <w:lang w:val="de-DE"/>
        </w:rPr>
        <w:t xml:space="preserve"> auf</w:t>
      </w:r>
      <w:r w:rsidR="00E13B1A" w:rsidRPr="00B00325">
        <w:rPr>
          <w:lang w:val="de-DE"/>
        </w:rPr>
        <w:t>.</w:t>
      </w:r>
      <w:r w:rsidR="004E732D" w:rsidRPr="0001227A">
        <w:rPr>
          <w:lang w:val="de-DE"/>
        </w:rPr>
        <w:t xml:space="preserve"> </w:t>
      </w:r>
      <w:r w:rsidR="00015B42" w:rsidRPr="00B00325">
        <w:rPr>
          <w:lang w:val="de-DE"/>
        </w:rPr>
        <w:t xml:space="preserve">Seitdem wurde das multilaterale Abkommen M 018 unterzeichnet, aber die Arbeiten sind nur wenig vorangekommen. Für das von EBU, ESO und ERSTU vertretene Gewerbe </w:t>
      </w:r>
      <w:r w:rsidR="00835B9B" w:rsidRPr="00B00325">
        <w:rPr>
          <w:lang w:val="de-DE"/>
        </w:rPr>
        <w:t xml:space="preserve">ist es wichtig, dass rasch Entscheidungen getroffen werden, </w:t>
      </w:r>
      <w:r w:rsidR="00784EA1" w:rsidRPr="00B00325">
        <w:rPr>
          <w:lang w:val="de-DE"/>
        </w:rPr>
        <w:t xml:space="preserve">da die derzeitige Unsicherheit </w:t>
      </w:r>
      <w:r w:rsidR="00BE291D" w:rsidRPr="00B00325">
        <w:rPr>
          <w:lang w:val="de-DE"/>
        </w:rPr>
        <w:t>über</w:t>
      </w:r>
      <w:r w:rsidR="00784EA1" w:rsidRPr="00B00325">
        <w:rPr>
          <w:lang w:val="de-DE"/>
        </w:rPr>
        <w:t xml:space="preserve"> d</w:t>
      </w:r>
      <w:r w:rsidR="00BE291D" w:rsidRPr="00B00325">
        <w:rPr>
          <w:lang w:val="de-DE"/>
        </w:rPr>
        <w:t>i</w:t>
      </w:r>
      <w:r w:rsidR="00784EA1" w:rsidRPr="00B00325">
        <w:rPr>
          <w:lang w:val="de-DE"/>
        </w:rPr>
        <w:t>e Ergebnisse der Arbeiten zu Investitionsproblemen führen.</w:t>
      </w:r>
    </w:p>
    <w:p w14:paraId="667B83F9" w14:textId="134261A5" w:rsidR="004E732D" w:rsidRPr="0001227A" w:rsidRDefault="00EC4B3D" w:rsidP="00B00325">
      <w:pPr>
        <w:pStyle w:val="SingleTxtG"/>
        <w:rPr>
          <w:lang w:val="de-DE"/>
        </w:rPr>
      </w:pPr>
      <w:r w:rsidRPr="0001227A">
        <w:rPr>
          <w:lang w:val="de-DE"/>
        </w:rPr>
        <w:t>62</w:t>
      </w:r>
      <w:r w:rsidR="004E732D" w:rsidRPr="0001227A">
        <w:rPr>
          <w:lang w:val="de-DE"/>
        </w:rPr>
        <w:t>.</w:t>
      </w:r>
      <w:r w:rsidR="004E732D" w:rsidRPr="0001227A">
        <w:rPr>
          <w:lang w:val="de-DE"/>
        </w:rPr>
        <w:tab/>
      </w:r>
      <w:r w:rsidR="00631846" w:rsidRPr="00B00325">
        <w:rPr>
          <w:lang w:val="de-DE"/>
        </w:rPr>
        <w:t xml:space="preserve">Es wurde festgestellt, dass sich die informelle Arbeitsgruppe „Stoffe“ </w:t>
      </w:r>
      <w:r w:rsidR="00B00325" w:rsidRPr="00B00325">
        <w:rPr>
          <w:lang w:val="de-DE"/>
        </w:rPr>
        <w:t xml:space="preserve">rasch </w:t>
      </w:r>
      <w:r w:rsidR="00631846" w:rsidRPr="00B00325">
        <w:rPr>
          <w:lang w:val="de-DE"/>
        </w:rPr>
        <w:t xml:space="preserve">um diese Angelegenheit kümmern sollte, falls </w:t>
      </w:r>
      <w:r w:rsidR="00DA0CF3" w:rsidRPr="00B00325">
        <w:rPr>
          <w:lang w:val="de-DE"/>
        </w:rPr>
        <w:t>nötig im Rahmen zusätzlicher Sitzungen</w:t>
      </w:r>
      <w:r w:rsidR="00631846" w:rsidRPr="00B00325">
        <w:rPr>
          <w:lang w:val="de-DE"/>
        </w:rPr>
        <w:t xml:space="preserve">, </w:t>
      </w:r>
      <w:r w:rsidR="00DA0CF3" w:rsidRPr="00B00325">
        <w:rPr>
          <w:lang w:val="de-DE"/>
        </w:rPr>
        <w:t>und dass alle interessierten Organisationen eingeladen sind, sich an den Arbeiten zu beteiligen.</w:t>
      </w:r>
      <w:r w:rsidR="004E1929" w:rsidRPr="0001227A">
        <w:rPr>
          <w:lang w:val="de-DE"/>
        </w:rPr>
        <w:t xml:space="preserve"> </w:t>
      </w:r>
      <w:r w:rsidR="00DA0CF3" w:rsidRPr="00B00325">
        <w:rPr>
          <w:lang w:val="de-DE"/>
        </w:rPr>
        <w:t>Die nächste Sitzung der informellen Arbeitsgruppe wurde für den 19. und 20. April 2017 in Berlin anberaumt.</w:t>
      </w:r>
    </w:p>
    <w:p w14:paraId="2B82D3CE" w14:textId="58678872" w:rsidR="004E732D" w:rsidRPr="0001227A" w:rsidRDefault="004E732D" w:rsidP="00DA0CF3">
      <w:pPr>
        <w:pStyle w:val="H23G"/>
        <w:rPr>
          <w:lang w:val="de-DE"/>
        </w:rPr>
      </w:pPr>
      <w:r w:rsidRPr="0001227A">
        <w:rPr>
          <w:lang w:val="de-DE"/>
        </w:rPr>
        <w:tab/>
        <w:t>8.</w:t>
      </w:r>
      <w:r w:rsidRPr="0001227A">
        <w:rPr>
          <w:lang w:val="de-DE"/>
        </w:rPr>
        <w:tab/>
      </w:r>
      <w:r w:rsidR="00DA0CF3" w:rsidRPr="00DA0CF3">
        <w:rPr>
          <w:lang w:val="de-DE"/>
        </w:rPr>
        <w:t>Nutzung des Landstromnetzes durch Fahrzeuge, die gefährliche Güter befördern – Anforderungen an den Anschluss und die Verbindungsleitung zwischen Schiff und Land</w:t>
      </w:r>
    </w:p>
    <w:p w14:paraId="55045256" w14:textId="1A555DDA" w:rsidR="004E732D" w:rsidRPr="0001227A" w:rsidRDefault="00DA0CF3" w:rsidP="00DA0CF3">
      <w:pPr>
        <w:pStyle w:val="SingleTxtG"/>
        <w:rPr>
          <w:lang w:val="de-DE"/>
        </w:rPr>
      </w:pPr>
      <w:r w:rsidRPr="00DA0CF3">
        <w:rPr>
          <w:i/>
          <w:iCs/>
          <w:lang w:val="de-DE"/>
        </w:rPr>
        <w:t>Informelles Dokument:</w:t>
      </w:r>
      <w:r w:rsidR="004E732D" w:rsidRPr="0001227A">
        <w:rPr>
          <w:lang w:val="de-DE"/>
        </w:rPr>
        <w:tab/>
      </w:r>
      <w:r w:rsidRPr="00DA0CF3">
        <w:rPr>
          <w:lang w:val="de-DE"/>
        </w:rPr>
        <w:t>INF.21 (ZKR)</w:t>
      </w:r>
    </w:p>
    <w:p w14:paraId="21D7988B" w14:textId="3252A6C8" w:rsidR="004E732D" w:rsidRPr="0001227A" w:rsidRDefault="00EC4B3D" w:rsidP="004B4761">
      <w:pPr>
        <w:pStyle w:val="SingleTxtG"/>
        <w:rPr>
          <w:lang w:val="de-DE"/>
        </w:rPr>
      </w:pPr>
      <w:r w:rsidRPr="0001227A">
        <w:rPr>
          <w:lang w:val="de-DE"/>
        </w:rPr>
        <w:t>63</w:t>
      </w:r>
      <w:r w:rsidR="004E732D" w:rsidRPr="0001227A">
        <w:rPr>
          <w:lang w:val="de-DE"/>
        </w:rPr>
        <w:t>.</w:t>
      </w:r>
      <w:r w:rsidR="004E732D" w:rsidRPr="0001227A">
        <w:rPr>
          <w:lang w:val="de-DE"/>
        </w:rPr>
        <w:tab/>
      </w:r>
      <w:r w:rsidR="00DA0CF3" w:rsidRPr="004B4761">
        <w:rPr>
          <w:lang w:val="de-DE"/>
        </w:rPr>
        <w:t xml:space="preserve">Der Sicherheitsausschuss befand, dass die informelle Arbeitsgruppe „Explosionsschutz“ die von der ZKR aufgeworfenen Fragen und die </w:t>
      </w:r>
      <w:r w:rsidR="003E1390" w:rsidRPr="004B4761">
        <w:rPr>
          <w:lang w:val="de-DE"/>
        </w:rPr>
        <w:t xml:space="preserve">unterbreiteten </w:t>
      </w:r>
      <w:r w:rsidR="00DA0CF3" w:rsidRPr="004B4761">
        <w:rPr>
          <w:lang w:val="de-DE"/>
        </w:rPr>
        <w:t>Vorschläge prüfen sollte.</w:t>
      </w:r>
    </w:p>
    <w:p w14:paraId="6703C42A" w14:textId="4CE68DD4" w:rsidR="00914C83" w:rsidRPr="0001227A" w:rsidRDefault="00914C83" w:rsidP="00A54372">
      <w:pPr>
        <w:pStyle w:val="H23G"/>
        <w:rPr>
          <w:lang w:val="de-DE"/>
        </w:rPr>
      </w:pPr>
      <w:r w:rsidRPr="0001227A">
        <w:rPr>
          <w:lang w:val="de-DE"/>
        </w:rPr>
        <w:tab/>
        <w:t>9.</w:t>
      </w:r>
      <w:r w:rsidRPr="0001227A">
        <w:rPr>
          <w:lang w:val="de-DE"/>
        </w:rPr>
        <w:tab/>
      </w:r>
      <w:r w:rsidR="00A54372" w:rsidRPr="00A54372">
        <w:rPr>
          <w:lang w:val="de-DE"/>
        </w:rPr>
        <w:t>Berichtigungen der Übergangsbestimmungen betreffend die Begriffsbestimmungen für Flammendurchschlagsicherungen und Hochgeschwindigkeitsventile</w:t>
      </w:r>
    </w:p>
    <w:p w14:paraId="16897DE4" w14:textId="248EECD2" w:rsidR="00914C83" w:rsidRPr="0001227A" w:rsidRDefault="00A54372" w:rsidP="00A54372">
      <w:pPr>
        <w:pStyle w:val="SingleTxtG"/>
        <w:rPr>
          <w:lang w:val="de-DE"/>
        </w:rPr>
      </w:pPr>
      <w:r w:rsidRPr="00A54372">
        <w:rPr>
          <w:i/>
          <w:iCs/>
          <w:lang w:val="de-DE"/>
        </w:rPr>
        <w:t>Informelles Dokument:</w:t>
      </w:r>
      <w:r w:rsidR="00914C83" w:rsidRPr="0001227A">
        <w:rPr>
          <w:lang w:val="de-DE"/>
        </w:rPr>
        <w:tab/>
      </w:r>
      <w:r w:rsidRPr="00A54372">
        <w:rPr>
          <w:lang w:val="de-DE"/>
        </w:rPr>
        <w:t>INF.18 (EBU, ESO und ERSTU)</w:t>
      </w:r>
    </w:p>
    <w:p w14:paraId="33AF4642" w14:textId="2DF2B016" w:rsidR="00914C83" w:rsidRPr="0001227A" w:rsidRDefault="00914C83" w:rsidP="000250E9">
      <w:pPr>
        <w:pStyle w:val="SingleTxtG"/>
        <w:rPr>
          <w:lang w:val="de-DE"/>
        </w:rPr>
      </w:pPr>
      <w:r w:rsidRPr="0001227A">
        <w:rPr>
          <w:lang w:val="de-DE"/>
        </w:rPr>
        <w:t>64.</w:t>
      </w:r>
      <w:r w:rsidRPr="0001227A">
        <w:rPr>
          <w:lang w:val="de-DE"/>
        </w:rPr>
        <w:tab/>
      </w:r>
      <w:r w:rsidR="00A54372" w:rsidRPr="000250E9">
        <w:rPr>
          <w:lang w:val="de-DE"/>
        </w:rPr>
        <w:t xml:space="preserve">Der Sicherheitsausschuss bestätigte die Ansicht von EBU, ESO und ERSTU, dass die Übergangsbestimmung in Absatz 1.6.7.2.2.2 zur </w:t>
      </w:r>
      <w:r w:rsidR="00DF0B70" w:rsidRPr="000250E9">
        <w:rPr>
          <w:lang w:val="de-DE"/>
        </w:rPr>
        <w:t>Definition von</w:t>
      </w:r>
      <w:r w:rsidR="00A54372" w:rsidRPr="000250E9">
        <w:rPr>
          <w:lang w:val="de-DE"/>
        </w:rPr>
        <w:t xml:space="preserve"> Flammendurchschlagsic</w:t>
      </w:r>
      <w:r w:rsidR="00CB5E54" w:rsidRPr="000250E9">
        <w:rPr>
          <w:lang w:val="de-DE"/>
        </w:rPr>
        <w:t>herungen</w:t>
      </w:r>
      <w:r w:rsidR="00D71075" w:rsidRPr="000250E9">
        <w:rPr>
          <w:lang w:val="de-DE"/>
        </w:rPr>
        <w:t xml:space="preserve"> </w:t>
      </w:r>
      <w:r w:rsidR="00DF0B70" w:rsidRPr="000250E9">
        <w:rPr>
          <w:lang w:val="de-DE"/>
        </w:rPr>
        <w:t xml:space="preserve">in Abschnitt 1.2.1 </w:t>
      </w:r>
      <w:r w:rsidR="002B16D2" w:rsidRPr="000250E9">
        <w:rPr>
          <w:lang w:val="de-DE"/>
        </w:rPr>
        <w:t xml:space="preserve">berichtigt werden </w:t>
      </w:r>
      <w:r w:rsidR="004B4761" w:rsidRPr="000250E9">
        <w:rPr>
          <w:lang w:val="de-DE"/>
        </w:rPr>
        <w:t>und</w:t>
      </w:r>
      <w:r w:rsidR="002B16D2" w:rsidRPr="000250E9">
        <w:rPr>
          <w:lang w:val="de-DE"/>
        </w:rPr>
        <w:t xml:space="preserve"> „N.E.U. ab 1.</w:t>
      </w:r>
      <w:r w:rsidR="005638E8">
        <w:rPr>
          <w:lang w:val="de-DE"/>
        </w:rPr>
        <w:t> </w:t>
      </w:r>
      <w:r w:rsidR="002B16D2" w:rsidRPr="000250E9">
        <w:rPr>
          <w:lang w:val="de-DE"/>
        </w:rPr>
        <w:t xml:space="preserve">Januar 2001“ durch „N.E.U. ab 1. Januar 2015“ ersetzt </w:t>
      </w:r>
      <w:r w:rsidR="004B4761" w:rsidRPr="000250E9">
        <w:rPr>
          <w:lang w:val="de-DE"/>
        </w:rPr>
        <w:t>werden sollte</w:t>
      </w:r>
      <w:r w:rsidR="002B16D2" w:rsidRPr="000250E9">
        <w:rPr>
          <w:lang w:val="de-DE"/>
        </w:rPr>
        <w:t xml:space="preserve">. </w:t>
      </w:r>
      <w:r w:rsidR="00D63D9F" w:rsidRPr="000250E9">
        <w:rPr>
          <w:lang w:val="de-DE"/>
        </w:rPr>
        <w:t xml:space="preserve">Es sei nicht </w:t>
      </w:r>
      <w:r w:rsidR="003C141F" w:rsidRPr="000250E9">
        <w:rPr>
          <w:lang w:val="de-DE"/>
        </w:rPr>
        <w:t>nachvollziehbar</w:t>
      </w:r>
      <w:r w:rsidR="00D63D9F" w:rsidRPr="000250E9">
        <w:rPr>
          <w:lang w:val="de-DE"/>
        </w:rPr>
        <w:t xml:space="preserve">, </w:t>
      </w:r>
      <w:r w:rsidR="003C141F" w:rsidRPr="000250E9">
        <w:rPr>
          <w:lang w:val="de-DE"/>
        </w:rPr>
        <w:t>warum die</w:t>
      </w:r>
      <w:r w:rsidR="00D63D9F" w:rsidRPr="000250E9">
        <w:rPr>
          <w:lang w:val="de-DE"/>
        </w:rPr>
        <w:t xml:space="preserve"> Übergangsmaßnahme </w:t>
      </w:r>
      <w:r w:rsidR="003C141F" w:rsidRPr="000250E9">
        <w:rPr>
          <w:lang w:val="de-DE"/>
        </w:rPr>
        <w:t xml:space="preserve">vorsieht, dass die </w:t>
      </w:r>
      <w:r w:rsidR="00D63D9F" w:rsidRPr="000250E9">
        <w:rPr>
          <w:lang w:val="de-DE"/>
        </w:rPr>
        <w:t>Ausrüstung auf Schiffe</w:t>
      </w:r>
      <w:r w:rsidR="00FD225B" w:rsidRPr="000250E9">
        <w:rPr>
          <w:lang w:val="de-DE"/>
        </w:rPr>
        <w:t>n</w:t>
      </w:r>
      <w:r w:rsidR="00D63D9F" w:rsidRPr="000250E9">
        <w:rPr>
          <w:lang w:val="de-DE"/>
        </w:rPr>
        <w:t>, die am oder nach dem 1. Januar 2001 neugebaut wurden, einem 2010 veröffentlichten Standard entsprechen soll.</w:t>
      </w:r>
      <w:r w:rsidR="00FD225B" w:rsidRPr="000250E9">
        <w:rPr>
          <w:lang w:val="de-DE"/>
        </w:rPr>
        <w:t xml:space="preserve"> Der Wortlaut der Übergangsbestimmung sei aufgrund der in der Sitzung im August 2014</w:t>
      </w:r>
      <w:r w:rsidR="00DC15CB" w:rsidRPr="000250E9">
        <w:rPr>
          <w:lang w:val="de-DE"/>
        </w:rPr>
        <w:t xml:space="preserve"> </w:t>
      </w:r>
      <w:r w:rsidR="00FD225B" w:rsidRPr="000250E9">
        <w:rPr>
          <w:lang w:val="de-DE"/>
        </w:rPr>
        <w:t xml:space="preserve">getroffenen Entscheidungen </w:t>
      </w:r>
      <w:r w:rsidR="00E22B65" w:rsidRPr="000250E9">
        <w:rPr>
          <w:lang w:val="de-DE"/>
        </w:rPr>
        <w:t xml:space="preserve">bereits berichtigt </w:t>
      </w:r>
      <w:r w:rsidR="00FD225B" w:rsidRPr="000250E9">
        <w:rPr>
          <w:lang w:val="de-DE"/>
        </w:rPr>
        <w:t>worden</w:t>
      </w:r>
      <w:r w:rsidR="00E22B65" w:rsidRPr="000250E9">
        <w:rPr>
          <w:lang w:val="de-DE"/>
        </w:rPr>
        <w:t xml:space="preserve"> (ECE/TRANS/WP.15/AC.2/52, Anlage IV und Verwahrer-Notifizierungen</w:t>
      </w:r>
      <w:r w:rsidR="00F56A1D" w:rsidRPr="000250E9">
        <w:rPr>
          <w:lang w:val="de-DE"/>
        </w:rPr>
        <w:t xml:space="preserve"> C.N.621-2014-TREATIES-XI.D.6 u</w:t>
      </w:r>
      <w:r w:rsidR="00E22B65" w:rsidRPr="000250E9">
        <w:rPr>
          <w:lang w:val="de-DE"/>
        </w:rPr>
        <w:t>nd C.N.191-2015-TREATIES-XI-D.6).</w:t>
      </w:r>
      <w:r w:rsidR="00DC15CB" w:rsidRPr="000250E9">
        <w:rPr>
          <w:lang w:val="de-DE"/>
        </w:rPr>
        <w:t xml:space="preserve"> Leider sei die Berichtigung </w:t>
      </w:r>
      <w:r w:rsidR="002754DC">
        <w:rPr>
          <w:lang w:val="de-DE"/>
        </w:rPr>
        <w:t xml:space="preserve">jedoch </w:t>
      </w:r>
      <w:r w:rsidR="00602ED9" w:rsidRPr="000250E9">
        <w:rPr>
          <w:lang w:val="de-DE"/>
        </w:rPr>
        <w:t xml:space="preserve">unvollständig </w:t>
      </w:r>
      <w:r w:rsidR="000250E9" w:rsidRPr="000250E9">
        <w:rPr>
          <w:lang w:val="de-DE"/>
        </w:rPr>
        <w:t>gewesen</w:t>
      </w:r>
      <w:r w:rsidR="00602ED9" w:rsidRPr="000250E9">
        <w:rPr>
          <w:lang w:val="de-DE"/>
        </w:rPr>
        <w:t xml:space="preserve">, da </w:t>
      </w:r>
      <w:r w:rsidR="003D6C5C" w:rsidRPr="000250E9">
        <w:rPr>
          <w:lang w:val="de-DE"/>
        </w:rPr>
        <w:t>beabsichtigt</w:t>
      </w:r>
      <w:r w:rsidR="00602ED9" w:rsidRPr="000250E9">
        <w:rPr>
          <w:lang w:val="de-DE"/>
        </w:rPr>
        <w:t xml:space="preserve"> gewesen sei, den Wortlaut der Übergangsbestimmung vollständig an den Wortlaut der Definition von Hochgeschwindigkeitsventilen anzugleichen.</w:t>
      </w:r>
    </w:p>
    <w:p w14:paraId="66270ED1" w14:textId="46B5B45A" w:rsidR="00914C83" w:rsidRPr="0001227A" w:rsidRDefault="00914C83" w:rsidP="000250E9">
      <w:pPr>
        <w:pStyle w:val="SingleTxtG"/>
        <w:rPr>
          <w:lang w:val="de-DE"/>
        </w:rPr>
      </w:pPr>
      <w:r w:rsidRPr="0001227A">
        <w:rPr>
          <w:lang w:val="de-DE"/>
        </w:rPr>
        <w:t>65.</w:t>
      </w:r>
      <w:r w:rsidRPr="0001227A">
        <w:rPr>
          <w:lang w:val="de-DE"/>
        </w:rPr>
        <w:tab/>
      </w:r>
      <w:r w:rsidR="00E568BA" w:rsidRPr="000250E9">
        <w:rPr>
          <w:lang w:val="de-DE"/>
        </w:rPr>
        <w:t xml:space="preserve">Bei der Behandlung der </w:t>
      </w:r>
      <w:r w:rsidR="007D7FE3">
        <w:rPr>
          <w:lang w:val="de-DE"/>
        </w:rPr>
        <w:t>Texte</w:t>
      </w:r>
      <w:r w:rsidR="00E568BA" w:rsidRPr="000250E9">
        <w:rPr>
          <w:lang w:val="de-DE"/>
        </w:rPr>
        <w:t xml:space="preserve"> der Übergangsbestimmungen stellte der Sicherheitsausschuss fest, dass beide </w:t>
      </w:r>
      <w:r w:rsidR="007D7FE3">
        <w:rPr>
          <w:lang w:val="de-DE"/>
        </w:rPr>
        <w:t>Texte</w:t>
      </w:r>
      <w:r w:rsidR="00227E98" w:rsidRPr="000250E9">
        <w:rPr>
          <w:lang w:val="de-DE"/>
        </w:rPr>
        <w:t xml:space="preserve"> </w:t>
      </w:r>
      <w:r w:rsidR="00E568BA" w:rsidRPr="000250E9">
        <w:rPr>
          <w:lang w:val="de-DE"/>
        </w:rPr>
        <w:t xml:space="preserve">einen Fehler enthalten, </w:t>
      </w:r>
      <w:r w:rsidR="000250E9" w:rsidRPr="000250E9">
        <w:rPr>
          <w:lang w:val="de-DE"/>
        </w:rPr>
        <w:t>da</w:t>
      </w:r>
      <w:r w:rsidR="00E568BA" w:rsidRPr="000250E9">
        <w:rPr>
          <w:lang w:val="de-DE"/>
        </w:rPr>
        <w:t xml:space="preserve"> sie auf die Norm ISO 12874:1999 verweisen.</w:t>
      </w:r>
      <w:r w:rsidR="00690F7E" w:rsidRPr="000250E9">
        <w:rPr>
          <w:lang w:val="de-DE"/>
        </w:rPr>
        <w:t xml:space="preserve"> Die Version der Norm ISO 12874</w:t>
      </w:r>
      <w:r w:rsidR="00227E98" w:rsidRPr="000250E9">
        <w:rPr>
          <w:lang w:val="de-DE"/>
        </w:rPr>
        <w:t xml:space="preserve">, auf die verwiesen wird, befand sich 1999 noch im Entwurfsstadium. </w:t>
      </w:r>
      <w:r w:rsidR="00C55779" w:rsidRPr="000250E9">
        <w:rPr>
          <w:lang w:val="de-DE"/>
        </w:rPr>
        <w:t>V</w:t>
      </w:r>
      <w:r w:rsidR="00227E98" w:rsidRPr="000250E9">
        <w:rPr>
          <w:lang w:val="de-DE"/>
        </w:rPr>
        <w:t>eröffentlicht</w:t>
      </w:r>
      <w:r w:rsidR="00C55779" w:rsidRPr="000250E9">
        <w:rPr>
          <w:lang w:val="de-DE"/>
        </w:rPr>
        <w:t xml:space="preserve"> wurde die</w:t>
      </w:r>
      <w:r w:rsidR="00227E98" w:rsidRPr="000250E9">
        <w:rPr>
          <w:lang w:val="de-DE"/>
        </w:rPr>
        <w:t xml:space="preserve"> Version ISO 12874:2001. </w:t>
      </w:r>
      <w:r w:rsidR="00C55779" w:rsidRPr="000250E9">
        <w:rPr>
          <w:lang w:val="de-DE"/>
        </w:rPr>
        <w:t>Diese</w:t>
      </w:r>
      <w:r w:rsidR="00684729" w:rsidRPr="000250E9">
        <w:rPr>
          <w:lang w:val="de-DE"/>
        </w:rPr>
        <w:t>r</w:t>
      </w:r>
      <w:r w:rsidR="00690F7E" w:rsidRPr="000250E9">
        <w:rPr>
          <w:lang w:val="de-DE"/>
        </w:rPr>
        <w:t xml:space="preserve"> </w:t>
      </w:r>
      <w:r w:rsidR="00684729" w:rsidRPr="000250E9">
        <w:rPr>
          <w:lang w:val="de-DE"/>
        </w:rPr>
        <w:t>Fehler</w:t>
      </w:r>
      <w:r w:rsidR="00C55779" w:rsidRPr="000250E9">
        <w:rPr>
          <w:lang w:val="de-DE"/>
        </w:rPr>
        <w:t xml:space="preserve"> sollte ebenfalls </w:t>
      </w:r>
      <w:r w:rsidR="00684729" w:rsidRPr="000250E9">
        <w:rPr>
          <w:lang w:val="de-DE"/>
        </w:rPr>
        <w:t>berichtigt</w:t>
      </w:r>
      <w:r w:rsidR="00C55779" w:rsidRPr="000250E9">
        <w:rPr>
          <w:lang w:val="de-DE"/>
        </w:rPr>
        <w:t xml:space="preserve"> werden.</w:t>
      </w:r>
    </w:p>
    <w:p w14:paraId="037054A7" w14:textId="22CAC678" w:rsidR="00914C83" w:rsidRPr="0001227A" w:rsidRDefault="00914C83" w:rsidP="005E6D6C">
      <w:pPr>
        <w:pStyle w:val="SingleTxtG"/>
        <w:rPr>
          <w:lang w:val="de-DE"/>
        </w:rPr>
      </w:pPr>
      <w:r w:rsidRPr="0001227A">
        <w:rPr>
          <w:lang w:val="de-DE"/>
        </w:rPr>
        <w:t>66.</w:t>
      </w:r>
      <w:r w:rsidRPr="0001227A">
        <w:rPr>
          <w:lang w:val="de-DE"/>
        </w:rPr>
        <w:tab/>
      </w:r>
      <w:r w:rsidR="00684729" w:rsidRPr="005E6D6C">
        <w:rPr>
          <w:lang w:val="de-DE"/>
        </w:rPr>
        <w:t xml:space="preserve">Der Sicherheitsausschuss empfahl dem Verwaltungsausschuss, die Berichtigungen zu billigen, </w:t>
      </w:r>
      <w:r w:rsidR="000250E9" w:rsidRPr="005E6D6C">
        <w:rPr>
          <w:lang w:val="de-DE"/>
        </w:rPr>
        <w:t>damit</w:t>
      </w:r>
      <w:r w:rsidR="007946AB" w:rsidRPr="005E6D6C">
        <w:rPr>
          <w:lang w:val="de-DE"/>
        </w:rPr>
        <w:t xml:space="preserve"> sie</w:t>
      </w:r>
      <w:r w:rsidR="00EE5140" w:rsidRPr="005E6D6C">
        <w:rPr>
          <w:lang w:val="de-DE"/>
        </w:rPr>
        <w:t xml:space="preserve"> anschließend</w:t>
      </w:r>
      <w:r w:rsidR="007946AB" w:rsidRPr="005E6D6C">
        <w:rPr>
          <w:lang w:val="de-DE"/>
        </w:rPr>
        <w:t xml:space="preserve"> den Vertragsparteien zur</w:t>
      </w:r>
      <w:r w:rsidR="00452EEC" w:rsidRPr="005E6D6C">
        <w:rPr>
          <w:lang w:val="de-DE"/>
        </w:rPr>
        <w:t xml:space="preserve"> </w:t>
      </w:r>
      <w:r w:rsidR="00EE5140" w:rsidRPr="005E6D6C">
        <w:rPr>
          <w:lang w:val="de-DE"/>
        </w:rPr>
        <w:t>Annahme</w:t>
      </w:r>
      <w:r w:rsidR="00452EEC" w:rsidRPr="005E6D6C">
        <w:rPr>
          <w:lang w:val="de-DE"/>
        </w:rPr>
        <w:t xml:space="preserve"> notifi</w:t>
      </w:r>
      <w:r w:rsidR="00EE5140" w:rsidRPr="005E6D6C">
        <w:rPr>
          <w:lang w:val="de-DE"/>
        </w:rPr>
        <w:t>zi</w:t>
      </w:r>
      <w:r w:rsidR="00452EEC" w:rsidRPr="005E6D6C">
        <w:rPr>
          <w:lang w:val="de-DE"/>
        </w:rPr>
        <w:t>er</w:t>
      </w:r>
      <w:r w:rsidR="000250E9" w:rsidRPr="005E6D6C">
        <w:rPr>
          <w:lang w:val="de-DE"/>
        </w:rPr>
        <w:t>t werd</w:t>
      </w:r>
      <w:r w:rsidR="00452EEC" w:rsidRPr="005E6D6C">
        <w:rPr>
          <w:lang w:val="de-DE"/>
        </w:rPr>
        <w:t>en</w:t>
      </w:r>
      <w:r w:rsidR="00EE5140" w:rsidRPr="005E6D6C">
        <w:rPr>
          <w:lang w:val="de-DE"/>
        </w:rPr>
        <w:t xml:space="preserve"> können </w:t>
      </w:r>
      <w:r w:rsidR="007946AB" w:rsidRPr="005E6D6C">
        <w:rPr>
          <w:lang w:val="de-DE"/>
        </w:rPr>
        <w:t>(siehe Anlage I).</w:t>
      </w:r>
      <w:r w:rsidR="006B587D" w:rsidRPr="0001227A">
        <w:rPr>
          <w:lang w:val="de-DE"/>
        </w:rPr>
        <w:t xml:space="preserve"> </w:t>
      </w:r>
    </w:p>
    <w:p w14:paraId="076C2D4A" w14:textId="619BDD2B" w:rsidR="00914C83" w:rsidRPr="0001227A" w:rsidRDefault="00914C83" w:rsidP="00EE5140">
      <w:pPr>
        <w:pStyle w:val="H23G"/>
        <w:rPr>
          <w:lang w:val="de-DE"/>
        </w:rPr>
      </w:pPr>
      <w:r w:rsidRPr="0001227A">
        <w:rPr>
          <w:lang w:val="de-DE"/>
        </w:rPr>
        <w:lastRenderedPageBreak/>
        <w:tab/>
        <w:t>10.</w:t>
      </w:r>
      <w:r w:rsidRPr="0001227A">
        <w:rPr>
          <w:lang w:val="de-DE"/>
        </w:rPr>
        <w:tab/>
      </w:r>
      <w:r w:rsidR="00EE5140" w:rsidRPr="00EE5140">
        <w:rPr>
          <w:lang w:val="de-DE"/>
        </w:rPr>
        <w:t>Bauwerkstoffe</w:t>
      </w:r>
    </w:p>
    <w:p w14:paraId="5C122036" w14:textId="77C4F99B" w:rsidR="00914C83" w:rsidRPr="0001227A" w:rsidRDefault="00EE5140" w:rsidP="00EE5140">
      <w:pPr>
        <w:pStyle w:val="SingleTxtG"/>
        <w:keepNext/>
        <w:keepLines/>
        <w:rPr>
          <w:lang w:val="de-DE"/>
        </w:rPr>
      </w:pPr>
      <w:r w:rsidRPr="00EE5140">
        <w:rPr>
          <w:i/>
          <w:iCs/>
          <w:lang w:val="de-DE"/>
        </w:rPr>
        <w:t>Informelles Dokument:</w:t>
      </w:r>
      <w:r w:rsidR="00914C83" w:rsidRPr="0001227A">
        <w:rPr>
          <w:lang w:val="de-DE"/>
        </w:rPr>
        <w:tab/>
      </w:r>
      <w:r w:rsidRPr="00EE5140">
        <w:rPr>
          <w:lang w:val="de-DE"/>
        </w:rPr>
        <w:t>INF.24 (EBU, ESO und ERSTU)</w:t>
      </w:r>
    </w:p>
    <w:p w14:paraId="3E6A9787" w14:textId="53A20BD9" w:rsidR="00914C83" w:rsidRPr="0001227A" w:rsidRDefault="00914C83" w:rsidP="005E6D6C">
      <w:pPr>
        <w:pStyle w:val="SingleTxtG"/>
        <w:keepNext/>
        <w:keepLines/>
        <w:rPr>
          <w:lang w:val="de-DE"/>
        </w:rPr>
      </w:pPr>
      <w:r w:rsidRPr="0001227A">
        <w:rPr>
          <w:lang w:val="de-DE"/>
        </w:rPr>
        <w:t>67.</w:t>
      </w:r>
      <w:r w:rsidRPr="0001227A">
        <w:rPr>
          <w:lang w:val="de-DE"/>
        </w:rPr>
        <w:tab/>
      </w:r>
      <w:r w:rsidR="00EE5140" w:rsidRPr="005E6D6C">
        <w:rPr>
          <w:lang w:val="de-DE"/>
        </w:rPr>
        <w:t xml:space="preserve">Der Sicherheitsausschuss lud </w:t>
      </w:r>
      <w:r w:rsidR="00275FCF">
        <w:rPr>
          <w:lang w:val="de-DE"/>
        </w:rPr>
        <w:t>die betroffenen</w:t>
      </w:r>
      <w:r w:rsidR="00EE5140" w:rsidRPr="005E6D6C">
        <w:rPr>
          <w:lang w:val="de-DE"/>
        </w:rPr>
        <w:t xml:space="preserve"> Delegationen ein, dem EBU-Vertreter innerhalb von zwei Monaten ihre Anmerkungen zukommen zu lassen, damit für die nächste Sitzung ein offizieller Vorschlag ausgearbeitet werden kann.</w:t>
      </w:r>
    </w:p>
    <w:p w14:paraId="1A43DCB4" w14:textId="715DEFDD" w:rsidR="00914C83" w:rsidRPr="0001227A" w:rsidRDefault="00914C83" w:rsidP="00DA3317">
      <w:pPr>
        <w:pStyle w:val="HChG"/>
        <w:rPr>
          <w:lang w:val="de-DE"/>
        </w:rPr>
      </w:pPr>
      <w:r w:rsidRPr="0001227A">
        <w:rPr>
          <w:lang w:val="de-DE"/>
        </w:rPr>
        <w:tab/>
      </w:r>
      <w:r w:rsidR="00DA3317" w:rsidRPr="00DA3317">
        <w:rPr>
          <w:lang w:val="de-DE"/>
        </w:rPr>
        <w:t>VII.</w:t>
      </w:r>
      <w:r w:rsidRPr="0001227A">
        <w:rPr>
          <w:lang w:val="de-DE"/>
        </w:rPr>
        <w:tab/>
      </w:r>
      <w:r w:rsidR="00DA3317" w:rsidRPr="00DA3317">
        <w:rPr>
          <w:lang w:val="de-DE"/>
        </w:rPr>
        <w:t>Berichte informeller Arbeitsgruppen (TOP 6)</w:t>
      </w:r>
    </w:p>
    <w:p w14:paraId="3876A3E2" w14:textId="08F9B2C0" w:rsidR="00914C83" w:rsidRPr="0001227A" w:rsidRDefault="00914C83" w:rsidP="00DA3317">
      <w:pPr>
        <w:pStyle w:val="H1G"/>
        <w:rPr>
          <w:lang w:val="de-DE"/>
        </w:rPr>
      </w:pPr>
      <w:r w:rsidRPr="0001227A">
        <w:rPr>
          <w:lang w:val="de-DE"/>
        </w:rPr>
        <w:tab/>
      </w:r>
      <w:r w:rsidR="00DA3317" w:rsidRPr="00DA3317">
        <w:rPr>
          <w:lang w:val="de-DE"/>
        </w:rPr>
        <w:t>A.</w:t>
      </w:r>
      <w:r w:rsidRPr="0001227A">
        <w:rPr>
          <w:lang w:val="de-DE"/>
        </w:rPr>
        <w:tab/>
      </w:r>
      <w:r w:rsidR="00DA3317" w:rsidRPr="00DA3317">
        <w:rPr>
          <w:lang w:val="de-DE"/>
        </w:rPr>
        <w:t>Informelle Arbeitsgruppe „Flüssigerdgas“</w:t>
      </w:r>
      <w:r w:rsidRPr="0001227A">
        <w:rPr>
          <w:lang w:val="de-DE"/>
        </w:rPr>
        <w:t xml:space="preserve"> </w:t>
      </w:r>
    </w:p>
    <w:p w14:paraId="3A79DB4F" w14:textId="506E140E" w:rsidR="00914C83" w:rsidRPr="0001227A" w:rsidRDefault="00DA3317" w:rsidP="008C0601">
      <w:pPr>
        <w:pStyle w:val="SingleTxtG"/>
        <w:rPr>
          <w:lang w:val="de-DE"/>
        </w:rPr>
      </w:pPr>
      <w:r w:rsidRPr="00DA3317">
        <w:rPr>
          <w:i/>
          <w:iCs/>
          <w:lang w:val="de-DE"/>
        </w:rPr>
        <w:t>Dokument:</w:t>
      </w:r>
      <w:r w:rsidR="00887098" w:rsidRPr="0001227A">
        <w:rPr>
          <w:lang w:val="de-DE"/>
        </w:rPr>
        <w:tab/>
      </w:r>
      <w:r w:rsidR="00914C83" w:rsidRPr="0001227A">
        <w:rPr>
          <w:lang w:val="de-DE"/>
        </w:rPr>
        <w:tab/>
      </w:r>
      <w:r w:rsidR="00134986" w:rsidRPr="0001227A">
        <w:rPr>
          <w:lang w:val="de-DE"/>
        </w:rPr>
        <w:tab/>
      </w:r>
      <w:r w:rsidRPr="008C0601">
        <w:rPr>
          <w:lang w:val="de-DE"/>
        </w:rPr>
        <w:t>ECE/TRANS/WP.15/AC.2/2017/17 (Niederlande und Schweiz</w:t>
      </w:r>
      <w:r w:rsidR="008C0601" w:rsidRPr="008C0601">
        <w:rPr>
          <w:lang w:val="de-DE"/>
        </w:rPr>
        <w:t>)</w:t>
      </w:r>
    </w:p>
    <w:p w14:paraId="6FDF471A" w14:textId="0185F8DF" w:rsidR="00914C83" w:rsidRPr="0001227A" w:rsidRDefault="008C0601" w:rsidP="008C0601">
      <w:pPr>
        <w:pStyle w:val="SingleTxtG"/>
        <w:rPr>
          <w:lang w:val="de-DE"/>
        </w:rPr>
      </w:pPr>
      <w:r w:rsidRPr="008C0601">
        <w:rPr>
          <w:i/>
          <w:iCs/>
          <w:lang w:val="de-DE"/>
        </w:rPr>
        <w:t>Informelles Dokument:</w:t>
      </w:r>
      <w:r w:rsidR="00914C83" w:rsidRPr="0001227A">
        <w:rPr>
          <w:lang w:val="de-DE"/>
        </w:rPr>
        <w:tab/>
      </w:r>
      <w:r w:rsidRPr="008C0601">
        <w:rPr>
          <w:lang w:val="de-DE"/>
        </w:rPr>
        <w:t>INF.28 (Niederlande und Schweiz)</w:t>
      </w:r>
    </w:p>
    <w:p w14:paraId="63B7B5BE" w14:textId="4E7D5B9E" w:rsidR="00914C83" w:rsidRPr="0001227A" w:rsidRDefault="00914C83" w:rsidP="005E6D6C">
      <w:pPr>
        <w:pStyle w:val="SingleTxtG"/>
        <w:rPr>
          <w:lang w:val="de-DE"/>
        </w:rPr>
      </w:pPr>
      <w:r w:rsidRPr="0001227A">
        <w:rPr>
          <w:lang w:val="de-DE"/>
        </w:rPr>
        <w:t>68.</w:t>
      </w:r>
      <w:r w:rsidRPr="0001227A">
        <w:rPr>
          <w:lang w:val="de-DE"/>
        </w:rPr>
        <w:tab/>
      </w:r>
      <w:r w:rsidR="009E3632" w:rsidRPr="005E6D6C">
        <w:rPr>
          <w:lang w:val="de-DE"/>
        </w:rPr>
        <w:t xml:space="preserve">Der Sicherheitsausschuss nahm den Bericht der informellen Arbeitsgruppe interessiert zur Kenntnis und nahm die Vorschläge im informellen Dokument INF.28 </w:t>
      </w:r>
      <w:r w:rsidR="000E2230" w:rsidRPr="005E6D6C">
        <w:rPr>
          <w:lang w:val="de-DE"/>
        </w:rPr>
        <w:t>unter Ergänzung</w:t>
      </w:r>
      <w:r w:rsidR="009E3632" w:rsidRPr="005E6D6C">
        <w:rPr>
          <w:lang w:val="de-DE"/>
        </w:rPr>
        <w:t xml:space="preserve"> </w:t>
      </w:r>
      <w:r w:rsidR="000E2230" w:rsidRPr="005E6D6C">
        <w:rPr>
          <w:lang w:val="de-DE"/>
        </w:rPr>
        <w:t>einer vom Sekretariat auszuformulierenden Fußnote an.</w:t>
      </w:r>
    </w:p>
    <w:p w14:paraId="19C41943" w14:textId="62F375D8" w:rsidR="00914C83" w:rsidRPr="0001227A" w:rsidRDefault="00914C83" w:rsidP="00114811">
      <w:pPr>
        <w:pStyle w:val="SingleTxtG"/>
        <w:rPr>
          <w:lang w:val="de-DE"/>
        </w:rPr>
      </w:pPr>
      <w:r w:rsidRPr="0001227A">
        <w:rPr>
          <w:lang w:val="de-DE"/>
        </w:rPr>
        <w:t>69.</w:t>
      </w:r>
      <w:r w:rsidRPr="0001227A">
        <w:rPr>
          <w:lang w:val="de-DE"/>
        </w:rPr>
        <w:tab/>
      </w:r>
      <w:r w:rsidR="000E2230" w:rsidRPr="005E6D6C">
        <w:rPr>
          <w:lang w:val="de-DE"/>
        </w:rPr>
        <w:t xml:space="preserve">Der Sicherheitsausschuss nahm ferner zur Kenntnis, dass die </w:t>
      </w:r>
      <w:r w:rsidR="005E6D6C" w:rsidRPr="005E6D6C">
        <w:rPr>
          <w:lang w:val="de-DE"/>
        </w:rPr>
        <w:t>Vorschriften</w:t>
      </w:r>
      <w:r w:rsidR="000E2230" w:rsidRPr="005E6D6C">
        <w:rPr>
          <w:lang w:val="de-DE"/>
        </w:rPr>
        <w:t xml:space="preserve"> in Kapitel</w:t>
      </w:r>
      <w:r w:rsidR="005638E8">
        <w:rPr>
          <w:lang w:val="de-DE"/>
        </w:rPr>
        <w:t> </w:t>
      </w:r>
      <w:r w:rsidR="000E2230" w:rsidRPr="005E6D6C">
        <w:rPr>
          <w:lang w:val="de-DE"/>
        </w:rPr>
        <w:t xml:space="preserve">30 und Anlage 8 des ES-TRIN </w:t>
      </w:r>
      <w:r w:rsidR="007661CC" w:rsidRPr="005E6D6C">
        <w:rPr>
          <w:lang w:val="de-DE"/>
        </w:rPr>
        <w:t>in die Resolution Nr. 61 der Arbeitsgruppe „Binnenschifffahrt“ (SC.3) des Binnenverkehrsausschusses der UN-ECE aufgenommen werden sollen (siehe Dokument ECE/TRANS/SC.3/WP.3/2017/8, in Englisch, Französisch und Russisch verfügbar).</w:t>
      </w:r>
      <w:r w:rsidR="00134986">
        <w:rPr>
          <w:lang w:val="de-DE"/>
        </w:rPr>
        <w:t xml:space="preserve"> </w:t>
      </w:r>
      <w:r w:rsidR="00F95150" w:rsidRPr="00114811">
        <w:rPr>
          <w:lang w:val="de-DE"/>
        </w:rPr>
        <w:t xml:space="preserve">Die Niederlande werden ein multilaterales Abkommen </w:t>
      </w:r>
      <w:r w:rsidR="00650886" w:rsidRPr="00114811">
        <w:rPr>
          <w:lang w:val="de-DE"/>
        </w:rPr>
        <w:t xml:space="preserve">ausarbeiten, das die Anwendung dieser </w:t>
      </w:r>
      <w:r w:rsidR="005E6D6C" w:rsidRPr="00114811">
        <w:rPr>
          <w:lang w:val="de-DE"/>
        </w:rPr>
        <w:t>Vorschriften</w:t>
      </w:r>
      <w:r w:rsidR="00650886" w:rsidRPr="00114811">
        <w:rPr>
          <w:lang w:val="de-DE"/>
        </w:rPr>
        <w:t xml:space="preserve"> ab</w:t>
      </w:r>
      <w:r w:rsidR="005E6D6C" w:rsidRPr="00114811">
        <w:rPr>
          <w:lang w:val="de-DE"/>
        </w:rPr>
        <w:t xml:space="preserve"> dem</w:t>
      </w:r>
      <w:r w:rsidR="00650886" w:rsidRPr="00114811">
        <w:rPr>
          <w:lang w:val="de-DE"/>
        </w:rPr>
        <w:t xml:space="preserve"> 1. Juli 2017 erlaubt, bevor die entsprechenden Änderungen im ADN berücksichtigt werden können</w:t>
      </w:r>
      <w:r w:rsidR="00114811" w:rsidRPr="00114811">
        <w:rPr>
          <w:lang w:val="de-DE"/>
        </w:rPr>
        <w:t>.</w:t>
      </w:r>
      <w:r w:rsidR="00114811" w:rsidRPr="00114811">
        <w:rPr>
          <w:color w:val="FFFFFF"/>
          <w:kern w:val="30"/>
          <w:sz w:val="4"/>
          <w:lang w:val="de-DE"/>
        </w:rPr>
        <w:t>.</w:t>
      </w:r>
    </w:p>
    <w:p w14:paraId="1309CDA6" w14:textId="0ED39489" w:rsidR="00914C83" w:rsidRPr="0001227A" w:rsidRDefault="00914C83" w:rsidP="00650886">
      <w:pPr>
        <w:pStyle w:val="H1G"/>
        <w:rPr>
          <w:lang w:val="de-DE"/>
        </w:rPr>
      </w:pPr>
      <w:r w:rsidRPr="0001227A">
        <w:rPr>
          <w:lang w:val="de-DE"/>
        </w:rPr>
        <w:tab/>
      </w:r>
      <w:r w:rsidR="00650886" w:rsidRPr="00650886">
        <w:rPr>
          <w:lang w:val="de-DE"/>
        </w:rPr>
        <w:t>B.</w:t>
      </w:r>
      <w:r w:rsidRPr="0001227A">
        <w:rPr>
          <w:lang w:val="de-DE"/>
        </w:rPr>
        <w:tab/>
      </w:r>
      <w:r w:rsidR="00650886" w:rsidRPr="00650886">
        <w:rPr>
          <w:lang w:val="de-DE"/>
        </w:rPr>
        <w:t>Informelle Arbeitsgruppe „Explosionsschutz auf Tankschiffen“</w:t>
      </w:r>
    </w:p>
    <w:p w14:paraId="7A231685" w14:textId="27D3BAFF" w:rsidR="00914C83" w:rsidRPr="0001227A" w:rsidRDefault="00650886" w:rsidP="00914C83">
      <w:pPr>
        <w:pStyle w:val="SingleTxtG"/>
        <w:keepNext/>
        <w:keepLines/>
        <w:spacing w:after="0"/>
        <w:rPr>
          <w:lang w:val="de-DE"/>
        </w:rPr>
      </w:pPr>
      <w:r w:rsidRPr="00650886">
        <w:rPr>
          <w:i/>
          <w:iCs/>
          <w:lang w:val="de-DE"/>
        </w:rPr>
        <w:t>Informelle Dokumente:</w:t>
      </w:r>
      <w:r w:rsidR="00914C83" w:rsidRPr="0001227A">
        <w:rPr>
          <w:lang w:val="de-DE"/>
        </w:rPr>
        <w:tab/>
      </w:r>
      <w:r w:rsidRPr="00650886">
        <w:rPr>
          <w:lang w:val="de-DE"/>
        </w:rPr>
        <w:t>INF.8 (ZKR)</w:t>
      </w:r>
    </w:p>
    <w:p w14:paraId="2F23D584" w14:textId="618FAB1D" w:rsidR="00914C83" w:rsidRPr="0001227A" w:rsidRDefault="00914C83" w:rsidP="00650886">
      <w:pPr>
        <w:pStyle w:val="SingleTxtG"/>
        <w:keepNext/>
        <w:keepLines/>
        <w:rPr>
          <w:lang w:val="de-DE"/>
        </w:rPr>
      </w:pPr>
      <w:r w:rsidRPr="0001227A">
        <w:rPr>
          <w:lang w:val="de-DE"/>
        </w:rPr>
        <w:tab/>
      </w:r>
      <w:r w:rsidRPr="0001227A">
        <w:rPr>
          <w:lang w:val="de-DE"/>
        </w:rPr>
        <w:tab/>
      </w:r>
      <w:r w:rsidRPr="0001227A">
        <w:rPr>
          <w:lang w:val="de-DE"/>
        </w:rPr>
        <w:tab/>
      </w:r>
      <w:r w:rsidR="00E56AEA" w:rsidRPr="0001227A">
        <w:rPr>
          <w:lang w:val="de-DE"/>
        </w:rPr>
        <w:tab/>
      </w:r>
      <w:r w:rsidR="00650886" w:rsidRPr="00650886">
        <w:rPr>
          <w:lang w:val="de-DE"/>
        </w:rPr>
        <w:t>INF.26 (Sekretariat)</w:t>
      </w:r>
    </w:p>
    <w:p w14:paraId="0CC303B2" w14:textId="3F3F078F" w:rsidR="00914C83" w:rsidRPr="0001227A" w:rsidRDefault="00914C83" w:rsidP="00114811">
      <w:pPr>
        <w:pStyle w:val="SingleTxtG"/>
        <w:rPr>
          <w:lang w:val="de-DE"/>
        </w:rPr>
      </w:pPr>
      <w:r w:rsidRPr="0001227A">
        <w:rPr>
          <w:lang w:val="de-DE"/>
        </w:rPr>
        <w:t>70.</w:t>
      </w:r>
      <w:r w:rsidRPr="0001227A">
        <w:rPr>
          <w:lang w:val="de-DE"/>
        </w:rPr>
        <w:tab/>
      </w:r>
      <w:r w:rsidR="00650886" w:rsidRPr="00114811">
        <w:rPr>
          <w:lang w:val="de-DE"/>
        </w:rPr>
        <w:t>Es wurde daran erinnert, dass die Arbeiten in der letzten Sitzung nicht abgeschlossen werden konnten. Die bisher angenommenen Texte sind in Dokument ECE/TRANS/WP.15/AC.2/2016/30 und Corr. 1 (</w:t>
      </w:r>
      <w:r w:rsidR="00333CE4" w:rsidRPr="00114811">
        <w:rPr>
          <w:lang w:val="de-DE"/>
        </w:rPr>
        <w:t>sowie</w:t>
      </w:r>
      <w:r w:rsidR="00650886" w:rsidRPr="00114811">
        <w:rPr>
          <w:lang w:val="de-DE"/>
        </w:rPr>
        <w:t xml:space="preserve"> in </w:t>
      </w:r>
      <w:r w:rsidR="0060170F" w:rsidRPr="00114811">
        <w:rPr>
          <w:lang w:val="de-DE"/>
        </w:rPr>
        <w:t>konsolidierter Form in Dokument INF.13 der neunundzwanzigsten Sitzung</w:t>
      </w:r>
      <w:r w:rsidR="00650886" w:rsidRPr="00114811">
        <w:rPr>
          <w:lang w:val="de-DE"/>
        </w:rPr>
        <w:t xml:space="preserve">) </w:t>
      </w:r>
      <w:r w:rsidR="0060170F" w:rsidRPr="00114811">
        <w:rPr>
          <w:lang w:val="de-DE"/>
        </w:rPr>
        <w:t xml:space="preserve">in der </w:t>
      </w:r>
      <w:r w:rsidR="00333CE4" w:rsidRPr="00114811">
        <w:rPr>
          <w:lang w:val="de-DE"/>
        </w:rPr>
        <w:t>bei</w:t>
      </w:r>
      <w:r w:rsidR="0060170F" w:rsidRPr="00114811">
        <w:rPr>
          <w:lang w:val="de-DE"/>
        </w:rPr>
        <w:t xml:space="preserve"> der letzten Sitzung entsprechend dem (für diese Sitzung im informellen Dokument INF.26 wiedergegebene</w:t>
      </w:r>
      <w:r w:rsidR="00333CE4" w:rsidRPr="00114811">
        <w:rPr>
          <w:lang w:val="de-DE"/>
        </w:rPr>
        <w:t>n</w:t>
      </w:r>
      <w:r w:rsidR="0060170F" w:rsidRPr="00114811">
        <w:rPr>
          <w:lang w:val="de-DE"/>
        </w:rPr>
        <w:t xml:space="preserve">) Protokollentwurf ECE/TRANS/WP.15/AC.2/2016/CRP.4/Add.1 und </w:t>
      </w:r>
      <w:r w:rsidR="00333CE4" w:rsidRPr="00114811">
        <w:rPr>
          <w:lang w:val="de-DE"/>
        </w:rPr>
        <w:t>dem</w:t>
      </w:r>
      <w:r w:rsidR="0060170F" w:rsidRPr="00114811">
        <w:rPr>
          <w:lang w:val="de-DE"/>
        </w:rPr>
        <w:t xml:space="preserve"> informellen Dokument INF.29 der neunundzwanzigsten Sitzung geänderten Fassung enthalten.</w:t>
      </w:r>
    </w:p>
    <w:p w14:paraId="307175DE" w14:textId="6448EF89" w:rsidR="00914C83" w:rsidRPr="0001227A" w:rsidRDefault="00914C83" w:rsidP="00114811">
      <w:pPr>
        <w:pStyle w:val="SingleTxtG"/>
        <w:rPr>
          <w:lang w:val="de-DE"/>
        </w:rPr>
      </w:pPr>
      <w:r w:rsidRPr="0001227A">
        <w:rPr>
          <w:lang w:val="de-DE"/>
        </w:rPr>
        <w:t>71.</w:t>
      </w:r>
      <w:r w:rsidRPr="0001227A">
        <w:rPr>
          <w:lang w:val="de-DE"/>
        </w:rPr>
        <w:tab/>
      </w:r>
      <w:r w:rsidR="00333CE4" w:rsidRPr="00114811">
        <w:rPr>
          <w:lang w:val="de-DE"/>
        </w:rPr>
        <w:t xml:space="preserve">Der Sicherheitsausschuss nahm die Vorschläge im informellen Dokument INF.8 an. Im Hinblick auf Punk 2 </w:t>
      </w:r>
      <w:r w:rsidR="00A508AC" w:rsidRPr="00114811">
        <w:rPr>
          <w:lang w:val="de-DE"/>
        </w:rPr>
        <w:t xml:space="preserve">wird die informelle Arbeitsgruppe die </w:t>
      </w:r>
      <w:r w:rsidR="004B5B6B" w:rsidRPr="00114811">
        <w:rPr>
          <w:lang w:val="de-DE"/>
        </w:rPr>
        <w:t>betreffenden</w:t>
      </w:r>
      <w:r w:rsidR="00A508AC" w:rsidRPr="00114811">
        <w:rPr>
          <w:lang w:val="de-DE"/>
        </w:rPr>
        <w:t xml:space="preserve"> Experten kontaktieren.</w:t>
      </w:r>
    </w:p>
    <w:p w14:paraId="0BC393F4" w14:textId="437F8BF6" w:rsidR="00914C83" w:rsidRPr="0001227A" w:rsidRDefault="00914C83" w:rsidP="00114811">
      <w:pPr>
        <w:pStyle w:val="SingleTxtG"/>
        <w:rPr>
          <w:lang w:val="de-DE"/>
        </w:rPr>
      </w:pPr>
      <w:r w:rsidRPr="0001227A">
        <w:rPr>
          <w:lang w:val="de-DE"/>
        </w:rPr>
        <w:t>72.</w:t>
      </w:r>
      <w:r w:rsidRPr="0001227A">
        <w:rPr>
          <w:lang w:val="de-DE"/>
        </w:rPr>
        <w:tab/>
      </w:r>
      <w:r w:rsidR="004B5B6B" w:rsidRPr="00114811">
        <w:rPr>
          <w:lang w:val="de-DE"/>
        </w:rPr>
        <w:t xml:space="preserve">Die Sekretariate der UN-ECE und der ZKR wurden </w:t>
      </w:r>
      <w:r w:rsidR="00861506" w:rsidRPr="00114811">
        <w:rPr>
          <w:lang w:val="de-DE"/>
        </w:rPr>
        <w:t>zur Zusammenarbeit aufgefordert</w:t>
      </w:r>
      <w:r w:rsidR="004B5B6B" w:rsidRPr="00114811">
        <w:rPr>
          <w:lang w:val="de-DE"/>
        </w:rPr>
        <w:t xml:space="preserve">, </w:t>
      </w:r>
      <w:r w:rsidR="00861506" w:rsidRPr="00114811">
        <w:rPr>
          <w:lang w:val="de-DE"/>
        </w:rPr>
        <w:t>um sicherzustellen, dass</w:t>
      </w:r>
      <w:r w:rsidR="005B0505" w:rsidRPr="00114811">
        <w:rPr>
          <w:lang w:val="de-DE"/>
        </w:rPr>
        <w:t xml:space="preserve"> in der Sitzung im August 2017</w:t>
      </w:r>
      <w:r w:rsidR="00861506" w:rsidRPr="00114811">
        <w:rPr>
          <w:lang w:val="de-DE"/>
        </w:rPr>
        <w:t xml:space="preserve"> </w:t>
      </w:r>
      <w:r w:rsidR="00CC75C0" w:rsidRPr="00114811">
        <w:rPr>
          <w:lang w:val="de-DE"/>
        </w:rPr>
        <w:t>eine</w:t>
      </w:r>
      <w:r w:rsidR="00436A15" w:rsidRPr="00114811">
        <w:rPr>
          <w:lang w:val="de-DE"/>
        </w:rPr>
        <w:t xml:space="preserve"> vollständige Liste der bisher angenommenen Änderungen </w:t>
      </w:r>
      <w:r w:rsidR="005B0505" w:rsidRPr="00114811">
        <w:rPr>
          <w:lang w:val="de-DE"/>
        </w:rPr>
        <w:t>und der von der informellen Arbeitsgruppe</w:t>
      </w:r>
      <w:r w:rsidR="00436A15" w:rsidRPr="00114811">
        <w:rPr>
          <w:lang w:val="de-DE"/>
        </w:rPr>
        <w:t xml:space="preserve"> </w:t>
      </w:r>
      <w:r w:rsidR="005B0505" w:rsidRPr="00114811">
        <w:rPr>
          <w:lang w:val="de-DE"/>
        </w:rPr>
        <w:t>möglicherweise noch zu erwartenden Änderungen in angemessener Form in den vier Arbeitssprachen vorgelegt werden kann.</w:t>
      </w:r>
    </w:p>
    <w:p w14:paraId="690FA3FF" w14:textId="23CD9345" w:rsidR="00914C83" w:rsidRPr="0001227A" w:rsidRDefault="00914C83" w:rsidP="00CC75C0">
      <w:pPr>
        <w:pStyle w:val="H1G"/>
        <w:rPr>
          <w:lang w:val="de-DE"/>
        </w:rPr>
      </w:pPr>
      <w:r w:rsidRPr="0001227A">
        <w:rPr>
          <w:lang w:val="de-DE"/>
        </w:rPr>
        <w:tab/>
      </w:r>
      <w:r w:rsidR="00CC75C0" w:rsidRPr="00CC75C0">
        <w:rPr>
          <w:lang w:val="de-DE"/>
        </w:rPr>
        <w:t>C.</w:t>
      </w:r>
      <w:r w:rsidRPr="0001227A">
        <w:rPr>
          <w:lang w:val="de-DE"/>
        </w:rPr>
        <w:tab/>
      </w:r>
      <w:r w:rsidR="00CC75C0" w:rsidRPr="00CC75C0">
        <w:rPr>
          <w:lang w:val="de-DE"/>
        </w:rPr>
        <w:t>Informelle Arbeitsgruppe „Empfohlene ADN-Klassifikationsgesellschaften“</w:t>
      </w:r>
    </w:p>
    <w:p w14:paraId="18135BDC" w14:textId="7095686D" w:rsidR="00914C83" w:rsidRPr="0001227A" w:rsidRDefault="00CC75C0" w:rsidP="00CC75C0">
      <w:pPr>
        <w:pStyle w:val="SingleTxtG"/>
        <w:rPr>
          <w:lang w:val="de-DE"/>
        </w:rPr>
      </w:pPr>
      <w:r w:rsidRPr="00CC75C0">
        <w:rPr>
          <w:i/>
          <w:iCs/>
          <w:lang w:val="de-DE"/>
        </w:rPr>
        <w:t>Informelles Dokument:</w:t>
      </w:r>
      <w:r w:rsidR="00914C83" w:rsidRPr="0001227A">
        <w:rPr>
          <w:lang w:val="de-DE"/>
        </w:rPr>
        <w:tab/>
      </w:r>
      <w:r w:rsidRPr="00CC75C0">
        <w:rPr>
          <w:lang w:val="de-DE"/>
        </w:rPr>
        <w:t>INF.13 (Empfohlene ADN-Klassifikationsgesellschaften)</w:t>
      </w:r>
    </w:p>
    <w:p w14:paraId="39B7C1D1" w14:textId="7B7151AE" w:rsidR="00914C83" w:rsidRPr="0001227A" w:rsidRDefault="00914C83" w:rsidP="00CC75C0">
      <w:pPr>
        <w:pStyle w:val="SingleTxtG"/>
        <w:rPr>
          <w:lang w:val="de-DE"/>
        </w:rPr>
      </w:pPr>
      <w:r w:rsidRPr="0001227A">
        <w:rPr>
          <w:lang w:val="de-DE"/>
        </w:rPr>
        <w:t>73.</w:t>
      </w:r>
      <w:r w:rsidRPr="0001227A">
        <w:rPr>
          <w:lang w:val="de-DE"/>
        </w:rPr>
        <w:tab/>
      </w:r>
      <w:r w:rsidR="00CC75C0" w:rsidRPr="00CC75C0">
        <w:rPr>
          <w:lang w:val="de-DE"/>
        </w:rPr>
        <w:t>Der Sicherheitsausschuss nahm den Bericht mit Interesse zur Kenntnis.</w:t>
      </w:r>
    </w:p>
    <w:p w14:paraId="59933FEC" w14:textId="3FA8ECFF" w:rsidR="00914C83" w:rsidRPr="0001227A" w:rsidRDefault="00C1649F" w:rsidP="00114811">
      <w:pPr>
        <w:pStyle w:val="SingleTxtG"/>
        <w:rPr>
          <w:lang w:val="de-DE"/>
        </w:rPr>
      </w:pPr>
      <w:r>
        <w:rPr>
          <w:lang w:val="de-DE"/>
        </w:rPr>
        <w:br w:type="page"/>
      </w:r>
      <w:r w:rsidR="00914C83" w:rsidRPr="0001227A">
        <w:rPr>
          <w:lang w:val="de-DE"/>
        </w:rPr>
        <w:lastRenderedPageBreak/>
        <w:t>74.</w:t>
      </w:r>
      <w:r w:rsidR="00914C83" w:rsidRPr="0001227A">
        <w:rPr>
          <w:lang w:val="de-DE"/>
        </w:rPr>
        <w:tab/>
      </w:r>
      <w:r w:rsidR="00CC75C0" w:rsidRPr="00114811">
        <w:rPr>
          <w:lang w:val="de-DE"/>
        </w:rPr>
        <w:t xml:space="preserve">Im Hinblick auf die in Absatz 2.7 aufgeworfene Frage vertrat der Sicherheitsausschuss die Ansicht, dass das multilaterale Abkommen M018 </w:t>
      </w:r>
      <w:r w:rsidR="00296A82" w:rsidRPr="00114811">
        <w:rPr>
          <w:lang w:val="de-DE"/>
        </w:rPr>
        <w:t>neben Flammendurchschlagsicherungen selbst auch andere Vorrichtungen betrifft, die</w:t>
      </w:r>
      <w:r w:rsidR="00FE405E" w:rsidRPr="00114811">
        <w:rPr>
          <w:lang w:val="de-DE"/>
        </w:rPr>
        <w:t xml:space="preserve"> gemäß d</w:t>
      </w:r>
      <w:r w:rsidR="00C07A56" w:rsidRPr="00114811">
        <w:rPr>
          <w:lang w:val="de-DE"/>
        </w:rPr>
        <w:t>en Erläuterungen in Unterabschnitt 3.2.3.1 zur Spalte (16)</w:t>
      </w:r>
      <w:r w:rsidR="00296A82" w:rsidRPr="00114811">
        <w:rPr>
          <w:lang w:val="de-DE"/>
        </w:rPr>
        <w:t xml:space="preserve"> als Flammendurchschlagsicherungen dienen können, wie </w:t>
      </w:r>
      <w:r w:rsidR="00FE405E" w:rsidRPr="00114811">
        <w:rPr>
          <w:lang w:val="de-DE"/>
        </w:rPr>
        <w:t xml:space="preserve">z. B. </w:t>
      </w:r>
      <w:r w:rsidR="00296A82" w:rsidRPr="00114811">
        <w:rPr>
          <w:lang w:val="de-DE"/>
        </w:rPr>
        <w:t>Hochgeschwindigkeitsventi</w:t>
      </w:r>
      <w:r w:rsidR="00FE405E" w:rsidRPr="00114811">
        <w:rPr>
          <w:lang w:val="de-DE"/>
        </w:rPr>
        <w:t>le.</w:t>
      </w:r>
    </w:p>
    <w:p w14:paraId="01082824" w14:textId="752AB75C" w:rsidR="00914C83" w:rsidRPr="0001227A" w:rsidRDefault="00914C83" w:rsidP="00544F82">
      <w:pPr>
        <w:pStyle w:val="SingleTxtG"/>
        <w:rPr>
          <w:lang w:val="de-DE"/>
        </w:rPr>
      </w:pPr>
      <w:r w:rsidRPr="0001227A">
        <w:rPr>
          <w:lang w:val="de-DE"/>
        </w:rPr>
        <w:t>75.</w:t>
      </w:r>
      <w:r w:rsidRPr="0001227A">
        <w:rPr>
          <w:lang w:val="de-DE"/>
        </w:rPr>
        <w:tab/>
      </w:r>
      <w:r w:rsidR="00415695" w:rsidRPr="009B030E">
        <w:rPr>
          <w:lang w:val="de-DE"/>
        </w:rPr>
        <w:t xml:space="preserve">Zur Beantwortung der </w:t>
      </w:r>
      <w:r w:rsidR="00114811" w:rsidRPr="009B030E">
        <w:rPr>
          <w:lang w:val="de-DE"/>
        </w:rPr>
        <w:t xml:space="preserve">Frage </w:t>
      </w:r>
      <w:r w:rsidR="00415695" w:rsidRPr="009B030E">
        <w:rPr>
          <w:lang w:val="de-DE"/>
        </w:rPr>
        <w:t xml:space="preserve">in Absatz 4.3 </w:t>
      </w:r>
      <w:r w:rsidR="002C68DE" w:rsidRPr="009B030E">
        <w:rPr>
          <w:lang w:val="de-DE"/>
        </w:rPr>
        <w:t>wurde darauf hingewiesen, dass eine Änderung nicht unmittelbar mit ihrer Annahme durch den Sicherheitsausschuss</w:t>
      </w:r>
      <w:r w:rsidR="0013137A" w:rsidRPr="009B030E">
        <w:rPr>
          <w:lang w:val="de-DE"/>
        </w:rPr>
        <w:t xml:space="preserve"> und ihrer </w:t>
      </w:r>
      <w:r w:rsidR="00046280" w:rsidRPr="00E56AEA">
        <w:rPr>
          <w:lang w:val="de-DE"/>
        </w:rPr>
        <w:t>Bestätigung</w:t>
      </w:r>
      <w:r w:rsidR="0013137A" w:rsidRPr="00E56AEA">
        <w:rPr>
          <w:lang w:val="de-DE"/>
        </w:rPr>
        <w:t xml:space="preserve"> durch den Verwaltungsausschuss </w:t>
      </w:r>
      <w:r w:rsidR="002C68DE" w:rsidRPr="00E56AEA">
        <w:rPr>
          <w:lang w:val="de-DE"/>
        </w:rPr>
        <w:t>anwendbar wird</w:t>
      </w:r>
      <w:r w:rsidR="0013137A" w:rsidRPr="00E56AEA">
        <w:rPr>
          <w:lang w:val="de-DE"/>
        </w:rPr>
        <w:t>.</w:t>
      </w:r>
      <w:r w:rsidRPr="0001227A">
        <w:rPr>
          <w:lang w:val="de-DE"/>
        </w:rPr>
        <w:t xml:space="preserve"> </w:t>
      </w:r>
      <w:r w:rsidR="00046280" w:rsidRPr="00E56AEA">
        <w:rPr>
          <w:lang w:val="de-DE"/>
        </w:rPr>
        <w:t>Sie wird erst anwendbar, wenn die Bedingungen in Artikel 19 des ADN erfüllt sind, und zwar zu dem in Absatz 5 dieses Artikels festgelegten Zeitpunkt.</w:t>
      </w:r>
      <w:r w:rsidRPr="0001227A">
        <w:rPr>
          <w:lang w:val="de-DE"/>
        </w:rPr>
        <w:t xml:space="preserve"> </w:t>
      </w:r>
      <w:r w:rsidR="00046280" w:rsidRPr="00E56AEA">
        <w:rPr>
          <w:lang w:val="de-DE"/>
        </w:rPr>
        <w:t>Der Zeitpunkt, ab dem sie auf die nationalen Verkehre in</w:t>
      </w:r>
      <w:r w:rsidR="00046280" w:rsidRPr="00544F82">
        <w:rPr>
          <w:lang w:val="de-DE"/>
        </w:rPr>
        <w:t xml:space="preserve"> den Ländern der Europäischen Union Anwendung findet, kann je nach Land zwischen dem Tag des Inkrafttretens der Änderungen des ADN und dem </w:t>
      </w:r>
      <w:r w:rsidR="009B030E" w:rsidRPr="00544F82">
        <w:rPr>
          <w:lang w:val="de-DE"/>
        </w:rPr>
        <w:t>Enddatum</w:t>
      </w:r>
      <w:r w:rsidR="00046280" w:rsidRPr="00544F82">
        <w:rPr>
          <w:lang w:val="de-DE"/>
        </w:rPr>
        <w:t xml:space="preserve"> </w:t>
      </w:r>
      <w:r w:rsidR="00810B2C" w:rsidRPr="00544F82">
        <w:rPr>
          <w:lang w:val="de-DE"/>
        </w:rPr>
        <w:t>d</w:t>
      </w:r>
      <w:r w:rsidR="00046280" w:rsidRPr="00544F82">
        <w:rPr>
          <w:lang w:val="de-DE"/>
        </w:rPr>
        <w:t>er in den Richtlinien der Europäischen Kommission festgelegten Frist</w:t>
      </w:r>
      <w:r w:rsidR="00810B2C" w:rsidRPr="00544F82">
        <w:rPr>
          <w:lang w:val="de-DE"/>
        </w:rPr>
        <w:t xml:space="preserve"> variieren</w:t>
      </w:r>
      <w:r w:rsidR="00C927F5" w:rsidRPr="00544F82">
        <w:rPr>
          <w:lang w:val="de-DE"/>
        </w:rPr>
        <w:t>. Letztere beträgt</w:t>
      </w:r>
      <w:r w:rsidR="00046280" w:rsidRPr="00544F82">
        <w:rPr>
          <w:lang w:val="de-DE"/>
        </w:rPr>
        <w:t xml:space="preserve"> </w:t>
      </w:r>
      <w:r w:rsidR="00810B2C" w:rsidRPr="00544F82">
        <w:rPr>
          <w:lang w:val="de-DE"/>
        </w:rPr>
        <w:t xml:space="preserve">für den internationalen Verkehr </w:t>
      </w:r>
      <w:r w:rsidR="00046280" w:rsidRPr="00544F82">
        <w:rPr>
          <w:lang w:val="de-DE"/>
        </w:rPr>
        <w:t xml:space="preserve">in der Regel sechs Monate </w:t>
      </w:r>
      <w:r w:rsidR="00810B2C" w:rsidRPr="00544F82">
        <w:rPr>
          <w:lang w:val="de-DE"/>
        </w:rPr>
        <w:t>ab</w:t>
      </w:r>
      <w:r w:rsidR="00046280" w:rsidRPr="00544F82">
        <w:rPr>
          <w:lang w:val="de-DE"/>
        </w:rPr>
        <w:t xml:space="preserve"> Inkrafttreten </w:t>
      </w:r>
      <w:r w:rsidR="00810B2C" w:rsidRPr="00544F82">
        <w:rPr>
          <w:lang w:val="de-DE"/>
        </w:rPr>
        <w:t xml:space="preserve">(was dem </w:t>
      </w:r>
      <w:r w:rsidR="000179FD" w:rsidRPr="00544F82">
        <w:rPr>
          <w:lang w:val="de-DE"/>
        </w:rPr>
        <w:t xml:space="preserve">allgemeinen </w:t>
      </w:r>
      <w:r w:rsidR="00810B2C" w:rsidRPr="00544F82">
        <w:rPr>
          <w:lang w:val="de-DE"/>
        </w:rPr>
        <w:t xml:space="preserve">sechsmonatigen Übergangszeitraum </w:t>
      </w:r>
      <w:r w:rsidR="00C927F5" w:rsidRPr="00544F82">
        <w:rPr>
          <w:lang w:val="de-DE"/>
        </w:rPr>
        <w:t xml:space="preserve">für die Anwendung von Änderungen des ADN nach </w:t>
      </w:r>
      <w:r w:rsidR="000C796B" w:rsidRPr="00544F82">
        <w:rPr>
          <w:lang w:val="de-DE"/>
        </w:rPr>
        <w:t>deren</w:t>
      </w:r>
      <w:r w:rsidR="00C927F5" w:rsidRPr="00544F82">
        <w:rPr>
          <w:lang w:val="de-DE"/>
        </w:rPr>
        <w:t xml:space="preserve"> Inkrafttreten</w:t>
      </w:r>
      <w:r w:rsidR="00810B2C" w:rsidRPr="00544F82">
        <w:rPr>
          <w:lang w:val="de-DE"/>
        </w:rPr>
        <w:t xml:space="preserve"> </w:t>
      </w:r>
      <w:r w:rsidR="00C927F5" w:rsidRPr="00544F82">
        <w:rPr>
          <w:lang w:val="de-DE"/>
        </w:rPr>
        <w:t>entspricht</w:t>
      </w:r>
      <w:r w:rsidR="00810B2C" w:rsidRPr="00544F82">
        <w:rPr>
          <w:lang w:val="de-DE"/>
        </w:rPr>
        <w:t>)</w:t>
      </w:r>
      <w:r w:rsidR="00C927F5" w:rsidRPr="00544F82">
        <w:rPr>
          <w:lang w:val="de-DE"/>
        </w:rPr>
        <w:t>.</w:t>
      </w:r>
    </w:p>
    <w:p w14:paraId="30F893AB" w14:textId="36FA6C76" w:rsidR="00914C83" w:rsidRPr="0001227A" w:rsidRDefault="00914C83" w:rsidP="00544F82">
      <w:pPr>
        <w:pStyle w:val="HChG"/>
        <w:rPr>
          <w:lang w:val="de-DE"/>
        </w:rPr>
      </w:pPr>
      <w:r w:rsidRPr="0001227A">
        <w:rPr>
          <w:lang w:val="de-DE"/>
        </w:rPr>
        <w:tab/>
      </w:r>
      <w:r w:rsidR="000C796B" w:rsidRPr="00544F82">
        <w:rPr>
          <w:lang w:val="de-DE"/>
        </w:rPr>
        <w:t>VIII.</w:t>
      </w:r>
      <w:r w:rsidRPr="0001227A">
        <w:rPr>
          <w:lang w:val="de-DE"/>
        </w:rPr>
        <w:tab/>
      </w:r>
      <w:r w:rsidR="000C796B" w:rsidRPr="000C796B">
        <w:rPr>
          <w:lang w:val="de-DE"/>
        </w:rPr>
        <w:t>Arbeitsprogramm und Sitzungsplan (TOP 7)</w:t>
      </w:r>
    </w:p>
    <w:p w14:paraId="4B45CF81" w14:textId="6EB36B73" w:rsidR="00914C83" w:rsidRPr="0001227A" w:rsidRDefault="00914C83" w:rsidP="00544F82">
      <w:pPr>
        <w:pStyle w:val="SingleTxtG"/>
        <w:rPr>
          <w:lang w:val="de-DE"/>
        </w:rPr>
      </w:pPr>
      <w:r w:rsidRPr="0001227A">
        <w:rPr>
          <w:lang w:val="de-DE"/>
        </w:rPr>
        <w:t>76.</w:t>
      </w:r>
      <w:r w:rsidRPr="0001227A">
        <w:rPr>
          <w:lang w:val="de-DE"/>
        </w:rPr>
        <w:tab/>
      </w:r>
      <w:r w:rsidR="000C796B" w:rsidRPr="00544F82">
        <w:rPr>
          <w:lang w:val="de-DE"/>
        </w:rPr>
        <w:t xml:space="preserve">Der Sicherheitsausschuss nahm zur Kenntnis, dass </w:t>
      </w:r>
      <w:r w:rsidR="002A4274" w:rsidRPr="00544F82">
        <w:rPr>
          <w:lang w:val="de-DE"/>
        </w:rPr>
        <w:t xml:space="preserve">die Dauer der nächsten Sitzung </w:t>
      </w:r>
      <w:r w:rsidR="00491562" w:rsidRPr="00544F82">
        <w:rPr>
          <w:lang w:val="de-DE"/>
        </w:rPr>
        <w:t xml:space="preserve">wegen eines Feiertages, der auf den 1. September 2017 fällt, </w:t>
      </w:r>
      <w:r w:rsidR="002A4274" w:rsidRPr="00544F82">
        <w:rPr>
          <w:lang w:val="de-DE"/>
        </w:rPr>
        <w:t>auf vier Tage (28. bis 31.</w:t>
      </w:r>
      <w:r w:rsidR="005638E8">
        <w:rPr>
          <w:lang w:val="de-DE"/>
        </w:rPr>
        <w:t> </w:t>
      </w:r>
      <w:r w:rsidR="002A4274" w:rsidRPr="00544F82">
        <w:rPr>
          <w:lang w:val="de-DE"/>
        </w:rPr>
        <w:t xml:space="preserve">August 2017) verkürzt </w:t>
      </w:r>
      <w:r w:rsidR="00491562" w:rsidRPr="00544F82">
        <w:rPr>
          <w:lang w:val="de-DE"/>
        </w:rPr>
        <w:t>wurde. Die Sitzung des Verwaltungsausschusses findet am Nachmittag des 31. August statt.</w:t>
      </w:r>
    </w:p>
    <w:p w14:paraId="503658AC" w14:textId="7A30B597" w:rsidR="00914C83" w:rsidRPr="0001227A" w:rsidRDefault="00914C83" w:rsidP="00E759F3">
      <w:pPr>
        <w:pStyle w:val="HChG"/>
        <w:rPr>
          <w:lang w:val="de-DE"/>
        </w:rPr>
      </w:pPr>
      <w:r w:rsidRPr="0001227A">
        <w:rPr>
          <w:lang w:val="de-DE"/>
        </w:rPr>
        <w:tab/>
      </w:r>
      <w:r w:rsidR="00E759F3" w:rsidRPr="00E759F3">
        <w:rPr>
          <w:lang w:val="de-DE"/>
        </w:rPr>
        <w:t>IX.</w:t>
      </w:r>
      <w:r w:rsidRPr="0001227A">
        <w:rPr>
          <w:lang w:val="de-DE"/>
        </w:rPr>
        <w:tab/>
      </w:r>
      <w:r w:rsidR="00E759F3" w:rsidRPr="00E759F3">
        <w:rPr>
          <w:lang w:val="de-DE"/>
        </w:rPr>
        <w:t>Verschiedenes (TOP 8)</w:t>
      </w:r>
    </w:p>
    <w:p w14:paraId="4FF4A7AF" w14:textId="48D1A138" w:rsidR="00914C83" w:rsidRPr="0001227A" w:rsidRDefault="00914C83" w:rsidP="00E759F3">
      <w:pPr>
        <w:pStyle w:val="SingleTxtG"/>
        <w:rPr>
          <w:lang w:val="de-DE"/>
        </w:rPr>
      </w:pPr>
      <w:r w:rsidRPr="0001227A">
        <w:rPr>
          <w:lang w:val="de-DE"/>
        </w:rPr>
        <w:t>77.</w:t>
      </w:r>
      <w:r w:rsidRPr="0001227A">
        <w:rPr>
          <w:lang w:val="de-DE"/>
        </w:rPr>
        <w:tab/>
      </w:r>
      <w:r w:rsidR="00E759F3" w:rsidRPr="00E759F3">
        <w:rPr>
          <w:lang w:val="de-DE"/>
        </w:rPr>
        <w:t>Es wurden keine weiteren Punkte behandelt.</w:t>
      </w:r>
    </w:p>
    <w:p w14:paraId="77D1BF4F" w14:textId="436783ED" w:rsidR="00914C83" w:rsidRPr="0001227A" w:rsidRDefault="00914C83" w:rsidP="00E759F3">
      <w:pPr>
        <w:pStyle w:val="HChG"/>
        <w:rPr>
          <w:lang w:val="de-DE"/>
        </w:rPr>
      </w:pPr>
      <w:r w:rsidRPr="0001227A">
        <w:rPr>
          <w:lang w:val="de-DE"/>
        </w:rPr>
        <w:tab/>
      </w:r>
      <w:r w:rsidR="00E759F3" w:rsidRPr="00E759F3">
        <w:rPr>
          <w:lang w:val="de-DE"/>
        </w:rPr>
        <w:t>X.</w:t>
      </w:r>
      <w:r w:rsidRPr="0001227A">
        <w:rPr>
          <w:lang w:val="de-DE"/>
        </w:rPr>
        <w:tab/>
      </w:r>
      <w:r w:rsidR="00E759F3" w:rsidRPr="00E759F3">
        <w:rPr>
          <w:lang w:val="de-DE"/>
        </w:rPr>
        <w:t xml:space="preserve">Annahme des </w:t>
      </w:r>
      <w:r w:rsidR="00E759F3" w:rsidRPr="00544F82">
        <w:rPr>
          <w:lang w:val="de-DE"/>
        </w:rPr>
        <w:t>Sitzungsprotokolls</w:t>
      </w:r>
    </w:p>
    <w:p w14:paraId="44A538A1" w14:textId="3B46E81E" w:rsidR="00914C83" w:rsidRPr="0001227A" w:rsidRDefault="00914C83" w:rsidP="009D04F7">
      <w:pPr>
        <w:pStyle w:val="SingleTxtG"/>
        <w:rPr>
          <w:lang w:val="de-DE"/>
        </w:rPr>
      </w:pPr>
      <w:r w:rsidRPr="0001227A">
        <w:rPr>
          <w:lang w:val="de-DE"/>
        </w:rPr>
        <w:t>78.</w:t>
      </w:r>
      <w:r w:rsidRPr="0001227A">
        <w:rPr>
          <w:lang w:val="de-DE"/>
        </w:rPr>
        <w:tab/>
      </w:r>
      <w:r w:rsidR="00E759F3" w:rsidRPr="009D04F7">
        <w:rPr>
          <w:lang w:val="de-DE"/>
        </w:rPr>
        <w:t>Der Sicherheitsausschuss genehmigte das Protokoll seiner dreißigsten Sitzung und dessen Anlagen auf der Grundlage eines Sekretariatsentwurfs.</w:t>
      </w:r>
    </w:p>
    <w:p w14:paraId="117A46F1" w14:textId="71160348" w:rsidR="00914C83" w:rsidRPr="0001227A" w:rsidRDefault="00914C83" w:rsidP="003020E1">
      <w:pPr>
        <w:pStyle w:val="HChG"/>
        <w:rPr>
          <w:lang w:val="de-DE"/>
        </w:rPr>
      </w:pPr>
      <w:r w:rsidRPr="0001227A">
        <w:rPr>
          <w:lang w:val="de-DE"/>
        </w:rPr>
        <w:br w:type="page"/>
      </w:r>
      <w:r w:rsidR="003020E1" w:rsidRPr="00544F82">
        <w:rPr>
          <w:lang w:val="de-DE"/>
        </w:rPr>
        <w:lastRenderedPageBreak/>
        <w:t>Anlage I</w:t>
      </w:r>
    </w:p>
    <w:p w14:paraId="58E8C910" w14:textId="7113CA14" w:rsidR="001F2CBA" w:rsidRPr="0001227A" w:rsidRDefault="001F2CBA" w:rsidP="00EC52F3">
      <w:pPr>
        <w:keepNext/>
        <w:keepLines/>
        <w:tabs>
          <w:tab w:val="right" w:pos="851"/>
        </w:tabs>
        <w:spacing w:before="360" w:after="240" w:line="300" w:lineRule="exact"/>
        <w:ind w:left="1134" w:right="1134" w:hanging="1134"/>
        <w:rPr>
          <w:b/>
          <w:sz w:val="28"/>
          <w:lang w:val="de-DE"/>
        </w:rPr>
      </w:pPr>
      <w:r w:rsidRPr="0001227A">
        <w:rPr>
          <w:b/>
          <w:sz w:val="28"/>
          <w:lang w:val="de-DE"/>
        </w:rPr>
        <w:tab/>
      </w:r>
      <w:r w:rsidRPr="0001227A">
        <w:rPr>
          <w:b/>
          <w:sz w:val="28"/>
          <w:lang w:val="de-DE"/>
        </w:rPr>
        <w:tab/>
      </w:r>
      <w:r w:rsidR="00EC52F3" w:rsidRPr="00EC52F3">
        <w:rPr>
          <w:b/>
          <w:sz w:val="28"/>
          <w:lang w:val="de-DE"/>
        </w:rPr>
        <w:t>Berichtigungen zu der dem ADN beigefügten Verordnung</w:t>
      </w:r>
    </w:p>
    <w:p w14:paraId="757645C6" w14:textId="3C188F0A" w:rsidR="001F2CBA" w:rsidRPr="0001227A" w:rsidRDefault="00EC52F3" w:rsidP="00EC52F3">
      <w:pPr>
        <w:spacing w:after="120"/>
        <w:ind w:left="1134" w:right="1134"/>
        <w:jc w:val="both"/>
        <w:rPr>
          <w:b/>
          <w:sz w:val="28"/>
          <w:lang w:val="de-DE"/>
        </w:rPr>
      </w:pPr>
      <w:r w:rsidRPr="00EC52F3">
        <w:rPr>
          <w:b/>
          <w:lang w:val="de-DE"/>
        </w:rPr>
        <w:t>Korrekturen am offiziellen Text (vorbehaltlich der Zustimmung durch die Vertragsparteien)</w:t>
      </w:r>
    </w:p>
    <w:p w14:paraId="555FAA66" w14:textId="017BCE9B" w:rsidR="001F2CBA" w:rsidRPr="0001227A" w:rsidRDefault="001F2CBA" w:rsidP="00EC52F3">
      <w:pPr>
        <w:keepNext/>
        <w:keepLines/>
        <w:tabs>
          <w:tab w:val="right" w:pos="851"/>
        </w:tabs>
        <w:spacing w:before="240" w:after="120" w:line="240" w:lineRule="exact"/>
        <w:ind w:left="1134" w:right="1134" w:hanging="1134"/>
        <w:rPr>
          <w:b/>
          <w:lang w:val="de-DE"/>
        </w:rPr>
      </w:pPr>
      <w:r w:rsidRPr="0001227A">
        <w:rPr>
          <w:b/>
          <w:lang w:val="de-DE"/>
        </w:rPr>
        <w:tab/>
      </w:r>
      <w:r w:rsidRPr="0001227A">
        <w:rPr>
          <w:b/>
          <w:lang w:val="de-DE"/>
        </w:rPr>
        <w:tab/>
      </w:r>
      <w:r w:rsidR="00EC52F3" w:rsidRPr="00EC52F3">
        <w:rPr>
          <w:b/>
          <w:lang w:val="de-DE"/>
        </w:rPr>
        <w:t>Teil 1, Kapitel 1.6, 1.6.7.2.1.4</w:t>
      </w:r>
    </w:p>
    <w:p w14:paraId="38226172" w14:textId="77777777" w:rsidR="00EC52F3" w:rsidRDefault="00EC52F3" w:rsidP="00EC52F3">
      <w:pPr>
        <w:spacing w:after="120"/>
        <w:ind w:left="1134" w:right="1134"/>
        <w:jc w:val="both"/>
        <w:rPr>
          <w:color w:val="000000"/>
          <w:lang w:val="de-DE"/>
        </w:rPr>
      </w:pPr>
      <w:r>
        <w:rPr>
          <w:bCs/>
          <w:color w:val="000000"/>
          <w:lang w:val="de-DE"/>
        </w:rPr>
        <w:t>[Betrifft</w:t>
      </w:r>
      <w:r>
        <w:rPr>
          <w:color w:val="000000"/>
          <w:lang w:val="de-DE"/>
        </w:rPr>
        <w:t xml:space="preserve"> </w:t>
      </w:r>
      <w:r>
        <w:rPr>
          <w:bCs/>
          <w:color w:val="000000"/>
          <w:lang w:val="de-DE"/>
        </w:rPr>
        <w:t>nicht</w:t>
      </w:r>
      <w:r>
        <w:rPr>
          <w:color w:val="000000"/>
          <w:lang w:val="de-DE"/>
        </w:rPr>
        <w:t xml:space="preserve"> </w:t>
      </w:r>
      <w:r>
        <w:rPr>
          <w:bCs/>
          <w:color w:val="000000"/>
          <w:lang w:val="de-DE"/>
        </w:rPr>
        <w:t>die</w:t>
      </w:r>
      <w:r>
        <w:rPr>
          <w:color w:val="000000"/>
          <w:lang w:val="de-DE"/>
        </w:rPr>
        <w:t xml:space="preserve"> </w:t>
      </w:r>
      <w:r>
        <w:rPr>
          <w:bCs/>
          <w:color w:val="000000"/>
          <w:lang w:val="de-DE"/>
        </w:rPr>
        <w:t>deutsche</w:t>
      </w:r>
      <w:r>
        <w:rPr>
          <w:color w:val="000000"/>
          <w:lang w:val="de-DE"/>
        </w:rPr>
        <w:t xml:space="preserve"> Sprachfassung] </w:t>
      </w:r>
    </w:p>
    <w:p w14:paraId="223F9DC7" w14:textId="1A0128D0" w:rsidR="001F2CBA" w:rsidRPr="0001227A" w:rsidRDefault="00EC52F3" w:rsidP="00EC52F3">
      <w:pPr>
        <w:spacing w:after="120"/>
        <w:ind w:left="1134" w:right="1134"/>
        <w:jc w:val="both"/>
        <w:rPr>
          <w:i/>
          <w:lang w:val="de-DE"/>
        </w:rPr>
      </w:pPr>
      <w:r>
        <w:rPr>
          <w:i/>
          <w:lang w:val="de-DE"/>
        </w:rPr>
        <w:t>(Referenzdokument: Informelles Dokument INF.4)</w:t>
      </w:r>
    </w:p>
    <w:p w14:paraId="7D949476" w14:textId="375B76E6" w:rsidR="001F2CBA" w:rsidRPr="00D072B7" w:rsidRDefault="001F2CBA" w:rsidP="001F2CBA">
      <w:pPr>
        <w:keepNext/>
        <w:keepLines/>
        <w:tabs>
          <w:tab w:val="right" w:pos="851"/>
        </w:tabs>
        <w:spacing w:before="240" w:after="120" w:line="240" w:lineRule="exact"/>
        <w:ind w:left="1134" w:right="1134" w:hanging="1134"/>
        <w:rPr>
          <w:b/>
          <w:lang w:val="de-DE"/>
        </w:rPr>
      </w:pPr>
      <w:r w:rsidRPr="0001227A">
        <w:rPr>
          <w:b/>
          <w:lang w:val="de-DE"/>
        </w:rPr>
        <w:tab/>
      </w:r>
      <w:r w:rsidRPr="0001227A">
        <w:rPr>
          <w:b/>
          <w:lang w:val="de-DE"/>
        </w:rPr>
        <w:tab/>
      </w:r>
      <w:r w:rsidR="00A52F60" w:rsidRPr="00D072B7">
        <w:rPr>
          <w:b/>
          <w:lang w:val="de-DE"/>
        </w:rPr>
        <w:t xml:space="preserve">Teil 1, Kapitel 1.6, 1.6.7.2.2.2, Übergangsvorschrift </w:t>
      </w:r>
      <w:r w:rsidR="00EA47D2">
        <w:rPr>
          <w:b/>
          <w:lang w:val="de-DE"/>
        </w:rPr>
        <w:t>„</w:t>
      </w:r>
      <w:r w:rsidR="00A52F60" w:rsidRPr="00D072B7">
        <w:rPr>
          <w:b/>
          <w:lang w:val="de-DE"/>
        </w:rPr>
        <w:t>1.2.1 Flammendurchschlagsicherung Prüfung nach der Norm EN ISO 16852:2010“</w:t>
      </w:r>
    </w:p>
    <w:p w14:paraId="0D4DD6B9" w14:textId="77777777" w:rsidR="005722D9" w:rsidRPr="00D072B7" w:rsidRDefault="005722D9" w:rsidP="005722D9">
      <w:pPr>
        <w:spacing w:after="120"/>
        <w:ind w:left="1134" w:right="1134"/>
        <w:jc w:val="both"/>
        <w:rPr>
          <w:snapToGrid w:val="0"/>
          <w:lang w:val="de-DE"/>
        </w:rPr>
      </w:pPr>
      <w:r w:rsidRPr="00D072B7">
        <w:rPr>
          <w:rFonts w:eastAsia="SimSun"/>
          <w:sz w:val="18"/>
          <w:szCs w:val="18"/>
          <w:lang w:val="de-DE" w:eastAsia="zh-CN"/>
        </w:rPr>
        <w:t xml:space="preserve">„N.E.U. ab 1. Januar 2001“ ändern in: „N.E.U. ab 1. Januar 2015“. </w:t>
      </w:r>
    </w:p>
    <w:p w14:paraId="7E331E04" w14:textId="77777777" w:rsidR="005722D9" w:rsidRPr="00D072B7" w:rsidRDefault="005722D9" w:rsidP="005722D9">
      <w:pPr>
        <w:spacing w:after="120"/>
        <w:ind w:left="1134" w:right="1134"/>
        <w:jc w:val="both"/>
        <w:rPr>
          <w:rFonts w:eastAsia="SimSun"/>
          <w:sz w:val="18"/>
          <w:szCs w:val="18"/>
          <w:lang w:val="de-DE" w:eastAsia="zh-CN"/>
        </w:rPr>
      </w:pPr>
      <w:r w:rsidRPr="00D072B7">
        <w:rPr>
          <w:rFonts w:eastAsia="SimSun"/>
          <w:sz w:val="18"/>
          <w:szCs w:val="18"/>
          <w:lang w:val="de-DE" w:eastAsia="zh-CN"/>
        </w:rPr>
        <w:t>„Norm EN 12874:1999“ ändern in: „Norm EN 12874:2001“.</w:t>
      </w:r>
    </w:p>
    <w:p w14:paraId="0A13831B" w14:textId="77777777" w:rsidR="005722D9" w:rsidRPr="00D072B7" w:rsidRDefault="005722D9" w:rsidP="005722D9">
      <w:pPr>
        <w:spacing w:after="120"/>
        <w:ind w:left="1134" w:right="1134"/>
        <w:jc w:val="both"/>
        <w:rPr>
          <w:i/>
          <w:lang w:val="de-DE"/>
        </w:rPr>
      </w:pPr>
      <w:r w:rsidRPr="00D072B7">
        <w:rPr>
          <w:i/>
          <w:lang w:val="de-DE"/>
        </w:rPr>
        <w:t>(Referenzdokument: Informelles Dokument INF.18 wie geändert)</w:t>
      </w:r>
    </w:p>
    <w:p w14:paraId="737AE45A" w14:textId="72BF9E0F" w:rsidR="001F2CBA" w:rsidRPr="00D072B7" w:rsidRDefault="001F2CBA" w:rsidP="001F2CBA">
      <w:pPr>
        <w:keepNext/>
        <w:keepLines/>
        <w:tabs>
          <w:tab w:val="right" w:pos="851"/>
        </w:tabs>
        <w:spacing w:before="240" w:after="120" w:line="240" w:lineRule="exact"/>
        <w:ind w:left="1134" w:right="1134" w:hanging="1134"/>
        <w:rPr>
          <w:b/>
          <w:lang w:val="de-DE"/>
        </w:rPr>
      </w:pPr>
      <w:r w:rsidRPr="00D072B7">
        <w:rPr>
          <w:b/>
          <w:lang w:val="de-DE"/>
        </w:rPr>
        <w:tab/>
      </w:r>
      <w:r w:rsidRPr="00D072B7">
        <w:rPr>
          <w:b/>
          <w:lang w:val="de-DE"/>
        </w:rPr>
        <w:tab/>
      </w:r>
      <w:r w:rsidR="00BE6FCE" w:rsidRPr="00D072B7">
        <w:rPr>
          <w:b/>
          <w:lang w:val="de-DE"/>
        </w:rPr>
        <w:t>Teil 1, Kapitel 1.6, 1.6.7.2.2.2, Übergangsvorschrift „1.2.1 Hochgeschwindigkeitsventil Prüfung nach der Norm EN ISO 16852:2010“</w:t>
      </w:r>
    </w:p>
    <w:p w14:paraId="75F12DD1" w14:textId="77777777" w:rsidR="00BE6FCE" w:rsidRPr="0001227A" w:rsidRDefault="00BE6FCE" w:rsidP="00BE6FCE">
      <w:pPr>
        <w:spacing w:after="120"/>
        <w:ind w:left="1134" w:right="1134"/>
        <w:jc w:val="both"/>
        <w:rPr>
          <w:lang w:val="nl-NL"/>
        </w:rPr>
      </w:pPr>
      <w:r w:rsidRPr="0001227A">
        <w:rPr>
          <w:lang w:val="nl-NL"/>
        </w:rPr>
        <w:t>„Norm EN 12874:1999“ ändern in: „Norm EN 12874:2001“.</w:t>
      </w:r>
    </w:p>
    <w:p w14:paraId="6318C3F5" w14:textId="4077A895" w:rsidR="001F2CBA" w:rsidRPr="00D072B7" w:rsidRDefault="00BE6FCE" w:rsidP="00BE6FCE">
      <w:pPr>
        <w:spacing w:after="120"/>
        <w:ind w:left="1134" w:right="1134"/>
        <w:jc w:val="both"/>
        <w:rPr>
          <w:i/>
          <w:lang w:val="de-DE"/>
        </w:rPr>
      </w:pPr>
      <w:r w:rsidRPr="00D072B7">
        <w:rPr>
          <w:i/>
          <w:lang w:val="de-DE"/>
        </w:rPr>
        <w:t>(Referenzdokument: Informelles Dokument INF.18 wie geändert)</w:t>
      </w:r>
    </w:p>
    <w:p w14:paraId="48228A89" w14:textId="31955069" w:rsidR="001F2CBA" w:rsidRPr="00D072B7" w:rsidRDefault="001F2CBA" w:rsidP="001F2CBA">
      <w:pPr>
        <w:keepNext/>
        <w:keepLines/>
        <w:tabs>
          <w:tab w:val="right" w:pos="851"/>
        </w:tabs>
        <w:spacing w:before="240" w:after="120" w:line="240" w:lineRule="exact"/>
        <w:ind w:left="1134" w:right="1134" w:hanging="1134"/>
        <w:rPr>
          <w:b/>
          <w:lang w:val="de-DE"/>
        </w:rPr>
      </w:pPr>
      <w:r w:rsidRPr="00D072B7">
        <w:rPr>
          <w:b/>
          <w:lang w:val="de-DE"/>
        </w:rPr>
        <w:tab/>
      </w:r>
      <w:r w:rsidRPr="00D072B7">
        <w:rPr>
          <w:b/>
          <w:lang w:val="de-DE"/>
        </w:rPr>
        <w:tab/>
      </w:r>
      <w:r w:rsidR="008B1670" w:rsidRPr="00D072B7">
        <w:rPr>
          <w:b/>
          <w:lang w:val="de-DE"/>
        </w:rPr>
        <w:t>Teil 1, Kapitel 1.16, 1.16.1.2.1, letzter Absatz</w:t>
      </w:r>
    </w:p>
    <w:p w14:paraId="03EC1D6A" w14:textId="77777777" w:rsidR="008B1670" w:rsidRPr="00D072B7" w:rsidRDefault="008B1670" w:rsidP="008B1670">
      <w:pPr>
        <w:spacing w:after="120"/>
        <w:ind w:left="1134" w:right="1134"/>
        <w:jc w:val="both"/>
        <w:rPr>
          <w:color w:val="000000"/>
          <w:lang w:val="de-DE"/>
        </w:rPr>
      </w:pPr>
      <w:r w:rsidRPr="00D072B7">
        <w:rPr>
          <w:bCs/>
          <w:color w:val="000000"/>
          <w:lang w:val="de-DE"/>
        </w:rPr>
        <w:t>[Betrifft</w:t>
      </w:r>
      <w:r w:rsidRPr="00D072B7">
        <w:rPr>
          <w:color w:val="000000"/>
          <w:lang w:val="de-DE"/>
        </w:rPr>
        <w:t xml:space="preserve"> </w:t>
      </w:r>
      <w:r w:rsidRPr="00D072B7">
        <w:rPr>
          <w:bCs/>
          <w:color w:val="000000"/>
          <w:lang w:val="de-DE"/>
        </w:rPr>
        <w:t>nicht</w:t>
      </w:r>
      <w:r w:rsidRPr="00D072B7">
        <w:rPr>
          <w:color w:val="000000"/>
          <w:lang w:val="de-DE"/>
        </w:rPr>
        <w:t xml:space="preserve"> </w:t>
      </w:r>
      <w:r w:rsidRPr="00D072B7">
        <w:rPr>
          <w:bCs/>
          <w:color w:val="000000"/>
          <w:lang w:val="de-DE"/>
        </w:rPr>
        <w:t>die</w:t>
      </w:r>
      <w:r w:rsidRPr="00D072B7">
        <w:rPr>
          <w:color w:val="000000"/>
          <w:lang w:val="de-DE"/>
        </w:rPr>
        <w:t xml:space="preserve"> </w:t>
      </w:r>
      <w:r w:rsidRPr="00D072B7">
        <w:rPr>
          <w:bCs/>
          <w:color w:val="000000"/>
          <w:lang w:val="de-DE"/>
        </w:rPr>
        <w:t>deutsche</w:t>
      </w:r>
      <w:r w:rsidRPr="00D072B7">
        <w:rPr>
          <w:color w:val="000000"/>
          <w:lang w:val="de-DE"/>
        </w:rPr>
        <w:t xml:space="preserve"> Sprachfassung] </w:t>
      </w:r>
    </w:p>
    <w:p w14:paraId="030410D9" w14:textId="1431177E" w:rsidR="001F2CBA" w:rsidRPr="00D072B7" w:rsidRDefault="008B1670" w:rsidP="008B1670">
      <w:pPr>
        <w:spacing w:after="120"/>
        <w:ind w:left="1134" w:right="1134"/>
        <w:jc w:val="both"/>
        <w:rPr>
          <w:i/>
          <w:lang w:val="de-DE"/>
        </w:rPr>
      </w:pPr>
      <w:r w:rsidRPr="00D072B7">
        <w:rPr>
          <w:i/>
          <w:lang w:val="de-DE"/>
        </w:rPr>
        <w:t>(Referenzdokument: Informelles Dokument INF.9)</w:t>
      </w:r>
    </w:p>
    <w:p w14:paraId="4D68CC3A" w14:textId="77777777" w:rsidR="008B1670" w:rsidRPr="00D072B7" w:rsidRDefault="001F2CBA" w:rsidP="008B1670">
      <w:pPr>
        <w:keepNext/>
        <w:keepLines/>
        <w:tabs>
          <w:tab w:val="right" w:pos="851"/>
        </w:tabs>
        <w:spacing w:before="240" w:after="120" w:line="240" w:lineRule="exact"/>
        <w:ind w:left="1134" w:right="1134" w:hanging="1134"/>
        <w:rPr>
          <w:b/>
          <w:lang w:val="de-DE"/>
        </w:rPr>
      </w:pPr>
      <w:r w:rsidRPr="00D072B7">
        <w:rPr>
          <w:b/>
          <w:lang w:val="de-DE"/>
        </w:rPr>
        <w:tab/>
      </w:r>
      <w:r w:rsidRPr="00D072B7">
        <w:rPr>
          <w:b/>
          <w:lang w:val="de-DE"/>
        </w:rPr>
        <w:tab/>
      </w:r>
      <w:r w:rsidR="008B1670" w:rsidRPr="00D072B7">
        <w:rPr>
          <w:b/>
          <w:lang w:val="de-DE"/>
        </w:rPr>
        <w:t>Teil 1, Kapitel 1.16, 1.16.3.2, letzter Anstrich</w:t>
      </w:r>
    </w:p>
    <w:p w14:paraId="486FA45D" w14:textId="77777777" w:rsidR="008B1670" w:rsidRPr="00D072B7" w:rsidRDefault="008B1670" w:rsidP="008B1670">
      <w:pPr>
        <w:spacing w:after="120"/>
        <w:ind w:left="1134" w:right="1134"/>
        <w:jc w:val="both"/>
        <w:rPr>
          <w:color w:val="000000"/>
          <w:lang w:val="de-DE"/>
        </w:rPr>
      </w:pPr>
      <w:r w:rsidRPr="00D072B7">
        <w:rPr>
          <w:bCs/>
          <w:color w:val="000000"/>
          <w:lang w:val="de-DE"/>
        </w:rPr>
        <w:t>[Betrifft</w:t>
      </w:r>
      <w:r w:rsidRPr="00D072B7">
        <w:rPr>
          <w:color w:val="000000"/>
          <w:lang w:val="de-DE"/>
        </w:rPr>
        <w:t xml:space="preserve"> </w:t>
      </w:r>
      <w:r w:rsidRPr="00D072B7">
        <w:rPr>
          <w:bCs/>
          <w:color w:val="000000"/>
          <w:lang w:val="de-DE"/>
        </w:rPr>
        <w:t>nicht</w:t>
      </w:r>
      <w:r w:rsidRPr="00D072B7">
        <w:rPr>
          <w:color w:val="000000"/>
          <w:lang w:val="de-DE"/>
        </w:rPr>
        <w:t xml:space="preserve"> </w:t>
      </w:r>
      <w:r w:rsidRPr="00D072B7">
        <w:rPr>
          <w:bCs/>
          <w:color w:val="000000"/>
          <w:lang w:val="de-DE"/>
        </w:rPr>
        <w:t>die</w:t>
      </w:r>
      <w:r w:rsidRPr="00D072B7">
        <w:rPr>
          <w:color w:val="000000"/>
          <w:lang w:val="de-DE"/>
        </w:rPr>
        <w:t xml:space="preserve"> </w:t>
      </w:r>
      <w:r w:rsidRPr="00D072B7">
        <w:rPr>
          <w:bCs/>
          <w:color w:val="000000"/>
          <w:lang w:val="de-DE"/>
        </w:rPr>
        <w:t>deutsche</w:t>
      </w:r>
      <w:r w:rsidRPr="00D072B7">
        <w:rPr>
          <w:color w:val="000000"/>
          <w:lang w:val="de-DE"/>
        </w:rPr>
        <w:t xml:space="preserve"> Sprachfassung] </w:t>
      </w:r>
    </w:p>
    <w:p w14:paraId="7E015A2D" w14:textId="77777777" w:rsidR="008B1670" w:rsidRPr="00D072B7" w:rsidRDefault="008B1670" w:rsidP="008B1670">
      <w:pPr>
        <w:spacing w:after="120"/>
        <w:ind w:left="1134" w:right="1134"/>
        <w:jc w:val="both"/>
        <w:rPr>
          <w:i/>
          <w:lang w:val="de-DE"/>
        </w:rPr>
      </w:pPr>
      <w:r w:rsidRPr="00D072B7">
        <w:rPr>
          <w:i/>
          <w:lang w:val="de-DE"/>
        </w:rPr>
        <w:t>(Referenzdokument: Informelles Dokument INF.9)</w:t>
      </w:r>
    </w:p>
    <w:p w14:paraId="3C26371C" w14:textId="77777777" w:rsidR="00815F35" w:rsidRPr="00D072B7" w:rsidRDefault="001F2CBA" w:rsidP="00815F35">
      <w:pPr>
        <w:keepNext/>
        <w:keepLines/>
        <w:tabs>
          <w:tab w:val="right" w:pos="851"/>
        </w:tabs>
        <w:spacing w:before="240" w:after="120" w:line="240" w:lineRule="exact"/>
        <w:ind w:left="1134" w:right="1134" w:hanging="1134"/>
        <w:rPr>
          <w:b/>
          <w:lang w:val="de-DE"/>
        </w:rPr>
      </w:pPr>
      <w:r w:rsidRPr="00D072B7">
        <w:rPr>
          <w:b/>
          <w:lang w:val="de-DE"/>
        </w:rPr>
        <w:tab/>
      </w:r>
      <w:r w:rsidRPr="00D072B7">
        <w:rPr>
          <w:b/>
          <w:lang w:val="de-DE"/>
        </w:rPr>
        <w:tab/>
      </w:r>
      <w:r w:rsidR="00815F35" w:rsidRPr="00D072B7">
        <w:rPr>
          <w:b/>
          <w:lang w:val="de-DE"/>
        </w:rPr>
        <w:t>Teil 1, Kapitel 1.16, 1.16.3.2, vorletzter Absatz</w:t>
      </w:r>
    </w:p>
    <w:p w14:paraId="211D09DC" w14:textId="77777777" w:rsidR="00815F35" w:rsidRDefault="00815F35" w:rsidP="00815F35">
      <w:pPr>
        <w:spacing w:after="120"/>
        <w:ind w:left="1134" w:right="1134"/>
        <w:jc w:val="both"/>
        <w:rPr>
          <w:color w:val="000000"/>
          <w:lang w:val="de-DE"/>
        </w:rPr>
      </w:pPr>
      <w:r w:rsidRPr="00D072B7">
        <w:rPr>
          <w:bCs/>
          <w:color w:val="000000"/>
          <w:lang w:val="de-DE"/>
        </w:rPr>
        <w:t>[Betrifft</w:t>
      </w:r>
      <w:r w:rsidRPr="00D072B7">
        <w:rPr>
          <w:color w:val="000000"/>
          <w:lang w:val="de-DE"/>
        </w:rPr>
        <w:t xml:space="preserve"> </w:t>
      </w:r>
      <w:r w:rsidRPr="00D072B7">
        <w:rPr>
          <w:bCs/>
          <w:color w:val="000000"/>
          <w:lang w:val="de-DE"/>
        </w:rPr>
        <w:t>nicht</w:t>
      </w:r>
      <w:r w:rsidRPr="00D072B7">
        <w:rPr>
          <w:color w:val="000000"/>
          <w:lang w:val="de-DE"/>
        </w:rPr>
        <w:t xml:space="preserve"> </w:t>
      </w:r>
      <w:r w:rsidRPr="00D072B7">
        <w:rPr>
          <w:bCs/>
          <w:color w:val="000000"/>
          <w:lang w:val="de-DE"/>
        </w:rPr>
        <w:t>die</w:t>
      </w:r>
      <w:r w:rsidRPr="00D072B7">
        <w:rPr>
          <w:color w:val="000000"/>
          <w:lang w:val="de-DE"/>
        </w:rPr>
        <w:t xml:space="preserve"> </w:t>
      </w:r>
      <w:r w:rsidRPr="00D072B7">
        <w:rPr>
          <w:bCs/>
          <w:color w:val="000000"/>
          <w:lang w:val="de-DE"/>
        </w:rPr>
        <w:t>deutsche</w:t>
      </w:r>
      <w:r w:rsidRPr="00D072B7">
        <w:rPr>
          <w:color w:val="000000"/>
          <w:lang w:val="de-DE"/>
        </w:rPr>
        <w:t xml:space="preserve"> Sprachfassung</w:t>
      </w:r>
      <w:r>
        <w:rPr>
          <w:color w:val="000000"/>
          <w:lang w:val="de-DE"/>
        </w:rPr>
        <w:t xml:space="preserve">] </w:t>
      </w:r>
    </w:p>
    <w:p w14:paraId="72100AD8" w14:textId="77777777" w:rsidR="00815F35" w:rsidRDefault="00815F35" w:rsidP="00815F35">
      <w:pPr>
        <w:spacing w:after="120"/>
        <w:ind w:left="1134" w:right="1134"/>
        <w:jc w:val="both"/>
        <w:rPr>
          <w:i/>
          <w:lang w:val="de-DE"/>
        </w:rPr>
      </w:pPr>
      <w:r>
        <w:rPr>
          <w:i/>
          <w:lang w:val="de-DE"/>
        </w:rPr>
        <w:t>(Referenzdokument: Informelles Dokument INF.9)</w:t>
      </w:r>
    </w:p>
    <w:p w14:paraId="65BEA760" w14:textId="77777777" w:rsidR="00815F35" w:rsidRDefault="001F2CBA" w:rsidP="00815F35">
      <w:pPr>
        <w:keepNext/>
        <w:keepLines/>
        <w:tabs>
          <w:tab w:val="right" w:pos="851"/>
        </w:tabs>
        <w:spacing w:before="240" w:after="120" w:line="240" w:lineRule="exact"/>
        <w:ind w:left="1134" w:right="1134" w:hanging="1134"/>
        <w:rPr>
          <w:b/>
          <w:lang w:val="de-DE"/>
        </w:rPr>
      </w:pPr>
      <w:r w:rsidRPr="0001227A">
        <w:rPr>
          <w:b/>
          <w:lang w:val="de-DE"/>
        </w:rPr>
        <w:tab/>
      </w:r>
      <w:r w:rsidRPr="0001227A">
        <w:rPr>
          <w:b/>
          <w:lang w:val="de-DE"/>
        </w:rPr>
        <w:tab/>
      </w:r>
      <w:r w:rsidR="00815F35">
        <w:rPr>
          <w:b/>
          <w:lang w:val="de-DE"/>
        </w:rPr>
        <w:t>Teil 1, Kapitel 1.16, 1.16.5, letzter Satz</w:t>
      </w:r>
    </w:p>
    <w:p w14:paraId="5E28048F" w14:textId="77777777" w:rsidR="00815F35" w:rsidRDefault="00815F35" w:rsidP="00815F35">
      <w:pPr>
        <w:spacing w:after="120"/>
        <w:ind w:left="1134" w:right="1134"/>
        <w:jc w:val="both"/>
        <w:rPr>
          <w:bCs/>
          <w:color w:val="000000"/>
          <w:lang w:val="de-DE"/>
        </w:rPr>
      </w:pPr>
      <w:r>
        <w:rPr>
          <w:bCs/>
          <w:color w:val="000000"/>
          <w:lang w:val="de-DE"/>
        </w:rPr>
        <w:t>„1.16.1.3.1“ ändern in: „1.16.3.1“.</w:t>
      </w:r>
    </w:p>
    <w:p w14:paraId="4043D75D" w14:textId="77777777" w:rsidR="00815F35" w:rsidRDefault="00815F35" w:rsidP="00815F35">
      <w:pPr>
        <w:spacing w:after="120"/>
        <w:ind w:left="1134" w:right="1134"/>
        <w:jc w:val="both"/>
        <w:rPr>
          <w:i/>
          <w:lang w:val="de-DE"/>
        </w:rPr>
      </w:pPr>
      <w:r>
        <w:rPr>
          <w:i/>
          <w:lang w:val="de-DE"/>
        </w:rPr>
        <w:t>(Referenzdokument: Informelles Dokument INF.9)</w:t>
      </w:r>
    </w:p>
    <w:p w14:paraId="3C789C80" w14:textId="77777777" w:rsidR="00815F35" w:rsidRDefault="001F2CBA" w:rsidP="00815F35">
      <w:pPr>
        <w:keepNext/>
        <w:keepLines/>
        <w:tabs>
          <w:tab w:val="right" w:pos="851"/>
        </w:tabs>
        <w:spacing w:before="360" w:after="120" w:line="240" w:lineRule="exact"/>
        <w:ind w:left="1134" w:right="1134" w:hanging="1134"/>
        <w:rPr>
          <w:b/>
          <w:lang w:val="de-DE"/>
        </w:rPr>
      </w:pPr>
      <w:r w:rsidRPr="0001227A">
        <w:rPr>
          <w:b/>
          <w:lang w:val="de-DE"/>
        </w:rPr>
        <w:tab/>
      </w:r>
      <w:r w:rsidRPr="0001227A">
        <w:rPr>
          <w:b/>
          <w:lang w:val="de-DE"/>
        </w:rPr>
        <w:tab/>
      </w:r>
      <w:r w:rsidR="00815F35">
        <w:rPr>
          <w:b/>
          <w:lang w:val="de-DE"/>
        </w:rPr>
        <w:t>Teil 3, Kapitel 3.3, Sondervorschrift 665</w:t>
      </w:r>
    </w:p>
    <w:p w14:paraId="7A18ADBE" w14:textId="77777777" w:rsidR="00815F35" w:rsidRDefault="00815F35" w:rsidP="00815F35">
      <w:pPr>
        <w:spacing w:after="120"/>
        <w:ind w:left="1134" w:right="1134"/>
        <w:jc w:val="both"/>
        <w:rPr>
          <w:lang w:val="de-DE" w:bidi="en-GB"/>
        </w:rPr>
      </w:pPr>
      <w:r>
        <w:rPr>
          <w:lang w:val="de-DE"/>
        </w:rPr>
        <w:t xml:space="preserve">Am Ende hinzufügen: </w:t>
      </w:r>
      <w:r>
        <w:rPr>
          <w:lang w:val="de-DE" w:bidi="en-GB"/>
        </w:rPr>
        <w:t>„…, außer im Falle der Beförderung in loser Schüttung“.</w:t>
      </w:r>
    </w:p>
    <w:p w14:paraId="1FCE4AA9" w14:textId="77777777" w:rsidR="00815F35" w:rsidRDefault="00815F35" w:rsidP="00815F35">
      <w:pPr>
        <w:spacing w:after="120"/>
        <w:ind w:left="1134" w:right="1134"/>
        <w:jc w:val="both"/>
        <w:rPr>
          <w:i/>
          <w:lang w:val="de-DE" w:bidi="en-GB"/>
        </w:rPr>
      </w:pPr>
      <w:r>
        <w:rPr>
          <w:i/>
          <w:lang w:val="de-DE" w:bidi="en-GB"/>
        </w:rPr>
        <w:t>(</w:t>
      </w:r>
      <w:r>
        <w:rPr>
          <w:i/>
          <w:lang w:val="de-DE"/>
        </w:rPr>
        <w:t>Referenzdokument: ECE/TRANS/WP.15/AC.2/2017/9</w:t>
      </w:r>
      <w:r>
        <w:rPr>
          <w:i/>
          <w:lang w:val="de-DE" w:bidi="en-GB"/>
        </w:rPr>
        <w:t>)</w:t>
      </w:r>
    </w:p>
    <w:p w14:paraId="3C147527" w14:textId="58E5FF1A" w:rsidR="001F2CBA" w:rsidRPr="0001227A" w:rsidRDefault="00C1649F" w:rsidP="00815F35">
      <w:pPr>
        <w:keepNext/>
        <w:keepLines/>
        <w:tabs>
          <w:tab w:val="right" w:pos="851"/>
        </w:tabs>
        <w:spacing w:before="240" w:after="120" w:line="240" w:lineRule="exact"/>
        <w:ind w:left="1134" w:right="1134" w:hanging="1134"/>
        <w:rPr>
          <w:b/>
          <w:lang w:val="de-DE"/>
        </w:rPr>
      </w:pPr>
      <w:r>
        <w:rPr>
          <w:b/>
          <w:lang w:val="de-DE"/>
        </w:rPr>
        <w:br w:type="page"/>
      </w:r>
      <w:r w:rsidR="001F2CBA" w:rsidRPr="0001227A">
        <w:rPr>
          <w:b/>
          <w:lang w:val="de-DE"/>
        </w:rPr>
        <w:lastRenderedPageBreak/>
        <w:tab/>
      </w:r>
      <w:r w:rsidR="001F2CBA" w:rsidRPr="0001227A">
        <w:rPr>
          <w:b/>
          <w:lang w:val="de-DE"/>
        </w:rPr>
        <w:tab/>
      </w:r>
      <w:r w:rsidR="00815F35">
        <w:rPr>
          <w:b/>
          <w:lang w:val="de-DE"/>
        </w:rPr>
        <w:t>Teil 9, Kapitel 9.2, 9.2.0.80, Überschrift und erster Absatz</w:t>
      </w:r>
    </w:p>
    <w:p w14:paraId="7B599A9C" w14:textId="77777777" w:rsidR="000B56D8" w:rsidRPr="000B56D8" w:rsidRDefault="000B56D8" w:rsidP="000B56D8">
      <w:pPr>
        <w:spacing w:after="120"/>
        <w:ind w:left="1134" w:right="1134"/>
        <w:jc w:val="both"/>
        <w:rPr>
          <w:lang w:val="de-DE"/>
        </w:rPr>
      </w:pPr>
      <w:r w:rsidRPr="000B56D8">
        <w:rPr>
          <w:bCs/>
          <w:lang w:val="de-DE"/>
        </w:rPr>
        <w:t>[Betrifft</w:t>
      </w:r>
      <w:r w:rsidRPr="000B56D8">
        <w:rPr>
          <w:lang w:val="de-DE"/>
        </w:rPr>
        <w:t xml:space="preserve"> </w:t>
      </w:r>
      <w:r w:rsidRPr="000B56D8">
        <w:rPr>
          <w:bCs/>
          <w:lang w:val="de-DE"/>
        </w:rPr>
        <w:t>nicht</w:t>
      </w:r>
      <w:r w:rsidRPr="000B56D8">
        <w:rPr>
          <w:lang w:val="de-DE"/>
        </w:rPr>
        <w:t xml:space="preserve"> </w:t>
      </w:r>
      <w:r w:rsidRPr="000B56D8">
        <w:rPr>
          <w:bCs/>
          <w:lang w:val="de-DE"/>
        </w:rPr>
        <w:t>die</w:t>
      </w:r>
      <w:r w:rsidRPr="000B56D8">
        <w:rPr>
          <w:lang w:val="de-DE"/>
        </w:rPr>
        <w:t xml:space="preserve"> </w:t>
      </w:r>
      <w:r w:rsidRPr="000B56D8">
        <w:rPr>
          <w:bCs/>
          <w:lang w:val="de-DE"/>
        </w:rPr>
        <w:t>deutsche</w:t>
      </w:r>
      <w:r w:rsidRPr="000B56D8">
        <w:rPr>
          <w:lang w:val="de-DE"/>
        </w:rPr>
        <w:t xml:space="preserve"> Sprachfassung] </w:t>
      </w:r>
    </w:p>
    <w:p w14:paraId="49867BF5" w14:textId="378D5C77" w:rsidR="001F2CBA" w:rsidRPr="0001227A" w:rsidRDefault="000B56D8" w:rsidP="000B56D8">
      <w:pPr>
        <w:spacing w:after="120"/>
        <w:ind w:left="1134" w:right="1134"/>
        <w:jc w:val="both"/>
        <w:rPr>
          <w:i/>
          <w:lang w:val="de-DE" w:bidi="en-GB"/>
        </w:rPr>
      </w:pPr>
      <w:r w:rsidRPr="000B56D8">
        <w:rPr>
          <w:i/>
          <w:lang w:val="de-DE"/>
        </w:rPr>
        <w:t xml:space="preserve"> </w:t>
      </w:r>
      <w:r w:rsidR="00815F35">
        <w:rPr>
          <w:i/>
          <w:lang w:val="de-DE" w:bidi="en-GB"/>
        </w:rPr>
        <w:t>(</w:t>
      </w:r>
      <w:r w:rsidR="00815F35">
        <w:rPr>
          <w:i/>
          <w:lang w:val="de-DE"/>
        </w:rPr>
        <w:t>Referenzdokument: Informelles Dokument INF.7</w:t>
      </w:r>
      <w:r w:rsidR="00815F35">
        <w:rPr>
          <w:i/>
          <w:lang w:val="de-DE" w:bidi="en-GB"/>
        </w:rPr>
        <w:t>)</w:t>
      </w:r>
    </w:p>
    <w:p w14:paraId="474E458A" w14:textId="12064412" w:rsidR="001F2CBA" w:rsidRPr="0001227A" w:rsidRDefault="001F2CBA" w:rsidP="001F2CBA">
      <w:pPr>
        <w:keepNext/>
        <w:keepLines/>
        <w:tabs>
          <w:tab w:val="right" w:pos="851"/>
        </w:tabs>
        <w:spacing w:before="360" w:after="120" w:line="240" w:lineRule="exact"/>
        <w:ind w:left="1134" w:right="1134" w:hanging="1134"/>
        <w:rPr>
          <w:b/>
          <w:lang w:val="de-DE"/>
        </w:rPr>
      </w:pPr>
      <w:r w:rsidRPr="0001227A">
        <w:rPr>
          <w:b/>
          <w:lang w:val="de-DE"/>
        </w:rPr>
        <w:tab/>
      </w:r>
      <w:r w:rsidRPr="0001227A">
        <w:rPr>
          <w:b/>
          <w:lang w:val="de-DE"/>
        </w:rPr>
        <w:tab/>
      </w:r>
      <w:r w:rsidR="00F40673">
        <w:rPr>
          <w:b/>
          <w:lang w:val="de-DE"/>
        </w:rPr>
        <w:t>Teil 9, Kapitel 9.2, 9.2.0.88.1,</w:t>
      </w:r>
      <w:r w:rsidRPr="0001227A">
        <w:rPr>
          <w:b/>
          <w:lang w:val="de-DE"/>
        </w:rPr>
        <w:t xml:space="preserve"> </w:t>
      </w:r>
      <w:r w:rsidR="00F40673" w:rsidRPr="00D072B7">
        <w:rPr>
          <w:b/>
          <w:lang w:val="de-DE"/>
        </w:rPr>
        <w:t>erster Satz</w:t>
      </w:r>
    </w:p>
    <w:p w14:paraId="5BF6B733" w14:textId="77777777" w:rsidR="000B56D8" w:rsidRPr="000B56D8" w:rsidRDefault="000B56D8" w:rsidP="000B56D8">
      <w:pPr>
        <w:spacing w:after="120"/>
        <w:ind w:left="1134" w:right="1134"/>
        <w:jc w:val="both"/>
        <w:rPr>
          <w:lang w:val="de-DE"/>
        </w:rPr>
      </w:pPr>
      <w:r w:rsidRPr="000B56D8">
        <w:rPr>
          <w:bCs/>
          <w:lang w:val="de-DE"/>
        </w:rPr>
        <w:t>[Betrifft</w:t>
      </w:r>
      <w:r w:rsidRPr="000B56D8">
        <w:rPr>
          <w:lang w:val="de-DE"/>
        </w:rPr>
        <w:t xml:space="preserve"> </w:t>
      </w:r>
      <w:r w:rsidRPr="000B56D8">
        <w:rPr>
          <w:bCs/>
          <w:lang w:val="de-DE"/>
        </w:rPr>
        <w:t>nicht</w:t>
      </w:r>
      <w:r w:rsidRPr="000B56D8">
        <w:rPr>
          <w:lang w:val="de-DE"/>
        </w:rPr>
        <w:t xml:space="preserve"> </w:t>
      </w:r>
      <w:r w:rsidRPr="000B56D8">
        <w:rPr>
          <w:bCs/>
          <w:lang w:val="de-DE"/>
        </w:rPr>
        <w:t>die</w:t>
      </w:r>
      <w:r w:rsidRPr="000B56D8">
        <w:rPr>
          <w:lang w:val="de-DE"/>
        </w:rPr>
        <w:t xml:space="preserve"> </w:t>
      </w:r>
      <w:r w:rsidRPr="000B56D8">
        <w:rPr>
          <w:bCs/>
          <w:lang w:val="de-DE"/>
        </w:rPr>
        <w:t>deutsche</w:t>
      </w:r>
      <w:r w:rsidRPr="000B56D8">
        <w:rPr>
          <w:lang w:val="de-DE"/>
        </w:rPr>
        <w:t xml:space="preserve"> Sprachfassung] </w:t>
      </w:r>
    </w:p>
    <w:p w14:paraId="2E769529" w14:textId="22DF09DA" w:rsidR="001F2CBA" w:rsidRPr="000B4155" w:rsidRDefault="000B56D8" w:rsidP="000B56D8">
      <w:pPr>
        <w:spacing w:after="120"/>
        <w:ind w:left="1134" w:right="1134"/>
        <w:jc w:val="both"/>
        <w:rPr>
          <w:i/>
          <w:lang w:val="de-DE" w:bidi="en-GB"/>
        </w:rPr>
      </w:pPr>
      <w:r w:rsidRPr="000B56D8">
        <w:rPr>
          <w:i/>
          <w:lang w:val="de-DE"/>
        </w:rPr>
        <w:t xml:space="preserve"> </w:t>
      </w:r>
      <w:r w:rsidR="00E224DD">
        <w:rPr>
          <w:i/>
          <w:lang w:val="de-DE" w:bidi="en-GB"/>
        </w:rPr>
        <w:t>(</w:t>
      </w:r>
      <w:r w:rsidR="00E224DD">
        <w:rPr>
          <w:i/>
          <w:lang w:val="de-DE"/>
        </w:rPr>
        <w:t>Referenzdokument: Informelles Dokument INF.7</w:t>
      </w:r>
      <w:r w:rsidR="00E224DD">
        <w:rPr>
          <w:i/>
          <w:lang w:val="de-DE" w:bidi="en-GB"/>
        </w:rPr>
        <w:t>)</w:t>
      </w:r>
    </w:p>
    <w:p w14:paraId="1B0045D9" w14:textId="45BF979B" w:rsidR="00914C83" w:rsidRPr="0001227A" w:rsidRDefault="001F2CBA" w:rsidP="001F2CBA">
      <w:pPr>
        <w:pStyle w:val="HChG"/>
        <w:rPr>
          <w:lang w:val="de-DE"/>
        </w:rPr>
      </w:pPr>
      <w:r w:rsidRPr="0001227A">
        <w:rPr>
          <w:lang w:val="de-DE"/>
        </w:rPr>
        <w:br w:type="page"/>
      </w:r>
      <w:r w:rsidRPr="0001227A">
        <w:rPr>
          <w:lang w:val="de-DE"/>
        </w:rPr>
        <w:lastRenderedPageBreak/>
        <w:t>An</w:t>
      </w:r>
      <w:r w:rsidR="00E224DD" w:rsidRPr="0001227A">
        <w:rPr>
          <w:lang w:val="de-DE"/>
        </w:rPr>
        <w:t>lag</w:t>
      </w:r>
      <w:r w:rsidRPr="0001227A">
        <w:rPr>
          <w:lang w:val="de-DE"/>
        </w:rPr>
        <w:t>e II</w:t>
      </w:r>
    </w:p>
    <w:p w14:paraId="2D4007C9" w14:textId="1092D737" w:rsidR="001F2CBA" w:rsidRPr="0001227A" w:rsidRDefault="001F2CBA" w:rsidP="00175042">
      <w:pPr>
        <w:keepNext/>
        <w:keepLines/>
        <w:tabs>
          <w:tab w:val="right" w:pos="851"/>
        </w:tabs>
        <w:spacing w:before="360" w:after="240" w:line="300" w:lineRule="exact"/>
        <w:ind w:left="1134" w:right="1134" w:hanging="1134"/>
        <w:rPr>
          <w:b/>
          <w:sz w:val="28"/>
          <w:lang w:val="de-DE"/>
        </w:rPr>
      </w:pPr>
      <w:r w:rsidRPr="0001227A">
        <w:rPr>
          <w:b/>
          <w:sz w:val="28"/>
          <w:lang w:val="de-DE"/>
        </w:rPr>
        <w:tab/>
      </w:r>
      <w:r w:rsidRPr="0001227A">
        <w:rPr>
          <w:b/>
          <w:sz w:val="28"/>
          <w:lang w:val="de-DE"/>
        </w:rPr>
        <w:tab/>
      </w:r>
      <w:r w:rsidR="00175042" w:rsidRPr="00175042">
        <w:rPr>
          <w:b/>
          <w:sz w:val="28"/>
          <w:lang w:val="de-DE"/>
        </w:rPr>
        <w:t>Änderungsentwürfe zu der dem ADN beigefügten Verordnung, die am 1. Januar 2019 in Kraft treten sollen</w:t>
      </w:r>
    </w:p>
    <w:p w14:paraId="0C77806A" w14:textId="583E1664" w:rsidR="001F2CBA" w:rsidRPr="0001227A" w:rsidRDefault="001F2CBA" w:rsidP="00175042">
      <w:pPr>
        <w:keepNext/>
        <w:keepLines/>
        <w:tabs>
          <w:tab w:val="right" w:pos="851"/>
        </w:tabs>
        <w:spacing w:before="360" w:after="240" w:line="270" w:lineRule="exact"/>
        <w:ind w:left="1134" w:right="1134" w:hanging="1134"/>
        <w:rPr>
          <w:b/>
          <w:sz w:val="24"/>
          <w:lang w:val="de-DE"/>
        </w:rPr>
      </w:pPr>
      <w:r w:rsidRPr="0001227A">
        <w:rPr>
          <w:b/>
          <w:sz w:val="24"/>
          <w:lang w:val="de-DE"/>
        </w:rPr>
        <w:tab/>
      </w:r>
      <w:r w:rsidRPr="0001227A">
        <w:rPr>
          <w:b/>
          <w:sz w:val="24"/>
          <w:lang w:val="de-DE"/>
        </w:rPr>
        <w:tab/>
      </w:r>
      <w:r w:rsidR="00175042" w:rsidRPr="00175042">
        <w:rPr>
          <w:b/>
          <w:sz w:val="24"/>
          <w:lang w:val="de-DE"/>
        </w:rPr>
        <w:t>Kapitel 1.1</w:t>
      </w:r>
    </w:p>
    <w:p w14:paraId="5F86268B" w14:textId="3A2CB06B" w:rsidR="001F2CBA" w:rsidRPr="0001227A" w:rsidRDefault="005638E8" w:rsidP="005638E8">
      <w:pPr>
        <w:tabs>
          <w:tab w:val="left" w:pos="1985"/>
        </w:tabs>
        <w:spacing w:after="120"/>
        <w:ind w:left="1134" w:right="1134"/>
        <w:jc w:val="both"/>
        <w:rPr>
          <w:lang w:val="de-DE"/>
        </w:rPr>
      </w:pPr>
      <w:r>
        <w:rPr>
          <w:lang w:val="de-DE"/>
        </w:rPr>
        <w:t>1.1.4.3</w:t>
      </w:r>
      <w:r>
        <w:rPr>
          <w:lang w:val="de-DE"/>
        </w:rPr>
        <w:tab/>
      </w:r>
      <w:r w:rsidR="002675B0">
        <w:rPr>
          <w:lang w:val="de-DE"/>
        </w:rPr>
        <w:t>Die Fußnote 2 erhält folgenden Wortlaut: „</w:t>
      </w:r>
      <w:r w:rsidR="002675B0">
        <w:rPr>
          <w:vertAlign w:val="superscript"/>
          <w:lang w:val="de-DE"/>
        </w:rPr>
        <w:t>2)</w:t>
      </w:r>
      <w:r w:rsidR="002675B0">
        <w:rPr>
          <w:vertAlign w:val="superscript"/>
          <w:lang w:val="de-DE"/>
        </w:rPr>
        <w:tab/>
      </w:r>
      <w:r w:rsidR="002675B0">
        <w:rPr>
          <w:lang w:val="de-DE"/>
        </w:rPr>
        <w:t>Die Internationale Seeschifffahrts</w:t>
      </w:r>
      <w:r w:rsidR="002675B0">
        <w:rPr>
          <w:lang w:val="de-DE"/>
        </w:rPr>
        <w:softHyphen/>
        <w:t>organisation (IMO) hat mit Rundschreiben CCC.1/Circ.3 und Corrigenda einen revidierten Leitfaden für die Weiterverwendung von bestehenden ortsbeweglichen Tanks und von Straßentankfahrzeugen für die Beförderung gefährlicher Güter („</w:t>
      </w:r>
      <w:r w:rsidR="00EE4EAB">
        <w:rPr>
          <w:lang w:val="de-DE"/>
        </w:rPr>
        <w:t xml:space="preserve">Revised </w:t>
      </w:r>
      <w:r w:rsidR="002675B0">
        <w:rPr>
          <w:lang w:val="de-DE"/>
        </w:rPr>
        <w:t>Guidance on the Continued Use of Existing IMO Type Portable Tanks and Road Tank Vehicles for the Transport of Dangerous Goods“) herausgegeben. Der englische Text dieses Leitfadens kann auf der Website der IMO unter www.imo.org eingesehen werden.“.</w:t>
      </w:r>
    </w:p>
    <w:p w14:paraId="388179A3" w14:textId="1D2EFFB5" w:rsidR="001F2CBA" w:rsidRPr="0001227A" w:rsidRDefault="001F2CBA" w:rsidP="001F2CBA">
      <w:pPr>
        <w:spacing w:after="120"/>
        <w:ind w:left="1134" w:right="1134"/>
        <w:jc w:val="both"/>
        <w:rPr>
          <w:i/>
          <w:lang w:val="de-DE"/>
        </w:rPr>
      </w:pPr>
      <w:r w:rsidRPr="0001227A">
        <w:rPr>
          <w:i/>
          <w:lang w:val="de-DE"/>
        </w:rPr>
        <w:t>(</w:t>
      </w:r>
      <w:r w:rsidR="002675B0">
        <w:rPr>
          <w:i/>
          <w:lang w:val="de-DE"/>
        </w:rPr>
        <w:t>Referenzdokument: Informelles Dokument INF.6</w:t>
      </w:r>
      <w:r w:rsidRPr="0001227A">
        <w:rPr>
          <w:i/>
          <w:lang w:val="de-DE"/>
        </w:rPr>
        <w:t>)</w:t>
      </w:r>
    </w:p>
    <w:p w14:paraId="5A244592" w14:textId="741C1F4E" w:rsidR="001F2CBA" w:rsidRPr="0001227A" w:rsidRDefault="001F2CBA" w:rsidP="002675B0">
      <w:pPr>
        <w:keepNext/>
        <w:keepLines/>
        <w:tabs>
          <w:tab w:val="right" w:pos="851"/>
        </w:tabs>
        <w:spacing w:before="360" w:after="240" w:line="270" w:lineRule="exact"/>
        <w:ind w:left="1134" w:right="1134" w:hanging="1134"/>
        <w:rPr>
          <w:b/>
          <w:sz w:val="24"/>
          <w:lang w:val="de-DE"/>
        </w:rPr>
      </w:pPr>
      <w:r w:rsidRPr="0001227A">
        <w:rPr>
          <w:b/>
          <w:sz w:val="24"/>
          <w:lang w:val="de-DE"/>
        </w:rPr>
        <w:tab/>
      </w:r>
      <w:r w:rsidRPr="0001227A">
        <w:rPr>
          <w:b/>
          <w:sz w:val="24"/>
          <w:lang w:val="de-DE"/>
        </w:rPr>
        <w:tab/>
      </w:r>
      <w:r w:rsidR="002675B0" w:rsidRPr="002675B0">
        <w:rPr>
          <w:b/>
          <w:sz w:val="24"/>
          <w:lang w:val="de-DE"/>
        </w:rPr>
        <w:t>Kapitel 3.2</w:t>
      </w:r>
    </w:p>
    <w:p w14:paraId="3C8DC655" w14:textId="4514CC7A" w:rsidR="001F2CBA" w:rsidRPr="0001227A" w:rsidRDefault="001F2CBA" w:rsidP="001F2CBA">
      <w:pPr>
        <w:tabs>
          <w:tab w:val="left" w:pos="1985"/>
        </w:tabs>
        <w:spacing w:after="120"/>
        <w:ind w:left="1134" w:right="1134"/>
        <w:jc w:val="both"/>
        <w:rPr>
          <w:lang w:val="de-DE"/>
        </w:rPr>
      </w:pPr>
      <w:r w:rsidRPr="0001227A">
        <w:rPr>
          <w:lang w:val="de-DE"/>
        </w:rPr>
        <w:t>3.2.3.1</w:t>
      </w:r>
      <w:r w:rsidRPr="0001227A">
        <w:rPr>
          <w:lang w:val="de-DE"/>
        </w:rPr>
        <w:tab/>
      </w:r>
      <w:r w:rsidR="00344689">
        <w:rPr>
          <w:lang w:val="de-DE"/>
        </w:rPr>
        <w:t>In Spalte (5) Gefahren erhält der vierte Absatz folgenden Wortlaut:</w:t>
      </w:r>
    </w:p>
    <w:p w14:paraId="25FE91FB" w14:textId="2739AFAF" w:rsidR="001F2CBA" w:rsidRPr="0001227A" w:rsidRDefault="00821A1D" w:rsidP="001F2CBA">
      <w:pPr>
        <w:spacing w:after="120"/>
        <w:ind w:left="1134" w:right="1134"/>
        <w:jc w:val="both"/>
        <w:rPr>
          <w:lang w:val="de-DE"/>
        </w:rPr>
      </w:pPr>
      <w:r>
        <w:rPr>
          <w:lang w:val="de-DE"/>
        </w:rPr>
        <w:t>„Handelt es sich um einen Stoff oder um eine Mischung mit CMR-Eigenschaften gemäß den Kriterien der Kategorie 1A oder 1B der Kapitel 3.5, 3.6 und 3.7 des GHS, werden diese Angaben durch den Code „CMR“ ergänzt.“</w:t>
      </w:r>
    </w:p>
    <w:p w14:paraId="323321A0" w14:textId="461EDB80" w:rsidR="001F2CBA" w:rsidRPr="0001227A" w:rsidRDefault="001F2CBA" w:rsidP="001F2CBA">
      <w:pPr>
        <w:spacing w:after="120"/>
        <w:ind w:left="1134" w:right="1134"/>
        <w:jc w:val="both"/>
        <w:rPr>
          <w:i/>
          <w:lang w:val="de-DE"/>
        </w:rPr>
      </w:pPr>
      <w:r w:rsidRPr="0001227A">
        <w:rPr>
          <w:i/>
          <w:lang w:val="de-DE"/>
        </w:rPr>
        <w:t>(</w:t>
      </w:r>
      <w:r w:rsidR="00821A1D" w:rsidRPr="00D072B7">
        <w:rPr>
          <w:i/>
          <w:lang w:val="de-DE"/>
        </w:rPr>
        <w:t>Referenzdokument</w:t>
      </w:r>
      <w:r w:rsidRPr="0001227A">
        <w:rPr>
          <w:i/>
          <w:lang w:val="de-DE"/>
        </w:rPr>
        <w:t>: ECE/TRANS/WP.15/AC.2/2017/6)</w:t>
      </w:r>
    </w:p>
    <w:p w14:paraId="6E9DCFFD" w14:textId="2E75F43B" w:rsidR="001F2CBA" w:rsidRPr="0001227A" w:rsidRDefault="001F2CBA" w:rsidP="001F2CBA">
      <w:pPr>
        <w:tabs>
          <w:tab w:val="left" w:pos="1985"/>
        </w:tabs>
        <w:spacing w:after="120"/>
        <w:ind w:left="1134" w:right="1134"/>
        <w:jc w:val="both"/>
        <w:rPr>
          <w:lang w:val="de-DE"/>
        </w:rPr>
      </w:pPr>
      <w:r w:rsidRPr="0001227A">
        <w:rPr>
          <w:lang w:val="de-DE"/>
        </w:rPr>
        <w:t xml:space="preserve">3.2.4.3, </w:t>
      </w:r>
      <w:r w:rsidR="00EC647F" w:rsidRPr="00D072B7">
        <w:rPr>
          <w:lang w:val="de-DE"/>
        </w:rPr>
        <w:t>Nummer 9</w:t>
      </w:r>
      <w:r w:rsidR="00EC647F" w:rsidRPr="00D072B7">
        <w:rPr>
          <w:lang w:val="de-DE"/>
        </w:rPr>
        <w:tab/>
        <w:t>Die Fußnote 5) erhält folgenden Wortlaut</w:t>
      </w:r>
      <w:r w:rsidRPr="0001227A">
        <w:rPr>
          <w:lang w:val="de-DE"/>
        </w:rPr>
        <w:t>:</w:t>
      </w:r>
    </w:p>
    <w:p w14:paraId="37410716" w14:textId="56427F9C" w:rsidR="001F2CBA" w:rsidRPr="0001227A" w:rsidRDefault="00EC647F" w:rsidP="001F2CBA">
      <w:pPr>
        <w:tabs>
          <w:tab w:val="left" w:pos="1985"/>
        </w:tabs>
        <w:spacing w:after="120"/>
        <w:ind w:left="1134" w:right="1134"/>
        <w:jc w:val="both"/>
        <w:rPr>
          <w:i/>
          <w:highlight w:val="yellow"/>
          <w:lang w:val="de-DE"/>
        </w:rPr>
      </w:pPr>
      <w:r>
        <w:rPr>
          <w:lang w:val="de-DE"/>
        </w:rPr>
        <w:t>„5)</w:t>
      </w:r>
      <w:r>
        <w:rPr>
          <w:lang w:val="de-DE"/>
        </w:rPr>
        <w:tab/>
        <w:t>Da bisher noch keine international verbindliche Liste von CMR-Stoffen der Kategorie 1A und 1B existiert, findet hier in der Übergangszeit, bis zum Vorliegen einer solchen Liste, die Liste der CMR-Stoffe der Kategorie 1A und 1B entsprechend der Verordnung (EG) Nr. 1272/2008 des Europäischen Parlaments und des Rates in der jeweils geänderten Fassung Berücksichtigung.“.</w:t>
      </w:r>
    </w:p>
    <w:p w14:paraId="54B9994E" w14:textId="0C9D6E38" w:rsidR="001F2CBA" w:rsidRPr="0001227A" w:rsidRDefault="001F2CBA" w:rsidP="001F2CBA">
      <w:pPr>
        <w:tabs>
          <w:tab w:val="left" w:pos="1985"/>
        </w:tabs>
        <w:spacing w:after="120"/>
        <w:ind w:left="1134" w:right="1134"/>
        <w:jc w:val="both"/>
        <w:rPr>
          <w:lang w:val="de-DE"/>
        </w:rPr>
      </w:pPr>
      <w:r w:rsidRPr="0001227A">
        <w:rPr>
          <w:i/>
          <w:lang w:val="de-DE"/>
        </w:rPr>
        <w:t>(</w:t>
      </w:r>
      <w:r w:rsidR="00EC647F" w:rsidRPr="00D072B7">
        <w:rPr>
          <w:i/>
          <w:lang w:val="de-DE"/>
        </w:rPr>
        <w:t>Referenzdokument: ECE/TRANS/WP.15/AC.2/2017/10 wie geändert</w:t>
      </w:r>
      <w:r w:rsidRPr="0001227A">
        <w:rPr>
          <w:i/>
          <w:lang w:val="de-DE"/>
        </w:rPr>
        <w:t>)</w:t>
      </w:r>
    </w:p>
    <w:p w14:paraId="6F3B15A8" w14:textId="3AC89D7B" w:rsidR="001F2CBA" w:rsidRPr="0001227A" w:rsidRDefault="001F2CBA" w:rsidP="00EC647F">
      <w:pPr>
        <w:keepNext/>
        <w:keepLines/>
        <w:tabs>
          <w:tab w:val="right" w:pos="851"/>
        </w:tabs>
        <w:spacing w:before="360" w:after="240" w:line="270" w:lineRule="exact"/>
        <w:ind w:left="1134" w:right="1134" w:hanging="1134"/>
        <w:rPr>
          <w:b/>
          <w:sz w:val="24"/>
          <w:lang w:val="de-DE"/>
        </w:rPr>
      </w:pPr>
      <w:r w:rsidRPr="0001227A">
        <w:rPr>
          <w:b/>
          <w:sz w:val="24"/>
          <w:lang w:val="de-DE"/>
        </w:rPr>
        <w:tab/>
      </w:r>
      <w:r w:rsidRPr="0001227A">
        <w:rPr>
          <w:b/>
          <w:sz w:val="24"/>
          <w:lang w:val="de-DE"/>
        </w:rPr>
        <w:tab/>
      </w:r>
      <w:r w:rsidR="00EC647F" w:rsidRPr="00D072B7">
        <w:rPr>
          <w:b/>
          <w:sz w:val="24"/>
          <w:lang w:val="de-DE"/>
        </w:rPr>
        <w:t>Kapitel 7.1</w:t>
      </w:r>
    </w:p>
    <w:p w14:paraId="05160AD3" w14:textId="74F97073" w:rsidR="005638E8" w:rsidRDefault="005638E8" w:rsidP="000F55A1">
      <w:pPr>
        <w:pStyle w:val="SingleTxtG"/>
        <w:rPr>
          <w:lang w:val="de-DE"/>
        </w:rPr>
      </w:pPr>
      <w:r>
        <w:rPr>
          <w:lang w:val="de-DE"/>
        </w:rPr>
        <w:t>7.1.3.31</w:t>
      </w:r>
      <w:r>
        <w:rPr>
          <w:lang w:val="de-DE"/>
        </w:rPr>
        <w:tab/>
        <w:t>Erhält fo</w:t>
      </w:r>
      <w:r w:rsidR="00B16C3E">
        <w:rPr>
          <w:lang w:val="de-DE"/>
        </w:rPr>
        <w:t>l</w:t>
      </w:r>
      <w:r>
        <w:rPr>
          <w:lang w:val="de-DE"/>
        </w:rPr>
        <w:t>genden Wortlaut:</w:t>
      </w:r>
    </w:p>
    <w:p w14:paraId="3FEF3B31" w14:textId="77777777" w:rsidR="000F55A1" w:rsidRDefault="000F55A1" w:rsidP="000F55A1">
      <w:pPr>
        <w:pStyle w:val="SingleTxtG"/>
        <w:rPr>
          <w:i/>
          <w:lang w:val="de-DE"/>
        </w:rPr>
      </w:pPr>
      <w:r>
        <w:rPr>
          <w:lang w:val="de-DE"/>
        </w:rPr>
        <w:t>„7.1.3.31</w:t>
      </w:r>
      <w:r>
        <w:rPr>
          <w:lang w:val="de-DE"/>
        </w:rPr>
        <w:tab/>
        <w:t>Maschinen</w:t>
      </w:r>
    </w:p>
    <w:p w14:paraId="57BE9E8A" w14:textId="77777777" w:rsidR="000F55A1" w:rsidRDefault="000F55A1" w:rsidP="000F55A1">
      <w:pPr>
        <w:pStyle w:val="SingleTxtG"/>
        <w:rPr>
          <w:lang w:val="de-DE"/>
        </w:rPr>
      </w:pPr>
      <w:r>
        <w:rPr>
          <w:lang w:val="de-DE"/>
        </w:rPr>
        <w:t>Es ist verboten, Motoren zu verwenden, die mit Kraftstoff mit einem Flammpunkt von 55 °C oder darunter betrieben werden (z. B. Benzinmotoren). Diese Vorschrift gilt nicht für</w:t>
      </w:r>
    </w:p>
    <w:p w14:paraId="46D508DF" w14:textId="77777777" w:rsidR="000F55A1" w:rsidRDefault="000F55A1" w:rsidP="000F55A1">
      <w:pPr>
        <w:pStyle w:val="SingleTxtG"/>
        <w:rPr>
          <w:lang w:val="de-DE"/>
        </w:rPr>
      </w:pPr>
      <w:r>
        <w:rPr>
          <w:lang w:val="de-DE"/>
        </w:rPr>
        <w:t>- benzinbetriebene Außenbordmotoren von Beibooten;</w:t>
      </w:r>
    </w:p>
    <w:p w14:paraId="26FA85E8" w14:textId="468C5C5A" w:rsidR="000F55A1" w:rsidRDefault="0009541D" w:rsidP="000F55A1">
      <w:pPr>
        <w:pStyle w:val="SingleTxtG"/>
        <w:rPr>
          <w:lang w:val="de-DE"/>
        </w:rPr>
      </w:pPr>
      <w:r>
        <w:rPr>
          <w:lang w:val="de-DE"/>
        </w:rPr>
        <w:br w:type="page"/>
      </w:r>
      <w:r w:rsidR="000F55A1">
        <w:rPr>
          <w:lang w:val="de-DE"/>
        </w:rPr>
        <w:lastRenderedPageBreak/>
        <w:t xml:space="preserve">- Antriebs- und Hilfssysteme, die den Anforderungen des Kapitels 30 und der Anlage 8 Abschnitt </w:t>
      </w:r>
      <w:r>
        <w:rPr>
          <w:lang w:val="de-DE"/>
        </w:rPr>
        <w:t>1</w:t>
      </w:r>
      <w:r w:rsidR="000F55A1">
        <w:rPr>
          <w:lang w:val="de-DE"/>
        </w:rPr>
        <w:t xml:space="preserve"> des Europäischen Standards der technischen Vorschriften für Binnenschiffe in der jeweils geltenden Fassung entsprechen</w:t>
      </w:r>
      <w:r w:rsidR="000F55A1">
        <w:rPr>
          <w:sz w:val="18"/>
          <w:vertAlign w:val="superscript"/>
          <w:lang w:val="de-DE"/>
        </w:rPr>
        <w:t xml:space="preserve"> </w:t>
      </w:r>
      <w:r w:rsidR="000F55A1" w:rsidRPr="0001227A">
        <w:rPr>
          <w:sz w:val="18"/>
          <w:vertAlign w:val="superscript"/>
          <w:lang w:val="de-DE"/>
        </w:rPr>
        <w:footnoteReference w:customMarkFollows="1" w:id="2"/>
        <w:t>*</w:t>
      </w:r>
      <w:r w:rsidR="000F55A1">
        <w:rPr>
          <w:lang w:val="de-DE"/>
        </w:rPr>
        <w:t>.“.</w:t>
      </w:r>
    </w:p>
    <w:p w14:paraId="73EFDCFC" w14:textId="77777777" w:rsidR="000F55A1" w:rsidRDefault="000F55A1" w:rsidP="000F55A1">
      <w:pPr>
        <w:tabs>
          <w:tab w:val="left" w:pos="1985"/>
        </w:tabs>
        <w:spacing w:after="120"/>
        <w:ind w:left="1134" w:right="1134"/>
        <w:jc w:val="both"/>
        <w:rPr>
          <w:lang w:val="de-DE"/>
        </w:rPr>
      </w:pPr>
      <w:r>
        <w:rPr>
          <w:i/>
          <w:lang w:val="de-DE"/>
        </w:rPr>
        <w:t>(Referenzdokument: ECE/TRANS/WP.15/AC.2/2017/17 wie durch informelles Dokument INF.28 geändert)</w:t>
      </w:r>
    </w:p>
    <w:p w14:paraId="07CDE1E0" w14:textId="3708B486" w:rsidR="00E25BF9" w:rsidRDefault="00E25BF9" w:rsidP="00E25BF9">
      <w:pPr>
        <w:spacing w:after="120"/>
        <w:ind w:left="1134" w:right="1134"/>
        <w:jc w:val="both"/>
        <w:rPr>
          <w:lang w:val="de-DE"/>
        </w:rPr>
      </w:pPr>
      <w:r>
        <w:rPr>
          <w:lang w:val="de-DE"/>
        </w:rPr>
        <w:t>7.1.4.4.2</w:t>
      </w:r>
      <w:r>
        <w:rPr>
          <w:lang w:val="de-DE"/>
        </w:rPr>
        <w:tab/>
        <w:t>Der erste Anstrich erhält folgenden Wortlaut: „- Geschlossene Container;“.</w:t>
      </w:r>
    </w:p>
    <w:p w14:paraId="005F11F7" w14:textId="77777777" w:rsidR="00E25BF9" w:rsidRDefault="00E25BF9" w:rsidP="00E25BF9">
      <w:pPr>
        <w:spacing w:after="120"/>
        <w:ind w:left="1134" w:right="1134"/>
        <w:jc w:val="both"/>
        <w:rPr>
          <w:i/>
          <w:lang w:val="de-DE"/>
        </w:rPr>
      </w:pPr>
      <w:r>
        <w:rPr>
          <w:i/>
          <w:lang w:val="de-DE"/>
        </w:rPr>
        <w:t>(Referenzdokument: Informelles Dokument INF.5)</w:t>
      </w:r>
    </w:p>
    <w:p w14:paraId="4579EC16" w14:textId="5998546E" w:rsidR="001F2CBA" w:rsidRPr="0001227A" w:rsidRDefault="001F2CBA" w:rsidP="00E25BF9">
      <w:pPr>
        <w:keepNext/>
        <w:keepLines/>
        <w:tabs>
          <w:tab w:val="right" w:pos="851"/>
        </w:tabs>
        <w:spacing w:before="360" w:after="240" w:line="270" w:lineRule="exact"/>
        <w:ind w:left="1134" w:right="1134" w:hanging="1134"/>
        <w:rPr>
          <w:b/>
          <w:sz w:val="24"/>
          <w:lang w:val="de-DE"/>
        </w:rPr>
      </w:pPr>
      <w:r w:rsidRPr="0001227A">
        <w:rPr>
          <w:b/>
          <w:sz w:val="24"/>
          <w:lang w:val="de-DE"/>
        </w:rPr>
        <w:tab/>
      </w:r>
      <w:r w:rsidRPr="0001227A">
        <w:rPr>
          <w:b/>
          <w:sz w:val="24"/>
          <w:lang w:val="de-DE"/>
        </w:rPr>
        <w:tab/>
      </w:r>
      <w:r w:rsidR="00E25BF9" w:rsidRPr="00E25BF9">
        <w:rPr>
          <w:b/>
          <w:sz w:val="24"/>
          <w:lang w:val="de-DE"/>
        </w:rPr>
        <w:t>Kapitel 7.2</w:t>
      </w:r>
    </w:p>
    <w:p w14:paraId="6D1C5969" w14:textId="77777777" w:rsidR="00E25BF9" w:rsidRDefault="00E25BF9" w:rsidP="00E25BF9">
      <w:pPr>
        <w:tabs>
          <w:tab w:val="left" w:pos="1985"/>
        </w:tabs>
        <w:spacing w:after="120"/>
        <w:ind w:left="1134" w:right="1134"/>
        <w:jc w:val="both"/>
        <w:rPr>
          <w:lang w:val="de-DE"/>
        </w:rPr>
      </w:pPr>
      <w:r>
        <w:rPr>
          <w:lang w:val="de-DE"/>
        </w:rPr>
        <w:t>7.2.3.31.1</w:t>
      </w:r>
      <w:r>
        <w:rPr>
          <w:lang w:val="de-DE"/>
        </w:rPr>
        <w:tab/>
        <w:t>Erhält folgenden Wortlaut:</w:t>
      </w:r>
    </w:p>
    <w:p w14:paraId="739F0F3F" w14:textId="77777777" w:rsidR="00E25BF9" w:rsidRDefault="00E25BF9" w:rsidP="00E25BF9">
      <w:pPr>
        <w:pStyle w:val="SingleTxtG"/>
        <w:rPr>
          <w:lang w:val="de-DE"/>
        </w:rPr>
      </w:pPr>
      <w:r>
        <w:rPr>
          <w:lang w:val="de-DE"/>
        </w:rPr>
        <w:t>„Es ist verboten, Motoren zu verwenden, die mit Kraftstoff mit einem Flammpunkt von 55 °C oder darunter betrieben werden (z. B. Benzinmotoren). Diese Vorschrift gilt nicht für</w:t>
      </w:r>
    </w:p>
    <w:p w14:paraId="3818D8B3" w14:textId="77777777" w:rsidR="00E25BF9" w:rsidRDefault="00E25BF9" w:rsidP="00E25BF9">
      <w:pPr>
        <w:pStyle w:val="SingleTxtG"/>
        <w:rPr>
          <w:lang w:val="de-DE"/>
        </w:rPr>
      </w:pPr>
      <w:r>
        <w:rPr>
          <w:lang w:val="de-DE"/>
        </w:rPr>
        <w:t>- benzinbetriebene Außenbordmotoren von Beibooten;</w:t>
      </w:r>
    </w:p>
    <w:p w14:paraId="2C3E2BC3" w14:textId="05FB4369" w:rsidR="00E25BF9" w:rsidRDefault="00E25BF9" w:rsidP="00E25BF9">
      <w:pPr>
        <w:pStyle w:val="SingleTxtG"/>
        <w:rPr>
          <w:lang w:val="de-DE"/>
        </w:rPr>
      </w:pPr>
      <w:r>
        <w:rPr>
          <w:lang w:val="de-DE"/>
        </w:rPr>
        <w:t xml:space="preserve">- Antriebs- und Hilfssysteme, die den Anforderungen des Kapitels 30 und der Anlage 8 Abschnitt </w:t>
      </w:r>
      <w:r w:rsidR="0009541D">
        <w:rPr>
          <w:lang w:val="de-DE"/>
        </w:rPr>
        <w:t>1</w:t>
      </w:r>
      <w:r>
        <w:rPr>
          <w:lang w:val="de-DE"/>
        </w:rPr>
        <w:t xml:space="preserve"> des Europäischen Standards der technischen Vorschriften für Binnenschiffe (ES-TRIN) in der jeweils geltenden Fassung entsprechen.</w:t>
      </w:r>
      <w:r>
        <w:rPr>
          <w:vertAlign w:val="superscript"/>
          <w:lang w:val="de-DE"/>
        </w:rPr>
        <w:t xml:space="preserve"> </w:t>
      </w:r>
      <w:r w:rsidRPr="0001227A">
        <w:rPr>
          <w:vertAlign w:val="superscript"/>
          <w:lang w:val="de-DE"/>
        </w:rPr>
        <w:t>*</w:t>
      </w:r>
      <w:r>
        <w:rPr>
          <w:lang w:val="de-DE"/>
        </w:rPr>
        <w:t>“.</w:t>
      </w:r>
    </w:p>
    <w:p w14:paraId="68219E6C" w14:textId="77777777" w:rsidR="00E25BF9" w:rsidRDefault="00E25BF9" w:rsidP="00E25BF9">
      <w:pPr>
        <w:spacing w:after="240"/>
        <w:ind w:left="1134" w:right="1134"/>
        <w:jc w:val="both"/>
        <w:rPr>
          <w:i/>
          <w:lang w:val="de-DE"/>
        </w:rPr>
      </w:pPr>
      <w:r>
        <w:rPr>
          <w:i/>
          <w:lang w:val="de-DE"/>
        </w:rPr>
        <w:t>(Referenzdokument: ECE/TRANS/WP.15/AC.2/2017/17 wie durch informelles Dokument INF.28 geändert)</w:t>
      </w:r>
    </w:p>
    <w:p w14:paraId="2E54CCA6" w14:textId="77777777" w:rsidR="00E25BF9" w:rsidRDefault="00E25BF9" w:rsidP="00E25BF9">
      <w:pPr>
        <w:spacing w:before="240" w:after="120"/>
        <w:ind w:left="1134" w:right="1134"/>
        <w:jc w:val="both"/>
        <w:rPr>
          <w:b/>
          <w:sz w:val="24"/>
          <w:lang w:val="de-DE"/>
        </w:rPr>
      </w:pPr>
      <w:r>
        <w:rPr>
          <w:b/>
          <w:sz w:val="24"/>
          <w:lang w:val="de-DE"/>
        </w:rPr>
        <w:t>Kapitel 9.1</w:t>
      </w:r>
    </w:p>
    <w:p w14:paraId="063BC5AA" w14:textId="77777777" w:rsidR="00E25BF9" w:rsidRDefault="00E25BF9" w:rsidP="00E25BF9">
      <w:pPr>
        <w:tabs>
          <w:tab w:val="left" w:pos="2268"/>
        </w:tabs>
        <w:spacing w:after="120"/>
        <w:ind w:left="1134" w:right="1134"/>
        <w:jc w:val="both"/>
        <w:rPr>
          <w:lang w:val="de-DE"/>
        </w:rPr>
      </w:pPr>
      <w:r>
        <w:rPr>
          <w:lang w:val="de-DE"/>
        </w:rPr>
        <w:t>9.1.0.31.1</w:t>
      </w:r>
      <w:r>
        <w:rPr>
          <w:lang w:val="de-DE"/>
        </w:rPr>
        <w:tab/>
        <w:t>Folgenden letzten Satz hinzufügen:</w:t>
      </w:r>
    </w:p>
    <w:p w14:paraId="3E1AB791" w14:textId="5AC8E96B" w:rsidR="00E25BF9" w:rsidRDefault="00E25BF9" w:rsidP="00E25BF9">
      <w:pPr>
        <w:spacing w:after="120"/>
        <w:ind w:left="1134" w:right="1134"/>
        <w:jc w:val="both"/>
        <w:rPr>
          <w:lang w:val="de-DE"/>
        </w:rPr>
      </w:pPr>
      <w:r>
        <w:rPr>
          <w:lang w:val="de-DE"/>
        </w:rPr>
        <w:t xml:space="preserve">„Diese Vorschrift gilt nicht für Verbrennungsmotoren, die Bestandteil von Antriebs- und Hilfssystemen sind. Diese Systeme müssen den Anforderungen des Kapitels 30 und der Anlage 8 Abschnitt </w:t>
      </w:r>
      <w:r w:rsidR="0009541D">
        <w:rPr>
          <w:lang w:val="de-DE"/>
        </w:rPr>
        <w:t>1</w:t>
      </w:r>
      <w:r>
        <w:rPr>
          <w:lang w:val="de-DE"/>
        </w:rPr>
        <w:t xml:space="preserve"> des Europäischen Standards der technischen Vorschriften für Binnenschiffe (ES-TRIN) in der jeweils geltenden Fassung entsprechen</w:t>
      </w:r>
      <w:r w:rsidRPr="0001227A">
        <w:rPr>
          <w:vertAlign w:val="superscript"/>
          <w:lang w:val="de-DE"/>
        </w:rPr>
        <w:t>*</w:t>
      </w:r>
      <w:r>
        <w:rPr>
          <w:lang w:val="de-DE"/>
        </w:rPr>
        <w:t>.“.</w:t>
      </w:r>
    </w:p>
    <w:p w14:paraId="220100FB" w14:textId="77777777" w:rsidR="00E25BF9" w:rsidRDefault="00E25BF9" w:rsidP="00E25BF9">
      <w:pPr>
        <w:spacing w:after="120"/>
        <w:ind w:left="1134" w:right="1134"/>
        <w:jc w:val="both"/>
        <w:rPr>
          <w:lang w:val="de-DE"/>
        </w:rPr>
      </w:pPr>
      <w:r>
        <w:rPr>
          <w:i/>
          <w:lang w:val="de-DE"/>
        </w:rPr>
        <w:t>(Referenzdokument: ECE/TRANS/WP.15/AC.2/2017/17 wie durch informelles Dokument INF.28 geändert)</w:t>
      </w:r>
    </w:p>
    <w:p w14:paraId="4DA2E4A3" w14:textId="1BFD515D" w:rsidR="001F2CBA" w:rsidRPr="0001227A" w:rsidRDefault="001F2CBA" w:rsidP="00627BEE">
      <w:pPr>
        <w:keepNext/>
        <w:keepLines/>
        <w:tabs>
          <w:tab w:val="right" w:pos="851"/>
        </w:tabs>
        <w:spacing w:before="360" w:after="240" w:line="270" w:lineRule="exact"/>
        <w:ind w:left="1134" w:right="1134" w:hanging="1134"/>
        <w:rPr>
          <w:b/>
          <w:sz w:val="24"/>
          <w:lang w:val="de-DE"/>
        </w:rPr>
      </w:pPr>
      <w:r w:rsidRPr="0001227A">
        <w:rPr>
          <w:b/>
          <w:sz w:val="24"/>
          <w:lang w:val="de-DE"/>
        </w:rPr>
        <w:tab/>
      </w:r>
      <w:r w:rsidRPr="0001227A">
        <w:rPr>
          <w:b/>
          <w:sz w:val="24"/>
          <w:lang w:val="de-DE"/>
        </w:rPr>
        <w:tab/>
      </w:r>
      <w:r w:rsidR="00627BEE" w:rsidRPr="00627BEE">
        <w:rPr>
          <w:b/>
          <w:sz w:val="24"/>
          <w:lang w:val="de-DE"/>
        </w:rPr>
        <w:t>Kapitel 9.3</w:t>
      </w:r>
    </w:p>
    <w:p w14:paraId="7D2A1FC5" w14:textId="0ED18394" w:rsidR="001F2CBA" w:rsidRPr="0001227A" w:rsidRDefault="001F2CBA" w:rsidP="001F2CBA">
      <w:pPr>
        <w:tabs>
          <w:tab w:val="left" w:pos="1985"/>
        </w:tabs>
        <w:spacing w:after="120"/>
        <w:ind w:left="1134" w:right="1134"/>
        <w:jc w:val="both"/>
        <w:rPr>
          <w:lang w:val="de-DE"/>
        </w:rPr>
      </w:pPr>
      <w:r w:rsidRPr="0001227A">
        <w:rPr>
          <w:lang w:val="de-DE"/>
        </w:rPr>
        <w:t xml:space="preserve">9.3.1.31.1, 9.3.2.31.1 </w:t>
      </w:r>
      <w:r w:rsidR="00627BEE" w:rsidRPr="0001227A">
        <w:rPr>
          <w:lang w:val="de-DE"/>
        </w:rPr>
        <w:t>u</w:t>
      </w:r>
      <w:r w:rsidRPr="0001227A">
        <w:rPr>
          <w:lang w:val="de-DE"/>
        </w:rPr>
        <w:t>nd 9.3.3.31.1</w:t>
      </w:r>
      <w:r w:rsidRPr="0001227A">
        <w:rPr>
          <w:lang w:val="de-DE"/>
        </w:rPr>
        <w:tab/>
      </w:r>
      <w:r w:rsidR="00627BEE">
        <w:rPr>
          <w:lang w:val="de-DE"/>
        </w:rPr>
        <w:t>erhalten folgenden Wortlaut:</w:t>
      </w:r>
    </w:p>
    <w:p w14:paraId="2406C726" w14:textId="3266123D" w:rsidR="00611A7C" w:rsidRDefault="00611A7C" w:rsidP="00611A7C">
      <w:pPr>
        <w:pStyle w:val="SingleTxtG"/>
        <w:rPr>
          <w:lang w:val="de-DE"/>
        </w:rPr>
      </w:pPr>
      <w:r>
        <w:rPr>
          <w:lang w:val="de-DE"/>
        </w:rPr>
        <w:t xml:space="preserve">„Es dürfen nur Verbrennungsmotoren eingebaut sein, die mit Kraftstoff betrieben werden, der einen Flammpunkt von mehr als 55 ºC hat. Diese Vorschrift gilt nicht für Verbrennungsmotoren, die Bestandteil von Antriebs- und Hilfssystemen sind. Diese Systeme müssen den Anforderungen des Kapitels 30 und der Anlage 8 </w:t>
      </w:r>
      <w:r w:rsidR="002C12CE">
        <w:rPr>
          <w:lang w:val="de-DE"/>
        </w:rPr>
        <w:t xml:space="preserve">Abschnitt </w:t>
      </w:r>
      <w:r w:rsidR="0009541D">
        <w:rPr>
          <w:lang w:val="de-DE"/>
        </w:rPr>
        <w:t>1</w:t>
      </w:r>
      <w:r w:rsidR="002C12CE">
        <w:rPr>
          <w:lang w:val="de-DE"/>
        </w:rPr>
        <w:t xml:space="preserve"> </w:t>
      </w:r>
      <w:r>
        <w:rPr>
          <w:lang w:val="de-DE"/>
        </w:rPr>
        <w:t>des Europäischen Standards der technischen Vorschriften für Binnenschiffe (ES-TRIN) in der jeweils geltenden Fassung entsprechen</w:t>
      </w:r>
      <w:r w:rsidR="001D5C1F">
        <w:rPr>
          <w:lang w:val="de-DE"/>
        </w:rPr>
        <w:t>*</w:t>
      </w:r>
      <w:r>
        <w:rPr>
          <w:lang w:val="de-DE"/>
        </w:rPr>
        <w:t>.“.</w:t>
      </w:r>
    </w:p>
    <w:p w14:paraId="3312B6CD" w14:textId="77777777" w:rsidR="00611A7C" w:rsidRDefault="00611A7C" w:rsidP="00611A7C">
      <w:pPr>
        <w:spacing w:after="120"/>
        <w:ind w:left="1134" w:right="1134"/>
        <w:jc w:val="both"/>
        <w:rPr>
          <w:i/>
          <w:lang w:val="de-DE"/>
        </w:rPr>
      </w:pPr>
      <w:r>
        <w:rPr>
          <w:i/>
          <w:lang w:val="de-DE"/>
        </w:rPr>
        <w:t>(Referenzdokument: ECE/TRANS/WP.15/AC.2/2017/17 wie durch informelles Dokument INF.28 geändert)</w:t>
      </w:r>
    </w:p>
    <w:p w14:paraId="74845571" w14:textId="3E8F9CA0" w:rsidR="009A75CB" w:rsidRPr="00C467B4" w:rsidRDefault="003000A8" w:rsidP="00C467B4">
      <w:pPr>
        <w:spacing w:after="120"/>
        <w:ind w:left="1134" w:right="1134"/>
        <w:jc w:val="center"/>
        <w:rPr>
          <w:i/>
          <w:lang w:val="de-DE"/>
        </w:rPr>
      </w:pPr>
      <w:r>
        <w:rPr>
          <w:i/>
          <w:lang w:val="de-DE"/>
        </w:rPr>
        <w:t>***</w:t>
      </w:r>
    </w:p>
    <w:sectPr w:rsidR="009A75CB" w:rsidRPr="00C467B4" w:rsidSect="009A0B9C">
      <w:headerReference w:type="even" r:id="rId9"/>
      <w:headerReference w:type="default" r:id="rId10"/>
      <w:footerReference w:type="even" r:id="rId11"/>
      <w:footerReference w:type="default" r:id="rId12"/>
      <w:endnotePr>
        <w:numFmt w:val="decimal"/>
      </w:endnotePr>
      <w:type w:val="continuous"/>
      <w:pgSz w:w="11907" w:h="16840" w:code="9"/>
      <w:pgMar w:top="1134" w:right="1134" w:bottom="1247"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B436E" w14:textId="77777777" w:rsidR="0028558D" w:rsidRPr="0034396E" w:rsidRDefault="0028558D" w:rsidP="0034396E">
      <w:pPr>
        <w:pStyle w:val="Footer"/>
      </w:pPr>
    </w:p>
  </w:endnote>
  <w:endnote w:type="continuationSeparator" w:id="0">
    <w:p w14:paraId="5188AA02" w14:textId="77777777" w:rsidR="0028558D" w:rsidRPr="0034396E" w:rsidRDefault="0028558D" w:rsidP="0034396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1781" w14:textId="2E2BF618" w:rsidR="00D539E4" w:rsidRPr="0001227A" w:rsidRDefault="00D539E4" w:rsidP="0001227A">
    <w:pPr>
      <w:pStyle w:val="Footer"/>
      <w:jc w:val="right"/>
      <w:rPr>
        <w:lang w:val="fr-FR"/>
      </w:rPr>
    </w:pPr>
    <w:r>
      <w:rPr>
        <w:rFonts w:ascii="Arial" w:hAnsi="Arial"/>
        <w:noProof/>
        <w:sz w:val="12"/>
        <w:szCs w:val="24"/>
        <w:lang w:val="fr-FR"/>
      </w:rPr>
      <w:t>m</w:t>
    </w:r>
    <w:r w:rsidRPr="0001227A">
      <w:rPr>
        <w:rFonts w:ascii="Arial" w:hAnsi="Arial"/>
        <w:noProof/>
        <w:sz w:val="12"/>
        <w:szCs w:val="24"/>
        <w:lang w:val="fr-FR"/>
      </w:rPr>
      <w:t>m</w:t>
    </w:r>
    <w:r>
      <w:rPr>
        <w:rFonts w:ascii="Arial" w:hAnsi="Arial"/>
        <w:noProof/>
        <w:sz w:val="12"/>
        <w:szCs w:val="24"/>
        <w:lang w:val="fr-FR"/>
      </w:rPr>
      <w:t>_ba</w:t>
    </w:r>
    <w:r w:rsidRPr="0001227A">
      <w:rPr>
        <w:rFonts w:ascii="Arial" w:hAnsi="Arial"/>
        <w:noProof/>
        <w:sz w:val="12"/>
        <w:szCs w:val="24"/>
        <w:lang w:val="fr-FR"/>
      </w:rPr>
      <w:t>/adn_wp15_ac2_2017_62de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53F1" w14:textId="7DEE12B2" w:rsidR="00D539E4" w:rsidRPr="0001227A" w:rsidRDefault="00D539E4" w:rsidP="0001227A">
    <w:pPr>
      <w:pStyle w:val="Footer"/>
      <w:jc w:val="right"/>
      <w:rPr>
        <w:lang w:val="fr-FR"/>
      </w:rPr>
    </w:pPr>
    <w:r>
      <w:rPr>
        <w:rFonts w:ascii="Arial" w:hAnsi="Arial"/>
        <w:noProof/>
        <w:sz w:val="12"/>
        <w:szCs w:val="24"/>
        <w:lang w:val="fr-FR"/>
      </w:rPr>
      <w:t>m</w:t>
    </w:r>
    <w:r w:rsidRPr="0001227A">
      <w:rPr>
        <w:rFonts w:ascii="Arial" w:hAnsi="Arial"/>
        <w:noProof/>
        <w:sz w:val="12"/>
        <w:szCs w:val="24"/>
        <w:lang w:val="fr-FR"/>
      </w:rPr>
      <w:t>m</w:t>
    </w:r>
    <w:r>
      <w:rPr>
        <w:rFonts w:ascii="Arial" w:hAnsi="Arial"/>
        <w:noProof/>
        <w:sz w:val="12"/>
        <w:szCs w:val="24"/>
        <w:lang w:val="fr-FR"/>
      </w:rPr>
      <w:t>_ba</w:t>
    </w:r>
    <w:r w:rsidRPr="0001227A">
      <w:rPr>
        <w:rFonts w:ascii="Arial" w:hAnsi="Arial"/>
        <w:noProof/>
        <w:sz w:val="12"/>
        <w:szCs w:val="24"/>
        <w:lang w:val="fr-FR"/>
      </w:rPr>
      <w:t>/adn_wp15_ac2_2017_62de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38DE" w14:textId="77777777" w:rsidR="0028558D" w:rsidRPr="0034396E" w:rsidRDefault="0028558D" w:rsidP="0034396E">
      <w:pPr>
        <w:tabs>
          <w:tab w:val="right" w:pos="2155"/>
        </w:tabs>
        <w:spacing w:after="80" w:line="240" w:lineRule="auto"/>
        <w:ind w:left="680"/>
      </w:pPr>
      <w:r>
        <w:rPr>
          <w:u w:val="single"/>
        </w:rPr>
        <w:tab/>
      </w:r>
    </w:p>
  </w:footnote>
  <w:footnote w:type="continuationSeparator" w:id="0">
    <w:p w14:paraId="533DCB78" w14:textId="77777777" w:rsidR="0028558D" w:rsidRPr="0034396E" w:rsidRDefault="0028558D" w:rsidP="0034396E">
      <w:pPr>
        <w:tabs>
          <w:tab w:val="right" w:pos="2155"/>
        </w:tabs>
        <w:spacing w:after="80" w:line="240" w:lineRule="auto"/>
        <w:ind w:left="680"/>
      </w:pPr>
      <w:r>
        <w:rPr>
          <w:u w:val="single"/>
        </w:rPr>
        <w:tab/>
      </w:r>
    </w:p>
  </w:footnote>
  <w:footnote w:id="1">
    <w:p w14:paraId="780A6F4B" w14:textId="35F30BF4" w:rsidR="00D539E4" w:rsidRPr="0001227A" w:rsidRDefault="00D539E4" w:rsidP="00323160">
      <w:pPr>
        <w:pStyle w:val="FootnoteText"/>
        <w:rPr>
          <w:lang w:val="de-DE"/>
        </w:rPr>
      </w:pPr>
      <w:r w:rsidRPr="0001227A">
        <w:rPr>
          <w:rStyle w:val="FootnoteReference"/>
          <w:lang w:val="de-DE"/>
        </w:rPr>
        <w:tab/>
      </w:r>
      <w:r w:rsidRPr="0001227A">
        <w:rPr>
          <w:rStyle w:val="FootnoteReference"/>
          <w:sz w:val="20"/>
          <w:vertAlign w:val="baseline"/>
          <w:lang w:val="de-DE"/>
        </w:rPr>
        <w:t>*</w:t>
      </w:r>
      <w:r w:rsidRPr="0001227A">
        <w:rPr>
          <w:rStyle w:val="FootnoteReference"/>
          <w:sz w:val="20"/>
          <w:vertAlign w:val="baseline"/>
          <w:lang w:val="de-DE"/>
        </w:rPr>
        <w:tab/>
      </w:r>
      <w:r w:rsidRPr="00323160">
        <w:rPr>
          <w:lang w:val="de-DE"/>
        </w:rPr>
        <w:t>Von der UN-ECE in Englisch, Französisch und Russisch unter dem Aktenzeichen CCNR/ZKR/ADN/WP.15/AC.2/62 verteilt.</w:t>
      </w:r>
    </w:p>
  </w:footnote>
  <w:footnote w:id="2">
    <w:p w14:paraId="53FDA93B" w14:textId="312999BC" w:rsidR="00D539E4" w:rsidRPr="0001227A" w:rsidRDefault="00D539E4" w:rsidP="0009541D">
      <w:pPr>
        <w:pStyle w:val="FootnoteText"/>
        <w:jc w:val="both"/>
        <w:rPr>
          <w:color w:val="242424"/>
          <w:sz w:val="20"/>
          <w:shd w:val="clear" w:color="auto" w:fill="FFFFFF"/>
          <w:lang w:val="de-DE"/>
        </w:rPr>
      </w:pPr>
      <w:r w:rsidRPr="0001227A">
        <w:rPr>
          <w:sz w:val="22"/>
          <w:szCs w:val="22"/>
          <w:lang w:val="de-DE"/>
        </w:rPr>
        <w:tab/>
      </w:r>
      <w:r w:rsidRPr="0001227A">
        <w:rPr>
          <w:rStyle w:val="FootnoteReference"/>
          <w:sz w:val="22"/>
          <w:szCs w:val="22"/>
          <w:lang w:val="de-DE"/>
        </w:rPr>
        <w:t>*</w:t>
      </w:r>
      <w:r w:rsidRPr="0001227A">
        <w:rPr>
          <w:sz w:val="22"/>
          <w:szCs w:val="22"/>
          <w:lang w:val="de-DE"/>
        </w:rPr>
        <w:t xml:space="preserve"> </w:t>
      </w:r>
      <w:r w:rsidRPr="0001227A">
        <w:rPr>
          <w:lang w:val="de-DE"/>
        </w:rPr>
        <w:tab/>
      </w:r>
      <w:r w:rsidRPr="00B33B11">
        <w:rPr>
          <w:szCs w:val="18"/>
          <w:lang w:val="de-DE"/>
        </w:rPr>
        <w:t xml:space="preserve">Erhältlich auf der Website des Europäischen Ausschusses zur Ausarbeitung von Standards in der Binnenschifffahrt (CESNI), </w:t>
      </w:r>
      <w:hyperlink r:id="rId1" w:history="1">
        <w:r w:rsidRPr="00B33B11">
          <w:rPr>
            <w:rStyle w:val="Hyperlink"/>
            <w:szCs w:val="18"/>
            <w:shd w:val="clear" w:color="auto" w:fill="FFFFFF"/>
            <w:lang w:val="de-DE"/>
          </w:rPr>
          <w:t>https://www.cesni.eu/de/documents/es-trin/</w:t>
        </w:r>
      </w:hyperlink>
      <w:r w:rsidRPr="00B33B11">
        <w:rPr>
          <w:lang w:val="de-DE"/>
        </w:rPr>
        <w:t xml:space="preserve"> [diesbezüglich sei auch auf die gleichwertigen Vorschriften der </w:t>
      </w:r>
      <w:r w:rsidRPr="00B33B11">
        <w:rPr>
          <w:color w:val="000000"/>
          <w:lang w:val="de-DE"/>
        </w:rPr>
        <w:t xml:space="preserve">Empfehlungen der UN-ECE zu harmonisierten europaweiten technischen Anforderungen für Binnenschiffe (Resolution Nr. 61 des Binnenverkehrsausschusses - Arbeitsgruppe „Binnenschifffahrt“ in revidierter und geänderter Fassung verwiesen, </w:t>
      </w:r>
      <w:hyperlink r:id="rId2" w:history="1">
        <w:r w:rsidRPr="00B33B11">
          <w:rPr>
            <w:rStyle w:val="Hyperlink"/>
            <w:szCs w:val="18"/>
            <w:shd w:val="clear" w:color="auto" w:fill="FFFFFF"/>
            <w:lang w:val="de-DE"/>
          </w:rPr>
          <w:t>http://www.unece.org/trans/main/sc3/sc3res.html</w:t>
        </w:r>
      </w:hyperlink>
      <w:r w:rsidRPr="00B33B11">
        <w:rPr>
          <w:color w:val="242424"/>
          <w:szCs w:val="18"/>
          <w:shd w:val="clear" w:color="auto" w:fill="FFFFFF"/>
          <w:lang w:val="de-DE"/>
        </w:rPr>
        <w:t>)</w:t>
      </w:r>
      <w:r w:rsidRPr="00B33B11">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6F3A" w14:textId="77777777" w:rsidR="00D539E4" w:rsidRPr="0001227A" w:rsidRDefault="00D539E4" w:rsidP="0001227A">
    <w:pPr>
      <w:spacing w:line="240" w:lineRule="auto"/>
      <w:rPr>
        <w:rFonts w:ascii="Arial" w:hAnsi="Arial"/>
        <w:snapToGrid w:val="0"/>
        <w:sz w:val="16"/>
        <w:szCs w:val="16"/>
        <w:lang w:val="en-US" w:eastAsia="fr-FR"/>
      </w:rPr>
    </w:pPr>
    <w:r w:rsidRPr="0001227A">
      <w:rPr>
        <w:rFonts w:ascii="Arial" w:hAnsi="Arial"/>
        <w:snapToGrid w:val="0"/>
        <w:sz w:val="16"/>
        <w:szCs w:val="16"/>
        <w:lang w:val="en-US" w:eastAsia="fr-FR"/>
      </w:rPr>
      <w:t>CCNR-ZKR/ADN/WP.15/AC.2/2017/</w:t>
    </w:r>
    <w:r>
      <w:rPr>
        <w:rFonts w:ascii="Arial" w:hAnsi="Arial"/>
        <w:snapToGrid w:val="0"/>
        <w:sz w:val="16"/>
        <w:szCs w:val="16"/>
        <w:lang w:val="en-US" w:eastAsia="fr-FR"/>
      </w:rPr>
      <w:t>62</w:t>
    </w:r>
  </w:p>
  <w:p w14:paraId="6F46ABEA" w14:textId="0DEEBE5E" w:rsidR="00D539E4" w:rsidRPr="0001227A" w:rsidRDefault="00D539E4" w:rsidP="0001227A">
    <w:pPr>
      <w:spacing w:line="240" w:lineRule="auto"/>
    </w:pPr>
    <w:r w:rsidRPr="0001227A">
      <w:rPr>
        <w:rFonts w:ascii="Arial" w:hAnsi="Arial"/>
        <w:snapToGrid w:val="0"/>
        <w:sz w:val="16"/>
        <w:szCs w:val="16"/>
        <w:lang w:eastAsia="fr-FR"/>
      </w:rPr>
      <w:t xml:space="preserve">Seite </w:t>
    </w:r>
    <w:r w:rsidRPr="0001227A">
      <w:rPr>
        <w:rFonts w:ascii="Arial" w:hAnsi="Arial"/>
        <w:snapToGrid w:val="0"/>
        <w:sz w:val="16"/>
        <w:szCs w:val="16"/>
        <w:lang w:eastAsia="fr-FR"/>
      </w:rPr>
      <w:fldChar w:fldCharType="begin"/>
    </w:r>
    <w:r w:rsidRPr="0001227A">
      <w:rPr>
        <w:rFonts w:ascii="Arial" w:hAnsi="Arial"/>
        <w:snapToGrid w:val="0"/>
        <w:sz w:val="16"/>
        <w:szCs w:val="16"/>
        <w:lang w:eastAsia="fr-FR"/>
      </w:rPr>
      <w:instrText xml:space="preserve"> PAGE  \* MERGEFORMAT </w:instrText>
    </w:r>
    <w:r w:rsidRPr="0001227A">
      <w:rPr>
        <w:rFonts w:ascii="Arial" w:hAnsi="Arial"/>
        <w:snapToGrid w:val="0"/>
        <w:sz w:val="16"/>
        <w:szCs w:val="16"/>
        <w:lang w:eastAsia="fr-FR"/>
      </w:rPr>
      <w:fldChar w:fldCharType="separate"/>
    </w:r>
    <w:r w:rsidR="00F32108">
      <w:rPr>
        <w:rFonts w:ascii="Arial" w:hAnsi="Arial"/>
        <w:noProof/>
        <w:snapToGrid w:val="0"/>
        <w:sz w:val="16"/>
        <w:szCs w:val="16"/>
        <w:lang w:eastAsia="fr-FR"/>
      </w:rPr>
      <w:t>2</w:t>
    </w:r>
    <w:r w:rsidRPr="0001227A">
      <w:rPr>
        <w:rFonts w:ascii="Arial"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DC9A" w14:textId="5936BD3B" w:rsidR="00D539E4" w:rsidRPr="0001227A" w:rsidRDefault="00D539E4" w:rsidP="0001227A">
    <w:pPr>
      <w:spacing w:line="240" w:lineRule="auto"/>
      <w:jc w:val="right"/>
      <w:rPr>
        <w:rFonts w:ascii="Arial" w:hAnsi="Arial"/>
        <w:snapToGrid w:val="0"/>
        <w:sz w:val="16"/>
        <w:szCs w:val="16"/>
        <w:lang w:val="en-US" w:eastAsia="fr-FR"/>
      </w:rPr>
    </w:pPr>
    <w:r w:rsidRPr="0001227A">
      <w:rPr>
        <w:rFonts w:ascii="Arial" w:hAnsi="Arial"/>
        <w:snapToGrid w:val="0"/>
        <w:sz w:val="16"/>
        <w:szCs w:val="16"/>
        <w:lang w:val="en-US" w:eastAsia="fr-FR"/>
      </w:rPr>
      <w:t>CCNR-ZKR/ADN/WP.15/AC.2/2017/</w:t>
    </w:r>
    <w:r>
      <w:rPr>
        <w:rFonts w:ascii="Arial" w:hAnsi="Arial"/>
        <w:snapToGrid w:val="0"/>
        <w:sz w:val="16"/>
        <w:szCs w:val="16"/>
        <w:lang w:val="en-US" w:eastAsia="fr-FR"/>
      </w:rPr>
      <w:t>62</w:t>
    </w:r>
  </w:p>
  <w:p w14:paraId="16B4CE19" w14:textId="7A116848" w:rsidR="00D539E4" w:rsidRPr="0001227A" w:rsidRDefault="00D539E4" w:rsidP="0001227A">
    <w:pPr>
      <w:spacing w:line="240" w:lineRule="auto"/>
      <w:jc w:val="right"/>
      <w:rPr>
        <w:rFonts w:ascii="Arial" w:hAnsi="Arial"/>
        <w:snapToGrid w:val="0"/>
        <w:sz w:val="16"/>
        <w:szCs w:val="16"/>
        <w:lang w:eastAsia="fr-FR"/>
      </w:rPr>
    </w:pPr>
    <w:r w:rsidRPr="0001227A">
      <w:rPr>
        <w:rFonts w:ascii="Arial" w:hAnsi="Arial"/>
        <w:snapToGrid w:val="0"/>
        <w:sz w:val="16"/>
        <w:szCs w:val="16"/>
        <w:lang w:eastAsia="fr-FR"/>
      </w:rPr>
      <w:t xml:space="preserve">Seite </w:t>
    </w:r>
    <w:r w:rsidRPr="0001227A">
      <w:rPr>
        <w:rFonts w:ascii="Arial" w:hAnsi="Arial"/>
        <w:snapToGrid w:val="0"/>
        <w:sz w:val="16"/>
        <w:szCs w:val="16"/>
        <w:lang w:eastAsia="fr-FR"/>
      </w:rPr>
      <w:fldChar w:fldCharType="begin"/>
    </w:r>
    <w:r w:rsidRPr="0001227A">
      <w:rPr>
        <w:rFonts w:ascii="Arial" w:hAnsi="Arial"/>
        <w:snapToGrid w:val="0"/>
        <w:sz w:val="16"/>
        <w:szCs w:val="16"/>
        <w:lang w:eastAsia="fr-FR"/>
      </w:rPr>
      <w:instrText xml:space="preserve"> PAGE  \* MERGEFORMAT </w:instrText>
    </w:r>
    <w:r w:rsidRPr="0001227A">
      <w:rPr>
        <w:rFonts w:ascii="Arial" w:hAnsi="Arial"/>
        <w:snapToGrid w:val="0"/>
        <w:sz w:val="16"/>
        <w:szCs w:val="16"/>
        <w:lang w:eastAsia="fr-FR"/>
      </w:rPr>
      <w:fldChar w:fldCharType="separate"/>
    </w:r>
    <w:r w:rsidR="00F32108">
      <w:rPr>
        <w:rFonts w:ascii="Arial" w:hAnsi="Arial"/>
        <w:noProof/>
        <w:snapToGrid w:val="0"/>
        <w:sz w:val="16"/>
        <w:szCs w:val="16"/>
        <w:lang w:eastAsia="fr-FR"/>
      </w:rPr>
      <w:t>19</w:t>
    </w:r>
    <w:r w:rsidRPr="0001227A">
      <w:rPr>
        <w:rFonts w:ascii="Arial"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95052"/>
    <w:multiLevelType w:val="multilevel"/>
    <w:tmpl w:val="92345EBC"/>
    <w:name w:val="WfListTemplate4"/>
    <w:lvl w:ilvl="0">
      <w:start w:val="1"/>
      <w:numFmt w:val="upperLetter"/>
      <w:lvlText w:val="%1."/>
      <w:lvlJc w:val="left"/>
      <w:pPr>
        <w:ind w:left="150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6"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7"/>
  </w:num>
  <w:num w:numId="5">
    <w:abstractNumId w:val="8"/>
  </w:num>
  <w:num w:numId="6">
    <w:abstractNumId w:val="11"/>
  </w:num>
  <w:num w:numId="7">
    <w:abstractNumId w:val="1"/>
  </w:num>
  <w:num w:numId="8">
    <w:abstractNumId w:val="10"/>
  </w:num>
  <w:num w:numId="9">
    <w:abstractNumId w:val="6"/>
  </w:num>
  <w:num w:numId="10">
    <w:abstractNumId w:val="5"/>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31E7"/>
    <w:rsid w:val="00005A50"/>
    <w:rsid w:val="0001227A"/>
    <w:rsid w:val="00015B42"/>
    <w:rsid w:val="000179FD"/>
    <w:rsid w:val="0002302E"/>
    <w:rsid w:val="00024B9E"/>
    <w:rsid w:val="000250E9"/>
    <w:rsid w:val="00025AB8"/>
    <w:rsid w:val="00030A7C"/>
    <w:rsid w:val="00032DAE"/>
    <w:rsid w:val="000340CA"/>
    <w:rsid w:val="00035DBD"/>
    <w:rsid w:val="000376C1"/>
    <w:rsid w:val="00043743"/>
    <w:rsid w:val="00044370"/>
    <w:rsid w:val="00046280"/>
    <w:rsid w:val="00046E92"/>
    <w:rsid w:val="00047610"/>
    <w:rsid w:val="000517E0"/>
    <w:rsid w:val="00052750"/>
    <w:rsid w:val="00087F6B"/>
    <w:rsid w:val="00093170"/>
    <w:rsid w:val="0009541D"/>
    <w:rsid w:val="000A2D3F"/>
    <w:rsid w:val="000B05A3"/>
    <w:rsid w:val="000B222C"/>
    <w:rsid w:val="000B4155"/>
    <w:rsid w:val="000B56D8"/>
    <w:rsid w:val="000C3150"/>
    <w:rsid w:val="000C5757"/>
    <w:rsid w:val="000C796B"/>
    <w:rsid w:val="000D4970"/>
    <w:rsid w:val="000E15A4"/>
    <w:rsid w:val="000E2230"/>
    <w:rsid w:val="000E6711"/>
    <w:rsid w:val="000E69F0"/>
    <w:rsid w:val="000F55A1"/>
    <w:rsid w:val="000F6D5A"/>
    <w:rsid w:val="00101443"/>
    <w:rsid w:val="001131B5"/>
    <w:rsid w:val="00114811"/>
    <w:rsid w:val="00116FE6"/>
    <w:rsid w:val="001205AF"/>
    <w:rsid w:val="0012144C"/>
    <w:rsid w:val="001262A5"/>
    <w:rsid w:val="001262BC"/>
    <w:rsid w:val="0013137A"/>
    <w:rsid w:val="00131674"/>
    <w:rsid w:val="00134986"/>
    <w:rsid w:val="00154B08"/>
    <w:rsid w:val="00154CC5"/>
    <w:rsid w:val="00155D01"/>
    <w:rsid w:val="00175042"/>
    <w:rsid w:val="00175470"/>
    <w:rsid w:val="00183512"/>
    <w:rsid w:val="00185AE7"/>
    <w:rsid w:val="00192D59"/>
    <w:rsid w:val="001A0B19"/>
    <w:rsid w:val="001A14F8"/>
    <w:rsid w:val="001A18AB"/>
    <w:rsid w:val="001A2DFB"/>
    <w:rsid w:val="001A68D0"/>
    <w:rsid w:val="001B0764"/>
    <w:rsid w:val="001C0E29"/>
    <w:rsid w:val="001C3B68"/>
    <w:rsid w:val="001D5338"/>
    <w:rsid w:val="001D5C1F"/>
    <w:rsid w:val="001E1A11"/>
    <w:rsid w:val="001E5136"/>
    <w:rsid w:val="001E69E2"/>
    <w:rsid w:val="001F13AB"/>
    <w:rsid w:val="001F2CBA"/>
    <w:rsid w:val="001F7D96"/>
    <w:rsid w:val="0020566C"/>
    <w:rsid w:val="00213E17"/>
    <w:rsid w:val="002277F3"/>
    <w:rsid w:val="00227E98"/>
    <w:rsid w:val="00231573"/>
    <w:rsid w:val="002326CE"/>
    <w:rsid w:val="002352D5"/>
    <w:rsid w:val="00247E2C"/>
    <w:rsid w:val="00263BA0"/>
    <w:rsid w:val="002654B2"/>
    <w:rsid w:val="00267582"/>
    <w:rsid w:val="002675B0"/>
    <w:rsid w:val="00270AD4"/>
    <w:rsid w:val="002754DC"/>
    <w:rsid w:val="00275FCF"/>
    <w:rsid w:val="002775B6"/>
    <w:rsid w:val="00284821"/>
    <w:rsid w:val="0028558D"/>
    <w:rsid w:val="00293CE4"/>
    <w:rsid w:val="002953A6"/>
    <w:rsid w:val="00296A82"/>
    <w:rsid w:val="002A003E"/>
    <w:rsid w:val="002A26E0"/>
    <w:rsid w:val="002A30D5"/>
    <w:rsid w:val="002A4274"/>
    <w:rsid w:val="002B16D2"/>
    <w:rsid w:val="002B1FD5"/>
    <w:rsid w:val="002B5AA0"/>
    <w:rsid w:val="002C12CE"/>
    <w:rsid w:val="002C47E2"/>
    <w:rsid w:val="002C6272"/>
    <w:rsid w:val="002C68DE"/>
    <w:rsid w:val="002D1BD5"/>
    <w:rsid w:val="002D61FA"/>
    <w:rsid w:val="002D6C53"/>
    <w:rsid w:val="002E2861"/>
    <w:rsid w:val="002E3CAC"/>
    <w:rsid w:val="002F5595"/>
    <w:rsid w:val="002F7070"/>
    <w:rsid w:val="003000A8"/>
    <w:rsid w:val="003020E1"/>
    <w:rsid w:val="00304C40"/>
    <w:rsid w:val="0030552A"/>
    <w:rsid w:val="00310ACB"/>
    <w:rsid w:val="00314C87"/>
    <w:rsid w:val="0031623C"/>
    <w:rsid w:val="003164FB"/>
    <w:rsid w:val="00320260"/>
    <w:rsid w:val="003213C2"/>
    <w:rsid w:val="00323160"/>
    <w:rsid w:val="00323B9E"/>
    <w:rsid w:val="0033045D"/>
    <w:rsid w:val="00333CE4"/>
    <w:rsid w:val="0033418E"/>
    <w:rsid w:val="00334F6A"/>
    <w:rsid w:val="0033561C"/>
    <w:rsid w:val="003362D4"/>
    <w:rsid w:val="00341FDE"/>
    <w:rsid w:val="0034241C"/>
    <w:rsid w:val="00342AC8"/>
    <w:rsid w:val="00342B09"/>
    <w:rsid w:val="0034396E"/>
    <w:rsid w:val="00344689"/>
    <w:rsid w:val="00366143"/>
    <w:rsid w:val="00380023"/>
    <w:rsid w:val="00384EEA"/>
    <w:rsid w:val="00385374"/>
    <w:rsid w:val="003906AE"/>
    <w:rsid w:val="003A195D"/>
    <w:rsid w:val="003A5F9C"/>
    <w:rsid w:val="003B229F"/>
    <w:rsid w:val="003B4550"/>
    <w:rsid w:val="003B699A"/>
    <w:rsid w:val="003C141F"/>
    <w:rsid w:val="003C4339"/>
    <w:rsid w:val="003D0A32"/>
    <w:rsid w:val="003D6C5C"/>
    <w:rsid w:val="003E1390"/>
    <w:rsid w:val="003E4044"/>
    <w:rsid w:val="003F082C"/>
    <w:rsid w:val="003F2589"/>
    <w:rsid w:val="003F563E"/>
    <w:rsid w:val="00400206"/>
    <w:rsid w:val="00400491"/>
    <w:rsid w:val="00415695"/>
    <w:rsid w:val="00417AD3"/>
    <w:rsid w:val="00422DEA"/>
    <w:rsid w:val="00423CB4"/>
    <w:rsid w:val="004244CE"/>
    <w:rsid w:val="00425260"/>
    <w:rsid w:val="004276C6"/>
    <w:rsid w:val="0042772F"/>
    <w:rsid w:val="00436A15"/>
    <w:rsid w:val="00440752"/>
    <w:rsid w:val="00452EEC"/>
    <w:rsid w:val="004574BE"/>
    <w:rsid w:val="00460CDD"/>
    <w:rsid w:val="00461253"/>
    <w:rsid w:val="00471754"/>
    <w:rsid w:val="00471C58"/>
    <w:rsid w:val="004740B0"/>
    <w:rsid w:val="0047711C"/>
    <w:rsid w:val="00477F0A"/>
    <w:rsid w:val="004837F6"/>
    <w:rsid w:val="004849D2"/>
    <w:rsid w:val="00491562"/>
    <w:rsid w:val="004A5821"/>
    <w:rsid w:val="004A6F0D"/>
    <w:rsid w:val="004B24E7"/>
    <w:rsid w:val="004B3486"/>
    <w:rsid w:val="004B4761"/>
    <w:rsid w:val="004B5B6B"/>
    <w:rsid w:val="004B7273"/>
    <w:rsid w:val="004B7C47"/>
    <w:rsid w:val="004C2261"/>
    <w:rsid w:val="004D20E8"/>
    <w:rsid w:val="004E1929"/>
    <w:rsid w:val="004E1F73"/>
    <w:rsid w:val="004E4C3D"/>
    <w:rsid w:val="004E69E0"/>
    <w:rsid w:val="004E732D"/>
    <w:rsid w:val="004F416D"/>
    <w:rsid w:val="004F729B"/>
    <w:rsid w:val="00502706"/>
    <w:rsid w:val="005042C2"/>
    <w:rsid w:val="005061CF"/>
    <w:rsid w:val="005218B0"/>
    <w:rsid w:val="00527CB2"/>
    <w:rsid w:val="00540468"/>
    <w:rsid w:val="00544F82"/>
    <w:rsid w:val="005638E8"/>
    <w:rsid w:val="005722D9"/>
    <w:rsid w:val="005739D2"/>
    <w:rsid w:val="00574F81"/>
    <w:rsid w:val="00576D8F"/>
    <w:rsid w:val="00591A0E"/>
    <w:rsid w:val="005977EA"/>
    <w:rsid w:val="005A266A"/>
    <w:rsid w:val="005A3ECC"/>
    <w:rsid w:val="005A63BD"/>
    <w:rsid w:val="005B0505"/>
    <w:rsid w:val="005B0BFA"/>
    <w:rsid w:val="005B1A2A"/>
    <w:rsid w:val="005B3C33"/>
    <w:rsid w:val="005C18DC"/>
    <w:rsid w:val="005C7D81"/>
    <w:rsid w:val="005E352D"/>
    <w:rsid w:val="005E62F7"/>
    <w:rsid w:val="005E6D6C"/>
    <w:rsid w:val="005F1994"/>
    <w:rsid w:val="005F7F0E"/>
    <w:rsid w:val="0060170F"/>
    <w:rsid w:val="00602203"/>
    <w:rsid w:val="00602ED9"/>
    <w:rsid w:val="00603A44"/>
    <w:rsid w:val="00604C80"/>
    <w:rsid w:val="00605D82"/>
    <w:rsid w:val="00611A7C"/>
    <w:rsid w:val="00627BEE"/>
    <w:rsid w:val="00631846"/>
    <w:rsid w:val="00636F39"/>
    <w:rsid w:val="00637EE6"/>
    <w:rsid w:val="006401FE"/>
    <w:rsid w:val="00642E50"/>
    <w:rsid w:val="00645B35"/>
    <w:rsid w:val="006464A7"/>
    <w:rsid w:val="00647412"/>
    <w:rsid w:val="00650886"/>
    <w:rsid w:val="00652B0C"/>
    <w:rsid w:val="006611F4"/>
    <w:rsid w:val="006630BD"/>
    <w:rsid w:val="006635D2"/>
    <w:rsid w:val="00670C25"/>
    <w:rsid w:val="00671529"/>
    <w:rsid w:val="00684729"/>
    <w:rsid w:val="00690F7E"/>
    <w:rsid w:val="006A0CAF"/>
    <w:rsid w:val="006A1902"/>
    <w:rsid w:val="006A78F9"/>
    <w:rsid w:val="006B1E73"/>
    <w:rsid w:val="006B4245"/>
    <w:rsid w:val="006B587D"/>
    <w:rsid w:val="006D0A1C"/>
    <w:rsid w:val="006E1AA2"/>
    <w:rsid w:val="006E4AEB"/>
    <w:rsid w:val="007032AA"/>
    <w:rsid w:val="007178F3"/>
    <w:rsid w:val="00723B65"/>
    <w:rsid w:val="00724A2F"/>
    <w:rsid w:val="007268F9"/>
    <w:rsid w:val="00726AFB"/>
    <w:rsid w:val="00744356"/>
    <w:rsid w:val="00753534"/>
    <w:rsid w:val="00754AFB"/>
    <w:rsid w:val="0076076D"/>
    <w:rsid w:val="007661CC"/>
    <w:rsid w:val="00771F35"/>
    <w:rsid w:val="00777CDA"/>
    <w:rsid w:val="00784EA1"/>
    <w:rsid w:val="00793833"/>
    <w:rsid w:val="007946AB"/>
    <w:rsid w:val="00795280"/>
    <w:rsid w:val="007A00DA"/>
    <w:rsid w:val="007B0AED"/>
    <w:rsid w:val="007B5629"/>
    <w:rsid w:val="007C0E53"/>
    <w:rsid w:val="007C51B5"/>
    <w:rsid w:val="007C52B0"/>
    <w:rsid w:val="007C7C09"/>
    <w:rsid w:val="007D38C7"/>
    <w:rsid w:val="007D6B1D"/>
    <w:rsid w:val="007D7FE3"/>
    <w:rsid w:val="007E031C"/>
    <w:rsid w:val="007E0BB0"/>
    <w:rsid w:val="007F718A"/>
    <w:rsid w:val="00803431"/>
    <w:rsid w:val="00810B2C"/>
    <w:rsid w:val="00812165"/>
    <w:rsid w:val="00813762"/>
    <w:rsid w:val="00815B6C"/>
    <w:rsid w:val="00815F35"/>
    <w:rsid w:val="00821A1D"/>
    <w:rsid w:val="00827778"/>
    <w:rsid w:val="00833229"/>
    <w:rsid w:val="00833462"/>
    <w:rsid w:val="00835B9B"/>
    <w:rsid w:val="0084060F"/>
    <w:rsid w:val="00844004"/>
    <w:rsid w:val="00846C40"/>
    <w:rsid w:val="00850203"/>
    <w:rsid w:val="00851346"/>
    <w:rsid w:val="00853097"/>
    <w:rsid w:val="00860463"/>
    <w:rsid w:val="00861506"/>
    <w:rsid w:val="008636F0"/>
    <w:rsid w:val="00864423"/>
    <w:rsid w:val="0086637A"/>
    <w:rsid w:val="00870179"/>
    <w:rsid w:val="008774D3"/>
    <w:rsid w:val="00885E5D"/>
    <w:rsid w:val="00887098"/>
    <w:rsid w:val="00897820"/>
    <w:rsid w:val="008A0E52"/>
    <w:rsid w:val="008A1D9B"/>
    <w:rsid w:val="008B1670"/>
    <w:rsid w:val="008C0601"/>
    <w:rsid w:val="008D099E"/>
    <w:rsid w:val="008D16CE"/>
    <w:rsid w:val="008F173A"/>
    <w:rsid w:val="008F24CA"/>
    <w:rsid w:val="008F2801"/>
    <w:rsid w:val="009011D9"/>
    <w:rsid w:val="00901B67"/>
    <w:rsid w:val="0090770A"/>
    <w:rsid w:val="0091109B"/>
    <w:rsid w:val="009131E7"/>
    <w:rsid w:val="00914C83"/>
    <w:rsid w:val="00920C9F"/>
    <w:rsid w:val="009266EC"/>
    <w:rsid w:val="00930E1E"/>
    <w:rsid w:val="00930EAC"/>
    <w:rsid w:val="009323BB"/>
    <w:rsid w:val="00940DDA"/>
    <w:rsid w:val="009411B4"/>
    <w:rsid w:val="00950EE5"/>
    <w:rsid w:val="00952051"/>
    <w:rsid w:val="009547EE"/>
    <w:rsid w:val="00956889"/>
    <w:rsid w:val="009803AF"/>
    <w:rsid w:val="009936E5"/>
    <w:rsid w:val="0099583D"/>
    <w:rsid w:val="009A0B9C"/>
    <w:rsid w:val="009A21D0"/>
    <w:rsid w:val="009A33F2"/>
    <w:rsid w:val="009A6AF3"/>
    <w:rsid w:val="009A75CB"/>
    <w:rsid w:val="009A77A6"/>
    <w:rsid w:val="009B030E"/>
    <w:rsid w:val="009B1E1A"/>
    <w:rsid w:val="009B470D"/>
    <w:rsid w:val="009B6098"/>
    <w:rsid w:val="009C0B95"/>
    <w:rsid w:val="009D0139"/>
    <w:rsid w:val="009D04F7"/>
    <w:rsid w:val="009D1FEC"/>
    <w:rsid w:val="009E3632"/>
    <w:rsid w:val="009E3AEC"/>
    <w:rsid w:val="009F1913"/>
    <w:rsid w:val="009F5CDC"/>
    <w:rsid w:val="009F7053"/>
    <w:rsid w:val="00A004F2"/>
    <w:rsid w:val="00A022A8"/>
    <w:rsid w:val="00A10687"/>
    <w:rsid w:val="00A16356"/>
    <w:rsid w:val="00A1779B"/>
    <w:rsid w:val="00A20F9B"/>
    <w:rsid w:val="00A23C4E"/>
    <w:rsid w:val="00A3475B"/>
    <w:rsid w:val="00A373E3"/>
    <w:rsid w:val="00A43B95"/>
    <w:rsid w:val="00A508AC"/>
    <w:rsid w:val="00A52F60"/>
    <w:rsid w:val="00A54372"/>
    <w:rsid w:val="00A60F96"/>
    <w:rsid w:val="00A7044A"/>
    <w:rsid w:val="00A70A0C"/>
    <w:rsid w:val="00A775CF"/>
    <w:rsid w:val="00A9224F"/>
    <w:rsid w:val="00AB212E"/>
    <w:rsid w:val="00AB2749"/>
    <w:rsid w:val="00AC441E"/>
    <w:rsid w:val="00AD0C66"/>
    <w:rsid w:val="00AD4645"/>
    <w:rsid w:val="00AD626A"/>
    <w:rsid w:val="00AE4853"/>
    <w:rsid w:val="00AF3C3A"/>
    <w:rsid w:val="00AF6464"/>
    <w:rsid w:val="00B00325"/>
    <w:rsid w:val="00B0067D"/>
    <w:rsid w:val="00B06045"/>
    <w:rsid w:val="00B11AA6"/>
    <w:rsid w:val="00B12957"/>
    <w:rsid w:val="00B16C3E"/>
    <w:rsid w:val="00B23810"/>
    <w:rsid w:val="00B33B11"/>
    <w:rsid w:val="00B424E3"/>
    <w:rsid w:val="00B62254"/>
    <w:rsid w:val="00B63C75"/>
    <w:rsid w:val="00B64B36"/>
    <w:rsid w:val="00B64F2D"/>
    <w:rsid w:val="00B7540F"/>
    <w:rsid w:val="00B816A7"/>
    <w:rsid w:val="00B87DC4"/>
    <w:rsid w:val="00B9114D"/>
    <w:rsid w:val="00BA7741"/>
    <w:rsid w:val="00BA7CBF"/>
    <w:rsid w:val="00BC5E84"/>
    <w:rsid w:val="00BD1A71"/>
    <w:rsid w:val="00BD233D"/>
    <w:rsid w:val="00BE0967"/>
    <w:rsid w:val="00BE291D"/>
    <w:rsid w:val="00BE2DE0"/>
    <w:rsid w:val="00BE2F80"/>
    <w:rsid w:val="00BE3183"/>
    <w:rsid w:val="00BE4372"/>
    <w:rsid w:val="00BE6FCE"/>
    <w:rsid w:val="00BF33F1"/>
    <w:rsid w:val="00BF3837"/>
    <w:rsid w:val="00BF5B7D"/>
    <w:rsid w:val="00C05F0C"/>
    <w:rsid w:val="00C07505"/>
    <w:rsid w:val="00C07A56"/>
    <w:rsid w:val="00C11644"/>
    <w:rsid w:val="00C13EFF"/>
    <w:rsid w:val="00C1649F"/>
    <w:rsid w:val="00C17C03"/>
    <w:rsid w:val="00C20EF7"/>
    <w:rsid w:val="00C2529A"/>
    <w:rsid w:val="00C30B86"/>
    <w:rsid w:val="00C3428D"/>
    <w:rsid w:val="00C35A27"/>
    <w:rsid w:val="00C418BC"/>
    <w:rsid w:val="00C467B4"/>
    <w:rsid w:val="00C526F5"/>
    <w:rsid w:val="00C55779"/>
    <w:rsid w:val="00C62E53"/>
    <w:rsid w:val="00C63A1B"/>
    <w:rsid w:val="00C64C5B"/>
    <w:rsid w:val="00C67892"/>
    <w:rsid w:val="00C7271B"/>
    <w:rsid w:val="00C743B9"/>
    <w:rsid w:val="00C808FB"/>
    <w:rsid w:val="00C831E2"/>
    <w:rsid w:val="00C927F5"/>
    <w:rsid w:val="00C95607"/>
    <w:rsid w:val="00CA449F"/>
    <w:rsid w:val="00CB18E0"/>
    <w:rsid w:val="00CB5E54"/>
    <w:rsid w:val="00CB6396"/>
    <w:rsid w:val="00CC1F15"/>
    <w:rsid w:val="00CC23F7"/>
    <w:rsid w:val="00CC3772"/>
    <w:rsid w:val="00CC75C0"/>
    <w:rsid w:val="00CD29AE"/>
    <w:rsid w:val="00CF2E73"/>
    <w:rsid w:val="00CF474D"/>
    <w:rsid w:val="00CF5068"/>
    <w:rsid w:val="00D01230"/>
    <w:rsid w:val="00D072B7"/>
    <w:rsid w:val="00D11C51"/>
    <w:rsid w:val="00D274B3"/>
    <w:rsid w:val="00D32394"/>
    <w:rsid w:val="00D35C94"/>
    <w:rsid w:val="00D3692F"/>
    <w:rsid w:val="00D42A0D"/>
    <w:rsid w:val="00D459D8"/>
    <w:rsid w:val="00D479DC"/>
    <w:rsid w:val="00D535FB"/>
    <w:rsid w:val="00D539E4"/>
    <w:rsid w:val="00D53F43"/>
    <w:rsid w:val="00D56A9A"/>
    <w:rsid w:val="00D63D9F"/>
    <w:rsid w:val="00D6517D"/>
    <w:rsid w:val="00D71075"/>
    <w:rsid w:val="00D7346F"/>
    <w:rsid w:val="00D80A4A"/>
    <w:rsid w:val="00D82080"/>
    <w:rsid w:val="00D934D5"/>
    <w:rsid w:val="00D9380F"/>
    <w:rsid w:val="00DA0CF3"/>
    <w:rsid w:val="00DA3317"/>
    <w:rsid w:val="00DB34AA"/>
    <w:rsid w:val="00DB5C13"/>
    <w:rsid w:val="00DC106E"/>
    <w:rsid w:val="00DC15CB"/>
    <w:rsid w:val="00DC59F2"/>
    <w:rsid w:val="00DD079C"/>
    <w:rsid w:val="00DD3812"/>
    <w:rsid w:val="00DF0546"/>
    <w:rsid w:val="00DF0B70"/>
    <w:rsid w:val="00DF3F05"/>
    <w:rsid w:val="00E02C2B"/>
    <w:rsid w:val="00E03D27"/>
    <w:rsid w:val="00E077E7"/>
    <w:rsid w:val="00E13457"/>
    <w:rsid w:val="00E13B1A"/>
    <w:rsid w:val="00E2073E"/>
    <w:rsid w:val="00E20AE3"/>
    <w:rsid w:val="00E224DD"/>
    <w:rsid w:val="00E22B65"/>
    <w:rsid w:val="00E24512"/>
    <w:rsid w:val="00E25416"/>
    <w:rsid w:val="00E25BF9"/>
    <w:rsid w:val="00E3042C"/>
    <w:rsid w:val="00E30A02"/>
    <w:rsid w:val="00E36476"/>
    <w:rsid w:val="00E364F1"/>
    <w:rsid w:val="00E36F78"/>
    <w:rsid w:val="00E373E2"/>
    <w:rsid w:val="00E47D2B"/>
    <w:rsid w:val="00E521C1"/>
    <w:rsid w:val="00E568BA"/>
    <w:rsid w:val="00E56AEA"/>
    <w:rsid w:val="00E57611"/>
    <w:rsid w:val="00E61385"/>
    <w:rsid w:val="00E62CC7"/>
    <w:rsid w:val="00E7189D"/>
    <w:rsid w:val="00E723BB"/>
    <w:rsid w:val="00E731CE"/>
    <w:rsid w:val="00E759F3"/>
    <w:rsid w:val="00E84EC9"/>
    <w:rsid w:val="00E96C63"/>
    <w:rsid w:val="00EA0DBF"/>
    <w:rsid w:val="00EA2895"/>
    <w:rsid w:val="00EA47D2"/>
    <w:rsid w:val="00EC0A01"/>
    <w:rsid w:val="00EC4B3D"/>
    <w:rsid w:val="00EC52F3"/>
    <w:rsid w:val="00EC5AF9"/>
    <w:rsid w:val="00EC647F"/>
    <w:rsid w:val="00ED6C48"/>
    <w:rsid w:val="00EE4EAB"/>
    <w:rsid w:val="00EE5139"/>
    <w:rsid w:val="00EE5140"/>
    <w:rsid w:val="00EF4C04"/>
    <w:rsid w:val="00EF766A"/>
    <w:rsid w:val="00F01093"/>
    <w:rsid w:val="00F0655B"/>
    <w:rsid w:val="00F108F4"/>
    <w:rsid w:val="00F251AE"/>
    <w:rsid w:val="00F30E7A"/>
    <w:rsid w:val="00F315DE"/>
    <w:rsid w:val="00F32108"/>
    <w:rsid w:val="00F40673"/>
    <w:rsid w:val="00F43540"/>
    <w:rsid w:val="00F43E7E"/>
    <w:rsid w:val="00F4676D"/>
    <w:rsid w:val="00F556F3"/>
    <w:rsid w:val="00F56A1D"/>
    <w:rsid w:val="00F65F5D"/>
    <w:rsid w:val="00F85164"/>
    <w:rsid w:val="00F86A3A"/>
    <w:rsid w:val="00F95150"/>
    <w:rsid w:val="00FA322F"/>
    <w:rsid w:val="00FA4068"/>
    <w:rsid w:val="00FA4614"/>
    <w:rsid w:val="00FA6B1F"/>
    <w:rsid w:val="00FB04F3"/>
    <w:rsid w:val="00FB6EF4"/>
    <w:rsid w:val="00FB6F74"/>
    <w:rsid w:val="00FD225B"/>
    <w:rsid w:val="00FD2D3E"/>
    <w:rsid w:val="00FD46AC"/>
    <w:rsid w:val="00FD5235"/>
    <w:rsid w:val="00FE405E"/>
    <w:rsid w:val="00FE4632"/>
    <w:rsid w:val="00FE7309"/>
    <w:rsid w:val="00FF37A4"/>
    <w:rsid w:val="00FF6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461E2"/>
  <w15:docId w15:val="{57C43726-A5BD-4F26-8E3F-D97EF138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A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69E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E0"/>
    <w:rPr>
      <w:rFonts w:ascii="Tahoma" w:eastAsia="Times New Roman" w:hAnsi="Tahoma" w:cs="Tahoma"/>
      <w:sz w:val="16"/>
      <w:szCs w:val="16"/>
      <w:lang w:eastAsia="en-US"/>
    </w:rPr>
  </w:style>
  <w:style w:type="character" w:customStyle="1" w:styleId="HChGChar">
    <w:name w:val="_ H _Ch_G Char"/>
    <w:link w:val="HChG"/>
    <w:rsid w:val="00304C40"/>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293CE4"/>
    <w:rPr>
      <w:sz w:val="16"/>
      <w:szCs w:val="16"/>
    </w:rPr>
  </w:style>
  <w:style w:type="paragraph" w:styleId="CommentText">
    <w:name w:val="annotation text"/>
    <w:basedOn w:val="Normal"/>
    <w:link w:val="CommentTextChar"/>
    <w:uiPriority w:val="99"/>
    <w:semiHidden/>
    <w:unhideWhenUsed/>
    <w:rsid w:val="00293CE4"/>
    <w:pPr>
      <w:spacing w:line="240" w:lineRule="auto"/>
    </w:pPr>
  </w:style>
  <w:style w:type="character" w:customStyle="1" w:styleId="CommentTextChar">
    <w:name w:val="Comment Text Char"/>
    <w:basedOn w:val="DefaultParagraphFont"/>
    <w:link w:val="CommentText"/>
    <w:uiPriority w:val="99"/>
    <w:semiHidden/>
    <w:rsid w:val="00293CE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93CE4"/>
    <w:rPr>
      <w:b/>
      <w:bCs/>
    </w:rPr>
  </w:style>
  <w:style w:type="character" w:customStyle="1" w:styleId="CommentSubjectChar">
    <w:name w:val="Comment Subject Char"/>
    <w:basedOn w:val="CommentTextChar"/>
    <w:link w:val="CommentSubject"/>
    <w:uiPriority w:val="99"/>
    <w:semiHidden/>
    <w:rsid w:val="00293CE4"/>
    <w:rPr>
      <w:rFonts w:ascii="Times New Roman" w:eastAsia="Times New Roman" w:hAnsi="Times New Roman" w:cs="Times New Roman"/>
      <w:b/>
      <w:bCs/>
      <w:sz w:val="20"/>
      <w:szCs w:val="20"/>
      <w:lang w:eastAsia="en-US"/>
    </w:rPr>
  </w:style>
  <w:style w:type="character" w:customStyle="1" w:styleId="SingleTxtGChar">
    <w:name w:val="_ Single Txt_G Char"/>
    <w:basedOn w:val="DefaultParagraphFont"/>
    <w:link w:val="SingleTxtG"/>
    <w:rsid w:val="007C51B5"/>
    <w:rPr>
      <w:rFonts w:ascii="Times New Roman" w:hAnsi="Times New Roman" w:cs="Times New Roman"/>
      <w:sz w:val="20"/>
      <w:szCs w:val="20"/>
    </w:rPr>
  </w:style>
  <w:style w:type="character" w:styleId="Hyperlink">
    <w:name w:val="Hyperlink"/>
    <w:semiHidden/>
    <w:rsid w:val="001F2CBA"/>
    <w:rPr>
      <w:color w:val="0000FF"/>
      <w:u w:val="single"/>
    </w:rPr>
  </w:style>
  <w:style w:type="character" w:styleId="FollowedHyperlink">
    <w:name w:val="FollowedHyperlink"/>
    <w:basedOn w:val="DefaultParagraphFont"/>
    <w:uiPriority w:val="99"/>
    <w:semiHidden/>
    <w:unhideWhenUsed/>
    <w:rsid w:val="00BF5B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8312">
      <w:bodyDiv w:val="1"/>
      <w:marLeft w:val="0"/>
      <w:marRight w:val="0"/>
      <w:marTop w:val="0"/>
      <w:marBottom w:val="0"/>
      <w:divBdr>
        <w:top w:val="none" w:sz="0" w:space="0" w:color="auto"/>
        <w:left w:val="none" w:sz="0" w:space="0" w:color="auto"/>
        <w:bottom w:val="none" w:sz="0" w:space="0" w:color="auto"/>
        <w:right w:val="none" w:sz="0" w:space="0" w:color="auto"/>
      </w:divBdr>
    </w:div>
    <w:div w:id="164978628">
      <w:bodyDiv w:val="1"/>
      <w:marLeft w:val="0"/>
      <w:marRight w:val="0"/>
      <w:marTop w:val="0"/>
      <w:marBottom w:val="0"/>
      <w:divBdr>
        <w:top w:val="none" w:sz="0" w:space="0" w:color="auto"/>
        <w:left w:val="none" w:sz="0" w:space="0" w:color="auto"/>
        <w:bottom w:val="none" w:sz="0" w:space="0" w:color="auto"/>
        <w:right w:val="none" w:sz="0" w:space="0" w:color="auto"/>
      </w:divBdr>
    </w:div>
    <w:div w:id="175579387">
      <w:bodyDiv w:val="1"/>
      <w:marLeft w:val="0"/>
      <w:marRight w:val="0"/>
      <w:marTop w:val="0"/>
      <w:marBottom w:val="0"/>
      <w:divBdr>
        <w:top w:val="none" w:sz="0" w:space="0" w:color="auto"/>
        <w:left w:val="none" w:sz="0" w:space="0" w:color="auto"/>
        <w:bottom w:val="none" w:sz="0" w:space="0" w:color="auto"/>
        <w:right w:val="none" w:sz="0" w:space="0" w:color="auto"/>
      </w:divBdr>
    </w:div>
    <w:div w:id="222327730">
      <w:bodyDiv w:val="1"/>
      <w:marLeft w:val="0"/>
      <w:marRight w:val="0"/>
      <w:marTop w:val="0"/>
      <w:marBottom w:val="0"/>
      <w:divBdr>
        <w:top w:val="none" w:sz="0" w:space="0" w:color="auto"/>
        <w:left w:val="none" w:sz="0" w:space="0" w:color="auto"/>
        <w:bottom w:val="none" w:sz="0" w:space="0" w:color="auto"/>
        <w:right w:val="none" w:sz="0" w:space="0" w:color="auto"/>
      </w:divBdr>
    </w:div>
    <w:div w:id="256795969">
      <w:bodyDiv w:val="1"/>
      <w:marLeft w:val="0"/>
      <w:marRight w:val="0"/>
      <w:marTop w:val="0"/>
      <w:marBottom w:val="0"/>
      <w:divBdr>
        <w:top w:val="none" w:sz="0" w:space="0" w:color="auto"/>
        <w:left w:val="none" w:sz="0" w:space="0" w:color="auto"/>
        <w:bottom w:val="none" w:sz="0" w:space="0" w:color="auto"/>
        <w:right w:val="none" w:sz="0" w:space="0" w:color="auto"/>
      </w:divBdr>
    </w:div>
    <w:div w:id="312371602">
      <w:bodyDiv w:val="1"/>
      <w:marLeft w:val="0"/>
      <w:marRight w:val="0"/>
      <w:marTop w:val="0"/>
      <w:marBottom w:val="0"/>
      <w:divBdr>
        <w:top w:val="none" w:sz="0" w:space="0" w:color="auto"/>
        <w:left w:val="none" w:sz="0" w:space="0" w:color="auto"/>
        <w:bottom w:val="none" w:sz="0" w:space="0" w:color="auto"/>
        <w:right w:val="none" w:sz="0" w:space="0" w:color="auto"/>
      </w:divBdr>
    </w:div>
    <w:div w:id="461459777">
      <w:bodyDiv w:val="1"/>
      <w:marLeft w:val="0"/>
      <w:marRight w:val="0"/>
      <w:marTop w:val="0"/>
      <w:marBottom w:val="0"/>
      <w:divBdr>
        <w:top w:val="none" w:sz="0" w:space="0" w:color="auto"/>
        <w:left w:val="none" w:sz="0" w:space="0" w:color="auto"/>
        <w:bottom w:val="none" w:sz="0" w:space="0" w:color="auto"/>
        <w:right w:val="none" w:sz="0" w:space="0" w:color="auto"/>
      </w:divBdr>
    </w:div>
    <w:div w:id="725370514">
      <w:bodyDiv w:val="1"/>
      <w:marLeft w:val="0"/>
      <w:marRight w:val="0"/>
      <w:marTop w:val="0"/>
      <w:marBottom w:val="0"/>
      <w:divBdr>
        <w:top w:val="none" w:sz="0" w:space="0" w:color="auto"/>
        <w:left w:val="none" w:sz="0" w:space="0" w:color="auto"/>
        <w:bottom w:val="none" w:sz="0" w:space="0" w:color="auto"/>
        <w:right w:val="none" w:sz="0" w:space="0" w:color="auto"/>
      </w:divBdr>
    </w:div>
    <w:div w:id="778531807">
      <w:bodyDiv w:val="1"/>
      <w:marLeft w:val="0"/>
      <w:marRight w:val="0"/>
      <w:marTop w:val="0"/>
      <w:marBottom w:val="0"/>
      <w:divBdr>
        <w:top w:val="none" w:sz="0" w:space="0" w:color="auto"/>
        <w:left w:val="none" w:sz="0" w:space="0" w:color="auto"/>
        <w:bottom w:val="none" w:sz="0" w:space="0" w:color="auto"/>
        <w:right w:val="none" w:sz="0" w:space="0" w:color="auto"/>
      </w:divBdr>
    </w:div>
    <w:div w:id="1039016557">
      <w:bodyDiv w:val="1"/>
      <w:marLeft w:val="0"/>
      <w:marRight w:val="0"/>
      <w:marTop w:val="0"/>
      <w:marBottom w:val="0"/>
      <w:divBdr>
        <w:top w:val="none" w:sz="0" w:space="0" w:color="auto"/>
        <w:left w:val="none" w:sz="0" w:space="0" w:color="auto"/>
        <w:bottom w:val="none" w:sz="0" w:space="0" w:color="auto"/>
        <w:right w:val="none" w:sz="0" w:space="0" w:color="auto"/>
      </w:divBdr>
    </w:div>
    <w:div w:id="1196652976">
      <w:bodyDiv w:val="1"/>
      <w:marLeft w:val="0"/>
      <w:marRight w:val="0"/>
      <w:marTop w:val="0"/>
      <w:marBottom w:val="0"/>
      <w:divBdr>
        <w:top w:val="none" w:sz="0" w:space="0" w:color="auto"/>
        <w:left w:val="none" w:sz="0" w:space="0" w:color="auto"/>
        <w:bottom w:val="none" w:sz="0" w:space="0" w:color="auto"/>
        <w:right w:val="none" w:sz="0" w:space="0" w:color="auto"/>
      </w:divBdr>
    </w:div>
    <w:div w:id="1248688714">
      <w:bodyDiv w:val="1"/>
      <w:marLeft w:val="0"/>
      <w:marRight w:val="0"/>
      <w:marTop w:val="0"/>
      <w:marBottom w:val="0"/>
      <w:divBdr>
        <w:top w:val="none" w:sz="0" w:space="0" w:color="auto"/>
        <w:left w:val="none" w:sz="0" w:space="0" w:color="auto"/>
        <w:bottom w:val="none" w:sz="0" w:space="0" w:color="auto"/>
        <w:right w:val="none" w:sz="0" w:space="0" w:color="auto"/>
      </w:divBdr>
    </w:div>
    <w:div w:id="1334453850">
      <w:bodyDiv w:val="1"/>
      <w:marLeft w:val="0"/>
      <w:marRight w:val="0"/>
      <w:marTop w:val="0"/>
      <w:marBottom w:val="0"/>
      <w:divBdr>
        <w:top w:val="none" w:sz="0" w:space="0" w:color="auto"/>
        <w:left w:val="none" w:sz="0" w:space="0" w:color="auto"/>
        <w:bottom w:val="none" w:sz="0" w:space="0" w:color="auto"/>
        <w:right w:val="none" w:sz="0" w:space="0" w:color="auto"/>
      </w:divBdr>
    </w:div>
    <w:div w:id="1365520155">
      <w:bodyDiv w:val="1"/>
      <w:marLeft w:val="0"/>
      <w:marRight w:val="0"/>
      <w:marTop w:val="0"/>
      <w:marBottom w:val="0"/>
      <w:divBdr>
        <w:top w:val="none" w:sz="0" w:space="0" w:color="auto"/>
        <w:left w:val="none" w:sz="0" w:space="0" w:color="auto"/>
        <w:bottom w:val="none" w:sz="0" w:space="0" w:color="auto"/>
        <w:right w:val="none" w:sz="0" w:space="0" w:color="auto"/>
      </w:divBdr>
    </w:div>
    <w:div w:id="1414353804">
      <w:bodyDiv w:val="1"/>
      <w:marLeft w:val="0"/>
      <w:marRight w:val="0"/>
      <w:marTop w:val="0"/>
      <w:marBottom w:val="0"/>
      <w:divBdr>
        <w:top w:val="none" w:sz="0" w:space="0" w:color="auto"/>
        <w:left w:val="none" w:sz="0" w:space="0" w:color="auto"/>
        <w:bottom w:val="none" w:sz="0" w:space="0" w:color="auto"/>
        <w:right w:val="none" w:sz="0" w:space="0" w:color="auto"/>
      </w:divBdr>
    </w:div>
    <w:div w:id="1638027623">
      <w:bodyDiv w:val="1"/>
      <w:marLeft w:val="0"/>
      <w:marRight w:val="0"/>
      <w:marTop w:val="0"/>
      <w:marBottom w:val="0"/>
      <w:divBdr>
        <w:top w:val="none" w:sz="0" w:space="0" w:color="auto"/>
        <w:left w:val="none" w:sz="0" w:space="0" w:color="auto"/>
        <w:bottom w:val="none" w:sz="0" w:space="0" w:color="auto"/>
        <w:right w:val="none" w:sz="0" w:space="0" w:color="auto"/>
      </w:divBdr>
    </w:div>
    <w:div w:id="1700158583">
      <w:bodyDiv w:val="1"/>
      <w:marLeft w:val="0"/>
      <w:marRight w:val="0"/>
      <w:marTop w:val="0"/>
      <w:marBottom w:val="0"/>
      <w:divBdr>
        <w:top w:val="none" w:sz="0" w:space="0" w:color="auto"/>
        <w:left w:val="none" w:sz="0" w:space="0" w:color="auto"/>
        <w:bottom w:val="none" w:sz="0" w:space="0" w:color="auto"/>
        <w:right w:val="none" w:sz="0" w:space="0" w:color="auto"/>
      </w:divBdr>
    </w:div>
    <w:div w:id="1840149775">
      <w:bodyDiv w:val="1"/>
      <w:marLeft w:val="0"/>
      <w:marRight w:val="0"/>
      <w:marTop w:val="0"/>
      <w:marBottom w:val="0"/>
      <w:divBdr>
        <w:top w:val="none" w:sz="0" w:space="0" w:color="auto"/>
        <w:left w:val="none" w:sz="0" w:space="0" w:color="auto"/>
        <w:bottom w:val="none" w:sz="0" w:space="0" w:color="auto"/>
        <w:right w:val="none" w:sz="0" w:space="0" w:color="auto"/>
      </w:divBdr>
    </w:div>
    <w:div w:id="1891457086">
      <w:bodyDiv w:val="1"/>
      <w:marLeft w:val="0"/>
      <w:marRight w:val="0"/>
      <w:marTop w:val="0"/>
      <w:marBottom w:val="0"/>
      <w:divBdr>
        <w:top w:val="none" w:sz="0" w:space="0" w:color="auto"/>
        <w:left w:val="none" w:sz="0" w:space="0" w:color="auto"/>
        <w:bottom w:val="none" w:sz="0" w:space="0" w:color="auto"/>
        <w:right w:val="none" w:sz="0" w:space="0" w:color="auto"/>
      </w:divBdr>
    </w:div>
    <w:div w:id="2090535651">
      <w:bodyDiv w:val="1"/>
      <w:marLeft w:val="0"/>
      <w:marRight w:val="0"/>
      <w:marTop w:val="0"/>
      <w:marBottom w:val="0"/>
      <w:divBdr>
        <w:top w:val="none" w:sz="0" w:space="0" w:color="auto"/>
        <w:left w:val="none" w:sz="0" w:space="0" w:color="auto"/>
        <w:bottom w:val="none" w:sz="0" w:space="0" w:color="auto"/>
        <w:right w:val="none" w:sz="0" w:space="0" w:color="auto"/>
      </w:divBdr>
    </w:div>
    <w:div w:id="2103796512">
      <w:bodyDiv w:val="1"/>
      <w:marLeft w:val="0"/>
      <w:marRight w:val="0"/>
      <w:marTop w:val="0"/>
      <w:marBottom w:val="0"/>
      <w:divBdr>
        <w:top w:val="none" w:sz="0" w:space="0" w:color="auto"/>
        <w:left w:val="none" w:sz="0" w:space="0" w:color="auto"/>
        <w:bottom w:val="none" w:sz="0" w:space="0" w:color="auto"/>
        <w:right w:val="none" w:sz="0" w:space="0" w:color="auto"/>
      </w:divBdr>
    </w:div>
    <w:div w:id="2125346550">
      <w:bodyDiv w:val="1"/>
      <w:marLeft w:val="0"/>
      <w:marRight w:val="0"/>
      <w:marTop w:val="0"/>
      <w:marBottom w:val="0"/>
      <w:divBdr>
        <w:top w:val="none" w:sz="0" w:space="0" w:color="auto"/>
        <w:left w:val="none" w:sz="0" w:space="0" w:color="auto"/>
        <w:bottom w:val="none" w:sz="0" w:space="0" w:color="auto"/>
        <w:right w:val="none" w:sz="0" w:space="0" w:color="auto"/>
      </w:divBdr>
    </w:div>
    <w:div w:id="213740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sc3/sc3res.html" TargetMode="External"/><Relationship Id="rId1" Type="http://schemas.openxmlformats.org/officeDocument/2006/relationships/hyperlink" Target="https://www.cesni.eu/de/documents/es-t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A693-2019-468C-96F0-D2550AE7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6852</Words>
  <Characters>39062</Characters>
  <Application>Microsoft Office Word</Application>
  <DocSecurity>0</DocSecurity>
  <Lines>325</Lines>
  <Paragraphs>91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1700977</vt:lpstr>
      <vt:lpstr>1700977</vt:lpstr>
      <vt:lpstr>1700977</vt:lpstr>
    </vt:vector>
  </TitlesOfParts>
  <Company>DCM</Company>
  <LinksUpToDate>false</LinksUpToDate>
  <CharactersWithSpaces>45823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1700977</dc:title>
  <dc:subject>ECE/TRANS/WP.15/AC.2/2017/CRP.1</dc:subject>
  <dc:creator>Giltsoff</dc:creator>
  <dc:description>Final</dc:description>
  <cp:lastModifiedBy>Caillot</cp:lastModifiedBy>
  <cp:revision>2</cp:revision>
  <cp:lastPrinted>2017-03-13T10:05:00Z</cp:lastPrinted>
  <dcterms:created xsi:type="dcterms:W3CDTF">2017-03-20T13:40:00Z</dcterms:created>
  <dcterms:modified xsi:type="dcterms:W3CDTF">2017-03-20T13:40:00Z</dcterms:modified>
</cp:coreProperties>
</file>