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437B1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437B1" w:rsidP="009437B1">
            <w:pPr>
              <w:jc w:val="right"/>
            </w:pPr>
            <w:r w:rsidRPr="009437B1">
              <w:rPr>
                <w:sz w:val="40"/>
              </w:rPr>
              <w:t>ECE</w:t>
            </w:r>
            <w:r>
              <w:t>/TRANS/WP.15/AC.2/2018/6</w:t>
            </w:r>
          </w:p>
        </w:tc>
      </w:tr>
      <w:tr w:rsidR="002D5AAC" w:rsidRPr="009437B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437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437B1" w:rsidRDefault="009437B1" w:rsidP="009437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October 2017</w:t>
            </w:r>
          </w:p>
          <w:p w:rsidR="009437B1" w:rsidRDefault="009437B1" w:rsidP="009437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437B1" w:rsidRPr="00E96BB2" w:rsidRDefault="009437B1" w:rsidP="00E96B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E96BB2">
              <w:rPr>
                <w:lang w:val="en-US"/>
              </w:rPr>
              <w:t>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437B1" w:rsidRPr="009437B1" w:rsidRDefault="009437B1" w:rsidP="009437B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9437B1">
        <w:rPr>
          <w:sz w:val="28"/>
          <w:szCs w:val="28"/>
        </w:rPr>
        <w:t>Комитет по внутреннему транспорту</w:t>
      </w:r>
    </w:p>
    <w:p w:rsidR="009437B1" w:rsidRPr="009437B1" w:rsidRDefault="009437B1" w:rsidP="009437B1">
      <w:pPr>
        <w:pStyle w:val="SingleTxtGR"/>
        <w:ind w:left="0"/>
        <w:jc w:val="left"/>
        <w:rPr>
          <w:b/>
          <w:sz w:val="24"/>
          <w:szCs w:val="24"/>
        </w:rPr>
      </w:pPr>
      <w:r w:rsidRPr="009437B1">
        <w:rPr>
          <w:b/>
          <w:bCs/>
          <w:sz w:val="24"/>
          <w:szCs w:val="24"/>
        </w:rPr>
        <w:t>Рабочая группа по перевозкам опасных грузов</w:t>
      </w:r>
    </w:p>
    <w:p w:rsidR="009437B1" w:rsidRPr="009437B1" w:rsidRDefault="009437B1" w:rsidP="009437B1">
      <w:pPr>
        <w:pStyle w:val="SingleTxtGR"/>
        <w:ind w:left="0"/>
        <w:jc w:val="left"/>
        <w:rPr>
          <w:b/>
          <w:sz w:val="24"/>
          <w:szCs w:val="24"/>
        </w:rPr>
      </w:pPr>
      <w:r w:rsidRPr="009437B1">
        <w:rPr>
          <w:b/>
          <w:bCs/>
          <w:sz w:val="24"/>
          <w:szCs w:val="24"/>
        </w:rPr>
        <w:t>Совместное совещание экспертов по Правилам,</w:t>
      </w:r>
      <w:r w:rsidRPr="009437B1">
        <w:rPr>
          <w:b/>
          <w:bCs/>
          <w:sz w:val="24"/>
          <w:szCs w:val="24"/>
        </w:rPr>
        <w:br/>
        <w:t>прилагаемым к Европейскому соглашению</w:t>
      </w:r>
      <w:r w:rsidRPr="009437B1">
        <w:rPr>
          <w:b/>
          <w:bCs/>
          <w:sz w:val="24"/>
          <w:szCs w:val="24"/>
        </w:rPr>
        <w:br/>
        <w:t>о международной перевозке опасных грузов</w:t>
      </w:r>
      <w:r w:rsidRPr="009437B1">
        <w:rPr>
          <w:b/>
          <w:bCs/>
          <w:sz w:val="24"/>
          <w:szCs w:val="24"/>
        </w:rPr>
        <w:br/>
        <w:t>по внутренним водным путям (ВОПОГ)</w:t>
      </w:r>
      <w:r w:rsidRPr="009437B1">
        <w:rPr>
          <w:b/>
          <w:bCs/>
          <w:sz w:val="24"/>
          <w:szCs w:val="24"/>
        </w:rPr>
        <w:br/>
        <w:t>(Комитет по вопросам безопасности ВОПОГ)</w:t>
      </w:r>
    </w:p>
    <w:p w:rsidR="009437B1" w:rsidRPr="009437B1" w:rsidRDefault="009437B1" w:rsidP="009437B1">
      <w:pPr>
        <w:pStyle w:val="SingleTxtGR"/>
        <w:spacing w:after="0"/>
        <w:ind w:left="0"/>
        <w:jc w:val="left"/>
        <w:rPr>
          <w:b/>
        </w:rPr>
      </w:pPr>
      <w:r w:rsidRPr="009437B1">
        <w:rPr>
          <w:b/>
          <w:bCs/>
        </w:rPr>
        <w:t>Тридцать вторая сессия</w:t>
      </w:r>
    </w:p>
    <w:p w:rsidR="009437B1" w:rsidRPr="009437B1" w:rsidRDefault="009437B1" w:rsidP="009437B1">
      <w:pPr>
        <w:pStyle w:val="SingleTxtGR"/>
        <w:spacing w:after="0"/>
        <w:ind w:left="0"/>
        <w:jc w:val="left"/>
      </w:pPr>
      <w:r w:rsidRPr="009437B1">
        <w:t>Женева, 22–26 января 2018</w:t>
      </w:r>
      <w:r>
        <w:t> год</w:t>
      </w:r>
      <w:r w:rsidRPr="009437B1">
        <w:t>а</w:t>
      </w:r>
    </w:p>
    <w:p w:rsidR="009437B1" w:rsidRPr="009437B1" w:rsidRDefault="009437B1" w:rsidP="009437B1">
      <w:pPr>
        <w:pStyle w:val="SingleTxtGR"/>
        <w:spacing w:after="0"/>
        <w:ind w:left="0"/>
        <w:jc w:val="left"/>
      </w:pPr>
      <w:r w:rsidRPr="009437B1">
        <w:t>Пункт 4 c) предварительной повестки дня</w:t>
      </w:r>
    </w:p>
    <w:p w:rsidR="009437B1" w:rsidRPr="009437B1" w:rsidRDefault="009437B1" w:rsidP="009437B1">
      <w:pPr>
        <w:pStyle w:val="SingleTxtGR"/>
        <w:spacing w:after="0"/>
        <w:ind w:left="0"/>
        <w:jc w:val="left"/>
        <w:rPr>
          <w:b/>
        </w:rPr>
      </w:pPr>
      <w:r w:rsidRPr="009437B1">
        <w:rPr>
          <w:b/>
          <w:bCs/>
        </w:rPr>
        <w:t xml:space="preserve">Применение Европейского соглашения </w:t>
      </w:r>
      <w:r w:rsidR="00AE0D66">
        <w:rPr>
          <w:b/>
          <w:bCs/>
        </w:rPr>
        <w:br/>
      </w:r>
      <w:r w:rsidRPr="009437B1">
        <w:rPr>
          <w:b/>
          <w:bCs/>
        </w:rPr>
        <w:t>о</w:t>
      </w:r>
      <w:r w:rsidR="00AE0D66">
        <w:rPr>
          <w:b/>
          <w:bCs/>
        </w:rPr>
        <w:t> </w:t>
      </w:r>
      <w:r w:rsidRPr="009437B1">
        <w:rPr>
          <w:b/>
          <w:bCs/>
        </w:rPr>
        <w:t xml:space="preserve">международной перевозке опасных грузов </w:t>
      </w:r>
      <w:r w:rsidRPr="009437B1">
        <w:rPr>
          <w:b/>
          <w:bCs/>
        </w:rPr>
        <w:br/>
        <w:t xml:space="preserve">по внутренним водным путям (ВОПОГ): </w:t>
      </w:r>
      <w:r w:rsidRPr="009437B1">
        <w:rPr>
          <w:b/>
          <w:bCs/>
        </w:rPr>
        <w:br/>
        <w:t>толкование Правил, прилагаемых к ВОПОГ</w:t>
      </w:r>
    </w:p>
    <w:p w:rsidR="009437B1" w:rsidRPr="009437B1" w:rsidRDefault="009437B1" w:rsidP="009437B1">
      <w:pPr>
        <w:pStyle w:val="HChGR"/>
      </w:pPr>
      <w:r w:rsidRPr="009437B1">
        <w:tab/>
      </w:r>
      <w:r w:rsidRPr="009437B1">
        <w:tab/>
        <w:t xml:space="preserve">Таблица </w:t>
      </w:r>
      <w:r w:rsidRPr="009437B1">
        <w:rPr>
          <w:lang w:val="en-US"/>
        </w:rPr>
        <w:t>C</w:t>
      </w:r>
      <w:r w:rsidRPr="009437B1">
        <w:t xml:space="preserve"> и подраздел 7.2.1.21 ВОПОГ – тип танкера, подлежащий использованию в соответствии с</w:t>
      </w:r>
      <w:r>
        <w:rPr>
          <w:lang w:val="en-US"/>
        </w:rPr>
        <w:t> </w:t>
      </w:r>
      <w:r w:rsidRPr="009437B1">
        <w:t>минимальными требованиями</w:t>
      </w:r>
    </w:p>
    <w:p w:rsidR="009437B1" w:rsidRPr="009437B1" w:rsidRDefault="009437B1" w:rsidP="009437B1">
      <w:pPr>
        <w:pStyle w:val="H1GR"/>
        <w:rPr>
          <w:sz w:val="20"/>
          <w:vertAlign w:val="superscript"/>
          <w:lang w:val="en-US"/>
        </w:rPr>
      </w:pPr>
      <w:r w:rsidRPr="009437B1">
        <w:tab/>
      </w:r>
      <w:r w:rsidRPr="009437B1">
        <w:tab/>
        <w:t>Передано правительством Германии</w:t>
      </w:r>
      <w:r w:rsidRPr="009437B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437B1">
        <w:rPr>
          <w:sz w:val="20"/>
          <w:vertAlign w:val="superscript"/>
          <w:lang w:val="en-US"/>
        </w:rPr>
        <w:t xml:space="preserve"> </w:t>
      </w:r>
      <w:r w:rsidRPr="009437B1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p w:rsidR="009437B1" w:rsidRPr="009437B1" w:rsidRDefault="009437B1" w:rsidP="009437B1">
      <w:pPr>
        <w:pStyle w:val="HChGR"/>
      </w:pPr>
      <w:r w:rsidRPr="009437B1">
        <w:tab/>
        <w:t>I.</w:t>
      </w:r>
      <w:r w:rsidRPr="009437B1">
        <w:tab/>
        <w:t>Применимые</w:t>
      </w:r>
      <w:r w:rsidRPr="009437B1">
        <w:rPr>
          <w:bCs/>
        </w:rPr>
        <w:t xml:space="preserve"> требования</w:t>
      </w:r>
    </w:p>
    <w:p w:rsidR="009437B1" w:rsidRPr="009437B1" w:rsidRDefault="009437B1" w:rsidP="009437B1">
      <w:pPr>
        <w:pStyle w:val="SingleTxtGR"/>
      </w:pPr>
      <w:r w:rsidRPr="009437B1">
        <w:t>Подраздел 3.2.3.2, таблица С, колонки 6 и 7; подраздел 7.2.1.21 ВОПОГ.</w:t>
      </w:r>
    </w:p>
    <w:p w:rsidR="009437B1" w:rsidRPr="009437B1" w:rsidRDefault="009437B1" w:rsidP="009437B1">
      <w:pPr>
        <w:pStyle w:val="HChGR"/>
      </w:pPr>
      <w:r w:rsidRPr="009437B1">
        <w:tab/>
        <w:t>II.</w:t>
      </w:r>
      <w:r w:rsidRPr="009437B1">
        <w:tab/>
        <w:t>Вопрос толкования</w:t>
      </w:r>
    </w:p>
    <w:p w:rsidR="009437B1" w:rsidRPr="009437B1" w:rsidRDefault="009437B1" w:rsidP="009437B1">
      <w:pPr>
        <w:pStyle w:val="SingleTxtGR"/>
      </w:pPr>
      <w:r w:rsidRPr="009437B1">
        <w:t>1.</w:t>
      </w:r>
      <w:r w:rsidRPr="009437B1">
        <w:tab/>
        <w:t>В ходе своей двадцать третьей сессии в августе 2013</w:t>
      </w:r>
      <w:r>
        <w:t> год</w:t>
      </w:r>
      <w:r w:rsidRPr="009437B1">
        <w:t xml:space="preserve">а Комитет по вопросам безопасности ВОПОГ на основе итогов обсуждения, касавшегося пункта 7.2.4.16.9, пришел к выводу, что </w:t>
      </w:r>
      <w:r>
        <w:t>«</w:t>
      </w:r>
      <w:r w:rsidRPr="009437B1">
        <w:t>записи в колонках 6 и 7 таблицы С указывают на минимальные требования, но не требуют использования какого-либо конкретного типа судна, так как в соответствии с пунктом 7.2.1.21 могут ис</w:t>
      </w:r>
      <w:r w:rsidRPr="009437B1">
        <w:lastRenderedPageBreak/>
        <w:t>пользоваться другие типы судов</w:t>
      </w:r>
      <w:r>
        <w:t>»</w:t>
      </w:r>
      <w:r w:rsidRPr="009437B1">
        <w:t xml:space="preserve"> (документ ECE/TRANS/WP.15/AC.2/48, пункт</w:t>
      </w:r>
      <w:r>
        <w:t> </w:t>
      </w:r>
      <w:r w:rsidRPr="009437B1">
        <w:t>62).</w:t>
      </w:r>
    </w:p>
    <w:p w:rsidR="009437B1" w:rsidRPr="009437B1" w:rsidRDefault="009437B1" w:rsidP="009437B1">
      <w:pPr>
        <w:pStyle w:val="SingleTxtGR"/>
      </w:pPr>
      <w:r w:rsidRPr="009437B1">
        <w:t>Использование других типов судов, например судов закрытого типа</w:t>
      </w:r>
      <w:r>
        <w:t> </w:t>
      </w:r>
      <w:r w:rsidRPr="009437B1">
        <w:t>N вместо судов открытого типа N, может повлечь за собой более сложный метод изготовления и использование более сложного оборудования, которые не являются необходимыми для перевозки того или иного груза.</w:t>
      </w:r>
    </w:p>
    <w:p w:rsidR="009437B1" w:rsidRPr="009437B1" w:rsidRDefault="009437B1" w:rsidP="009437B1">
      <w:pPr>
        <w:pStyle w:val="SingleTxtGR"/>
      </w:pPr>
      <w:r w:rsidRPr="009437B1">
        <w:t>2.</w:t>
      </w:r>
      <w:r w:rsidRPr="009437B1">
        <w:tab/>
        <w:t xml:space="preserve">Если используется </w:t>
      </w:r>
      <w:r>
        <w:t>«</w:t>
      </w:r>
      <w:r w:rsidRPr="009437B1">
        <w:t>наиболее подходящий</w:t>
      </w:r>
      <w:r>
        <w:t>»</w:t>
      </w:r>
      <w:r w:rsidRPr="009437B1">
        <w:t xml:space="preserve"> тип судна, должен ли рассматриваемый танкер эксплуатироваться именно в той конфигурации, которая предписана для его типа в требованиях части 9, касающихся постройки, или в требованиях части 7, касающихся эксплуатации (например, в том, что касается закрытых грузовых танков, пламегасителей), или же допустимы изменения некоторых элементов конструкции и оборудования по сравнению с типом танкера, подлежащего использованию в соответствии с минимальными требованиями, указанными в колонках 6 и 7 таблицы C (например, демонтаж пламегасителей или открытие отверстий грузовых танков)?</w:t>
      </w:r>
    </w:p>
    <w:p w:rsidR="009437B1" w:rsidRPr="009437B1" w:rsidRDefault="009437B1" w:rsidP="009437B1">
      <w:pPr>
        <w:pStyle w:val="SingleTxtGR"/>
      </w:pPr>
      <w:r w:rsidRPr="009437B1">
        <w:t>3.</w:t>
      </w:r>
      <w:r w:rsidRPr="009437B1">
        <w:tab/>
        <w:t xml:space="preserve">В этом смысле в пунктах 7.2.1.21.2–7.2.1.21.5 содержится неоднозначная формулировка: </w:t>
      </w:r>
      <w:r>
        <w:t>«</w:t>
      </w:r>
      <w:r w:rsidRPr="009437B1">
        <w:t>...</w:t>
      </w:r>
      <w:r w:rsidR="009D5E61">
        <w:t xml:space="preserve"> </w:t>
      </w:r>
      <w:r w:rsidRPr="009437B1">
        <w:t>если соблюдены все условия перевозки, предписанные для танкеров типа...</w:t>
      </w:r>
      <w:r>
        <w:t>»</w:t>
      </w:r>
      <w:r w:rsidRPr="009437B1">
        <w:t xml:space="preserve"> (т.е. для типа судна, отвечающего минимальным требованиям).</w:t>
      </w:r>
    </w:p>
    <w:p w:rsidR="009437B1" w:rsidRPr="009437B1" w:rsidRDefault="009437B1" w:rsidP="009437B1">
      <w:pPr>
        <w:pStyle w:val="HChGR"/>
      </w:pPr>
      <w:r w:rsidRPr="009437B1">
        <w:tab/>
        <w:t>III.</w:t>
      </w:r>
      <w:r w:rsidRPr="009437B1">
        <w:tab/>
        <w:t>Предложение</w:t>
      </w:r>
    </w:p>
    <w:p w:rsidR="009437B1" w:rsidRPr="009437B1" w:rsidRDefault="009437B1" w:rsidP="009437B1">
      <w:pPr>
        <w:pStyle w:val="SingleTxtGR"/>
      </w:pPr>
      <w:r w:rsidRPr="009437B1">
        <w:t>4.</w:t>
      </w:r>
      <w:r w:rsidRPr="009437B1">
        <w:tab/>
        <w:t>По мнению делегации Германии, в конфигурацию типа танкера не могут быть внесены никакие изменения, не согласующиеся с требованиями колонок 6 и 7 таблицы C.</w:t>
      </w:r>
    </w:p>
    <w:p w:rsidR="009437B1" w:rsidRPr="009437B1" w:rsidRDefault="009437B1" w:rsidP="009437B1">
      <w:pPr>
        <w:pStyle w:val="SingleTxtGR"/>
      </w:pPr>
      <w:r w:rsidRPr="009437B1">
        <w:t>5.</w:t>
      </w:r>
      <w:r w:rsidRPr="009437B1">
        <w:tab/>
        <w:t>Это также вытекает из текста нового положения, касающегося защиты против взрывов:</w:t>
      </w:r>
    </w:p>
    <w:p w:rsidR="009437B1" w:rsidRPr="009437B1" w:rsidRDefault="009437B1" w:rsidP="009437B1">
      <w:pPr>
        <w:pStyle w:val="SingleTxtGR"/>
      </w:pPr>
      <w:r>
        <w:t>«</w:t>
      </w:r>
      <w:r w:rsidRPr="009437B1">
        <w:t>Если перечень веществ, допущенных к перевозке судном, предусмотренный в пункте 1.16.1.2.5, содержит вещества, для которых в колонке 17 таблицы С главы 3.2 предписывается защита против взрывов...</w:t>
      </w:r>
      <w:r>
        <w:t>»</w:t>
      </w:r>
      <w:r w:rsidRPr="009437B1">
        <w:t>.</w:t>
      </w:r>
    </w:p>
    <w:p w:rsidR="009437B1" w:rsidRPr="009437B1" w:rsidRDefault="009437B1" w:rsidP="009437B1">
      <w:pPr>
        <w:pStyle w:val="SingleTxtGR"/>
      </w:pPr>
      <w:r w:rsidRPr="009437B1">
        <w:t>Это означает, что оборудование, необходимое для защиты против взрывов, зависит не от того, какое опасное вещество перевозится в отдельно взятом случае, а от того, в отношении какого из опасных веществ, допущенных к перевозке судном, применяются наиболее строгие требования. Если в перечень веществ, допущенных к перевозке судном, не вносилось изменений, никакое оборудование не должно быть ни демонтировано, ни выведено из эксплуатации.</w:t>
      </w:r>
    </w:p>
    <w:p w:rsidR="009437B1" w:rsidRPr="009437B1" w:rsidRDefault="009437B1" w:rsidP="009437B1">
      <w:pPr>
        <w:pStyle w:val="SingleTxtGR"/>
      </w:pPr>
      <w:r w:rsidRPr="009437B1">
        <w:t>6.</w:t>
      </w:r>
      <w:r w:rsidRPr="009437B1">
        <w:tab/>
        <w:t>Данный принцип должен применяться и в отношении подраздела 7.2.1.21 ВОПОГ.</w:t>
      </w:r>
    </w:p>
    <w:p w:rsidR="00E12C5F" w:rsidRDefault="009437B1" w:rsidP="009437B1">
      <w:pPr>
        <w:pStyle w:val="SingleTxtGR"/>
        <w:rPr>
          <w:lang w:val="en-US"/>
        </w:rPr>
      </w:pPr>
      <w:r w:rsidRPr="009437B1">
        <w:t>7.</w:t>
      </w:r>
      <w:r w:rsidRPr="009437B1">
        <w:tab/>
        <w:t>Германия предлагает Комитету по вопросам безопасности рассмотреть этот вопрос и будет рада получить подтверждение правильности предложенного ею толкования.</w:t>
      </w:r>
    </w:p>
    <w:p w:rsidR="009437B1" w:rsidRPr="009437B1" w:rsidRDefault="009437B1" w:rsidP="009437B1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437B1" w:rsidRPr="009437B1" w:rsidSect="00943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91" w:rsidRPr="00A312BC" w:rsidRDefault="00A80891" w:rsidP="00A312BC"/>
  </w:endnote>
  <w:endnote w:type="continuationSeparator" w:id="0">
    <w:p w:rsidR="00A80891" w:rsidRPr="00A312BC" w:rsidRDefault="00A808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1" w:rsidRPr="009437B1" w:rsidRDefault="009437B1">
    <w:pPr>
      <w:pStyle w:val="Footer"/>
    </w:pPr>
    <w:r w:rsidRPr="009437B1">
      <w:rPr>
        <w:b/>
        <w:sz w:val="18"/>
      </w:rPr>
      <w:fldChar w:fldCharType="begin"/>
    </w:r>
    <w:r w:rsidRPr="009437B1">
      <w:rPr>
        <w:b/>
        <w:sz w:val="18"/>
      </w:rPr>
      <w:instrText xml:space="preserve"> PAGE  \* MERGEFORMAT </w:instrText>
    </w:r>
    <w:r w:rsidRPr="009437B1">
      <w:rPr>
        <w:b/>
        <w:sz w:val="18"/>
      </w:rPr>
      <w:fldChar w:fldCharType="separate"/>
    </w:r>
    <w:r w:rsidR="00C55650">
      <w:rPr>
        <w:b/>
        <w:noProof/>
        <w:sz w:val="18"/>
      </w:rPr>
      <w:t>2</w:t>
    </w:r>
    <w:r w:rsidRPr="009437B1">
      <w:rPr>
        <w:b/>
        <w:sz w:val="18"/>
      </w:rPr>
      <w:fldChar w:fldCharType="end"/>
    </w:r>
    <w:r>
      <w:rPr>
        <w:b/>
        <w:sz w:val="18"/>
      </w:rPr>
      <w:tab/>
    </w:r>
    <w:r>
      <w:t>GE.17-18571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1" w:rsidRPr="009437B1" w:rsidRDefault="009437B1" w:rsidP="009437B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GE.17-18571</w:t>
    </w:r>
    <w:r>
      <w:tab/>
    </w:r>
    <w:r w:rsidRPr="009437B1">
      <w:rPr>
        <w:b/>
        <w:sz w:val="18"/>
      </w:rPr>
      <w:fldChar w:fldCharType="begin"/>
    </w:r>
    <w:r w:rsidRPr="009437B1">
      <w:rPr>
        <w:b/>
        <w:sz w:val="18"/>
      </w:rPr>
      <w:instrText xml:space="preserve"> PAGE  \* MERGEFORMAT </w:instrText>
    </w:r>
    <w:r w:rsidRPr="009437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437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437B1" w:rsidRDefault="009437B1" w:rsidP="009437B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564FC0" wp14:editId="4A3E58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17-18571  (R)</w:t>
    </w:r>
    <w:r>
      <w:rPr>
        <w:lang w:val="en-US"/>
      </w:rPr>
      <w:t xml:space="preserve">  011117  021117</w:t>
    </w:r>
    <w:r>
      <w:br/>
    </w:r>
    <w:r w:rsidRPr="009437B1">
      <w:rPr>
        <w:rFonts w:ascii="C39T30Lfz" w:hAnsi="C39T30Lfz"/>
        <w:spacing w:val="0"/>
        <w:w w:val="100"/>
        <w:sz w:val="56"/>
      </w:rPr>
      <w:t></w:t>
    </w:r>
    <w:r w:rsidRPr="009437B1">
      <w:rPr>
        <w:rFonts w:ascii="C39T30Lfz" w:hAnsi="C39T30Lfz"/>
        <w:spacing w:val="0"/>
        <w:w w:val="100"/>
        <w:sz w:val="56"/>
      </w:rPr>
      <w:t></w:t>
    </w:r>
    <w:r w:rsidRPr="009437B1">
      <w:rPr>
        <w:rFonts w:ascii="C39T30Lfz" w:hAnsi="C39T30Lfz"/>
        <w:spacing w:val="0"/>
        <w:w w:val="100"/>
        <w:sz w:val="56"/>
      </w:rPr>
      <w:t></w:t>
    </w:r>
    <w:r w:rsidRPr="009437B1">
      <w:rPr>
        <w:rFonts w:ascii="C39T30Lfz" w:hAnsi="C39T30Lfz"/>
        <w:spacing w:val="0"/>
        <w:w w:val="100"/>
        <w:sz w:val="56"/>
      </w:rPr>
      <w:t></w:t>
    </w:r>
    <w:r w:rsidRPr="009437B1">
      <w:rPr>
        <w:rFonts w:ascii="C39T30Lfz" w:hAnsi="C39T30Lfz"/>
        <w:spacing w:val="0"/>
        <w:w w:val="100"/>
        <w:sz w:val="56"/>
      </w:rPr>
      <w:t></w:t>
    </w:r>
    <w:r w:rsidRPr="009437B1">
      <w:rPr>
        <w:rFonts w:ascii="C39T30Lfz" w:hAnsi="C39T30Lfz"/>
        <w:spacing w:val="0"/>
        <w:w w:val="100"/>
        <w:sz w:val="56"/>
      </w:rPr>
      <w:t></w:t>
    </w:r>
    <w:r w:rsidRPr="009437B1">
      <w:rPr>
        <w:rFonts w:ascii="C39T30Lfz" w:hAnsi="C39T30Lfz"/>
        <w:spacing w:val="0"/>
        <w:w w:val="100"/>
        <w:sz w:val="56"/>
      </w:rPr>
      <w:t></w:t>
    </w:r>
    <w:r w:rsidRPr="009437B1">
      <w:rPr>
        <w:rFonts w:ascii="C39T30Lfz" w:hAnsi="C39T30Lfz"/>
        <w:spacing w:val="0"/>
        <w:w w:val="100"/>
        <w:sz w:val="56"/>
      </w:rPr>
      <w:t></w:t>
    </w:r>
    <w:r w:rsidRPr="009437B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91" w:rsidRPr="001075E9" w:rsidRDefault="00A808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0891" w:rsidRDefault="00A808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437B1" w:rsidRPr="009437B1" w:rsidRDefault="009437B1">
      <w:pPr>
        <w:pStyle w:val="FootnoteText"/>
        <w:rPr>
          <w:sz w:val="20"/>
          <w:lang w:val="ru-RU"/>
        </w:rPr>
      </w:pPr>
      <w:r>
        <w:tab/>
      </w:r>
      <w:r w:rsidRPr="009437B1">
        <w:rPr>
          <w:rStyle w:val="FootnoteReference"/>
          <w:sz w:val="20"/>
          <w:vertAlign w:val="baseline"/>
          <w:lang w:val="ru-RU"/>
        </w:rPr>
        <w:t>*</w:t>
      </w:r>
      <w:r w:rsidRPr="009437B1">
        <w:rPr>
          <w:rStyle w:val="FootnoteReference"/>
          <w:vertAlign w:val="baseline"/>
          <w:lang w:val="ru-RU"/>
        </w:rPr>
        <w:tab/>
      </w:r>
      <w:r w:rsidRPr="009437B1">
        <w:rPr>
          <w:lang w:val="ru-RU"/>
        </w:rPr>
        <w:t>Распространено на немецком языке Центральной комиссией судоходства по Рейну под условным обозначением CCNR-ZKR/ADN/WP.15/AC.2/2018/6.</w:t>
      </w:r>
    </w:p>
  </w:footnote>
  <w:footnote w:id="2">
    <w:p w:rsidR="009437B1" w:rsidRPr="009437B1" w:rsidRDefault="009437B1">
      <w:pPr>
        <w:pStyle w:val="FootnoteText"/>
        <w:rPr>
          <w:sz w:val="20"/>
          <w:lang w:val="ru-RU"/>
        </w:rPr>
      </w:pPr>
      <w:r>
        <w:tab/>
      </w:r>
      <w:r w:rsidRPr="009437B1">
        <w:rPr>
          <w:rStyle w:val="FootnoteReference"/>
          <w:sz w:val="20"/>
          <w:vertAlign w:val="baseline"/>
          <w:lang w:val="ru-RU"/>
        </w:rPr>
        <w:t>**</w:t>
      </w:r>
      <w:r w:rsidRPr="009437B1">
        <w:rPr>
          <w:rStyle w:val="FootnoteReference"/>
          <w:vertAlign w:val="baseline"/>
          <w:lang w:val="ru-RU"/>
        </w:rPr>
        <w:tab/>
      </w:r>
      <w:r w:rsidRPr="009437B1">
        <w:rPr>
          <w:lang w:val="ru-RU"/>
        </w:rPr>
        <w:t xml:space="preserve">В соответствии с программой работы Комитета по внутреннему транспорту </w:t>
      </w:r>
      <w:r w:rsidRPr="009437B1">
        <w:rPr>
          <w:lang w:val="ru-RU"/>
        </w:rPr>
        <w:br/>
        <w:t>на 2017–2018 годы (ECE/TRANS/WP.15/237,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1" w:rsidRPr="009437B1" w:rsidRDefault="00C5565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1" w:rsidRPr="009437B1" w:rsidRDefault="00C55650" w:rsidP="009437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1" w:rsidRDefault="009437B1" w:rsidP="009437B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384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435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2FFC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005"/>
    <w:rsid w:val="008F7609"/>
    <w:rsid w:val="00906890"/>
    <w:rsid w:val="00911BE4"/>
    <w:rsid w:val="009437B1"/>
    <w:rsid w:val="00951972"/>
    <w:rsid w:val="009608F3"/>
    <w:rsid w:val="009A24AC"/>
    <w:rsid w:val="009C6FE6"/>
    <w:rsid w:val="009D5E61"/>
    <w:rsid w:val="009D7E7D"/>
    <w:rsid w:val="00A14DA8"/>
    <w:rsid w:val="00A312BC"/>
    <w:rsid w:val="00A80891"/>
    <w:rsid w:val="00A84021"/>
    <w:rsid w:val="00A84D35"/>
    <w:rsid w:val="00A917B3"/>
    <w:rsid w:val="00AB4B51"/>
    <w:rsid w:val="00AE0D6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6A61"/>
    <w:rsid w:val="00C55650"/>
    <w:rsid w:val="00C60F0C"/>
    <w:rsid w:val="00C805C9"/>
    <w:rsid w:val="00C92939"/>
    <w:rsid w:val="00CA1679"/>
    <w:rsid w:val="00CB151C"/>
    <w:rsid w:val="00CE5A1A"/>
    <w:rsid w:val="00CF55F6"/>
    <w:rsid w:val="00D041DB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74918"/>
    <w:rsid w:val="00E96BB2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AD9B22-7138-494C-9298-847AEAD4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ECE/TRANS/WP.15/AC.2/2018/6</vt:lpstr>
      <vt:lpstr>ECE/TRANS/WP.15/AC.2/2018/6</vt:lpstr>
      <vt:lpstr>A/</vt:lpstr>
    </vt:vector>
  </TitlesOfParts>
  <Company>DCM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ECE/TRANS/WP.15/AC.2/2018/6</dc:title>
  <dc:subject/>
  <dc:creator>Ovchinnikova Olga</dc:creator>
  <cp:keywords/>
  <cp:lastModifiedBy>Marie-Claude Collet</cp:lastModifiedBy>
  <cp:revision>3</cp:revision>
  <cp:lastPrinted>2017-11-03T15:22:00Z</cp:lastPrinted>
  <dcterms:created xsi:type="dcterms:W3CDTF">2017-11-03T15:22:00Z</dcterms:created>
  <dcterms:modified xsi:type="dcterms:W3CDTF">2017-11-03T15:22:00Z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