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315A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315A5" w:rsidP="002315A5">
            <w:pPr>
              <w:jc w:val="right"/>
            </w:pPr>
            <w:r w:rsidRPr="002315A5">
              <w:rPr>
                <w:sz w:val="40"/>
              </w:rPr>
              <w:t>ECE</w:t>
            </w:r>
            <w:r>
              <w:t>/TRANS/WP.15/AC.2/2018/14</w:t>
            </w:r>
          </w:p>
        </w:tc>
      </w:tr>
      <w:tr w:rsidR="002D5AAC" w:rsidRPr="002315A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315A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315A5" w:rsidRDefault="002315A5" w:rsidP="002315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2017</w:t>
            </w:r>
          </w:p>
          <w:p w:rsidR="002315A5" w:rsidRDefault="002315A5" w:rsidP="002315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315A5" w:rsidRPr="008D53B6" w:rsidRDefault="002315A5" w:rsidP="002315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315A5" w:rsidRPr="008B02AB" w:rsidRDefault="002315A5" w:rsidP="002315A5">
      <w:pPr>
        <w:spacing w:before="120"/>
        <w:rPr>
          <w:sz w:val="28"/>
          <w:szCs w:val="28"/>
        </w:rPr>
      </w:pPr>
      <w:r w:rsidRPr="008B02AB">
        <w:rPr>
          <w:sz w:val="28"/>
          <w:szCs w:val="28"/>
        </w:rPr>
        <w:t>Комитет по внутреннему транспорту</w:t>
      </w:r>
    </w:p>
    <w:p w:rsidR="002315A5" w:rsidRPr="008B02AB" w:rsidRDefault="002315A5" w:rsidP="002315A5">
      <w:pPr>
        <w:spacing w:before="120"/>
        <w:rPr>
          <w:b/>
          <w:sz w:val="24"/>
          <w:szCs w:val="24"/>
        </w:rPr>
      </w:pPr>
      <w:r w:rsidRPr="008B02AB">
        <w:rPr>
          <w:b/>
          <w:sz w:val="24"/>
          <w:szCs w:val="24"/>
        </w:rPr>
        <w:t>Рабочая группа по перевозкам опасных грузов</w:t>
      </w:r>
    </w:p>
    <w:p w:rsidR="002315A5" w:rsidRPr="008B02AB" w:rsidRDefault="002315A5" w:rsidP="002315A5">
      <w:pPr>
        <w:spacing w:before="120"/>
        <w:rPr>
          <w:b/>
        </w:rPr>
      </w:pPr>
      <w:r w:rsidRPr="008B02AB">
        <w:rPr>
          <w:b/>
        </w:rPr>
        <w:t xml:space="preserve">Совместное совещание экспертов по Правилам, </w:t>
      </w:r>
      <w:r w:rsidR="008B02AB" w:rsidRPr="008B02AB">
        <w:rPr>
          <w:b/>
        </w:rPr>
        <w:br/>
      </w:r>
      <w:r w:rsidRPr="008B02AB">
        <w:rPr>
          <w:b/>
        </w:rPr>
        <w:t xml:space="preserve">прилагаемым к Европейскому соглашению </w:t>
      </w:r>
      <w:r w:rsidR="008B02AB">
        <w:rPr>
          <w:b/>
          <w:lang w:val="en-US"/>
        </w:rPr>
        <w:br/>
      </w:r>
      <w:r w:rsidRPr="008B02AB">
        <w:rPr>
          <w:b/>
        </w:rPr>
        <w:t xml:space="preserve">о международной перевозке опасных грузов </w:t>
      </w:r>
      <w:r w:rsidR="008B02AB" w:rsidRPr="008B02AB">
        <w:rPr>
          <w:b/>
        </w:rPr>
        <w:br/>
      </w:r>
      <w:r w:rsidRPr="008B02AB">
        <w:rPr>
          <w:b/>
        </w:rPr>
        <w:t xml:space="preserve">по внутренним водным путям (ВОПОГ) </w:t>
      </w:r>
      <w:r w:rsidR="008B02AB" w:rsidRPr="008B02AB">
        <w:rPr>
          <w:b/>
        </w:rPr>
        <w:br/>
      </w:r>
      <w:r w:rsidRPr="008B02AB">
        <w:rPr>
          <w:b/>
        </w:rPr>
        <w:t>(Комитет по вопросам безопасности ВОПОГ)</w:t>
      </w:r>
    </w:p>
    <w:p w:rsidR="002315A5" w:rsidRPr="008B02AB" w:rsidRDefault="002315A5" w:rsidP="002315A5">
      <w:pPr>
        <w:spacing w:before="120"/>
        <w:rPr>
          <w:b/>
        </w:rPr>
      </w:pPr>
      <w:r w:rsidRPr="008B02AB">
        <w:rPr>
          <w:b/>
        </w:rPr>
        <w:t>Тридцать вторая сессия</w:t>
      </w:r>
    </w:p>
    <w:p w:rsidR="002315A5" w:rsidRPr="00DA2B52" w:rsidRDefault="008B02AB" w:rsidP="002315A5">
      <w:r>
        <w:t>Женева, 22</w:t>
      </w:r>
      <w:r>
        <w:rPr>
          <w:lang w:val="en-US"/>
        </w:rPr>
        <w:t>–</w:t>
      </w:r>
      <w:r w:rsidR="002315A5">
        <w:t>26 января 2018 года</w:t>
      </w:r>
    </w:p>
    <w:p w:rsidR="002315A5" w:rsidRPr="00DA2B52" w:rsidRDefault="002315A5" w:rsidP="002315A5">
      <w:r>
        <w:t>Пункт 5 b) предварительной повестки дня</w:t>
      </w:r>
    </w:p>
    <w:p w:rsidR="00E12C5F" w:rsidRPr="00725880" w:rsidRDefault="002315A5" w:rsidP="002315A5">
      <w:pPr>
        <w:rPr>
          <w:b/>
        </w:rPr>
      </w:pPr>
      <w:r w:rsidRPr="008B02AB">
        <w:rPr>
          <w:b/>
        </w:rPr>
        <w:t xml:space="preserve">Предложения о внесении поправок в Правила, </w:t>
      </w:r>
      <w:r w:rsidR="00F24202">
        <w:rPr>
          <w:b/>
        </w:rPr>
        <w:br/>
      </w:r>
      <w:r w:rsidRPr="008B02AB">
        <w:rPr>
          <w:b/>
        </w:rPr>
        <w:t>прилагаемые к ВОПОГ:</w:t>
      </w:r>
      <w:r w:rsidR="00F24202">
        <w:rPr>
          <w:b/>
        </w:rPr>
        <w:t xml:space="preserve"> </w:t>
      </w:r>
      <w:r w:rsidRPr="008B02AB">
        <w:rPr>
          <w:b/>
        </w:rPr>
        <w:t>другие предложения</w:t>
      </w:r>
    </w:p>
    <w:p w:rsidR="002315A5" w:rsidRPr="00DA2B52" w:rsidRDefault="002315A5" w:rsidP="008B02AB">
      <w:pPr>
        <w:pStyle w:val="HChGR"/>
        <w:rPr>
          <w:rFonts w:eastAsia="PMingLiU"/>
          <w:szCs w:val="28"/>
        </w:rPr>
      </w:pPr>
      <w:r>
        <w:tab/>
      </w:r>
      <w:r>
        <w:tab/>
        <w:t>Размеры двойного корпуса в пункте 9.3.2.11.2 a)</w:t>
      </w:r>
    </w:p>
    <w:p w:rsidR="002315A5" w:rsidRPr="002315A5" w:rsidRDefault="002315A5" w:rsidP="008B02AB">
      <w:pPr>
        <w:pStyle w:val="H1GR"/>
        <w:rPr>
          <w:rFonts w:eastAsia="PMingLiU"/>
        </w:rPr>
      </w:pPr>
      <w:r>
        <w:tab/>
      </w:r>
      <w:r>
        <w:tab/>
        <w:t>Передано Рекомендованными классификационными обществами ВОПОГ</w:t>
      </w:r>
      <w:r w:rsidR="008B02AB" w:rsidRPr="008B02A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8B02AB" w:rsidRPr="008B02AB">
        <w:rPr>
          <w:b w:val="0"/>
        </w:rPr>
        <w:t xml:space="preserve"> </w:t>
      </w:r>
      <w:r w:rsidRPr="008B02AB">
        <w:rPr>
          <w:b w:val="0"/>
          <w:bCs/>
          <w:sz w:val="20"/>
        </w:rPr>
        <w:footnoteReference w:customMarkFollows="1" w:id="2"/>
        <w:t>**</w:t>
      </w:r>
    </w:p>
    <w:p w:rsidR="002315A5" w:rsidRPr="00DA2B52" w:rsidRDefault="002315A5" w:rsidP="00900048">
      <w:pPr>
        <w:pStyle w:val="HChGR"/>
      </w:pPr>
      <w:r>
        <w:tab/>
      </w:r>
      <w:r>
        <w:tab/>
        <w:t>Введение</w:t>
      </w:r>
    </w:p>
    <w:p w:rsidR="002315A5" w:rsidRPr="00DA2B52" w:rsidRDefault="002315A5" w:rsidP="00900048">
      <w:pPr>
        <w:pStyle w:val="SingleTxtGR"/>
      </w:pPr>
      <w:r>
        <w:t>1.</w:t>
      </w:r>
      <w:r>
        <w:tab/>
        <w:t xml:space="preserve">Как представляется, ссылка на пункт 9.3.2.11.7 не является правильной: </w:t>
      </w:r>
    </w:p>
    <w:p w:rsidR="002315A5" w:rsidRPr="00DA2B52" w:rsidRDefault="002315A5" w:rsidP="00900048">
      <w:pPr>
        <w:pStyle w:val="SingleTxtGR"/>
        <w:rPr>
          <w:rFonts w:eastAsia="TimesNewRomanPSMT"/>
        </w:rPr>
      </w:pPr>
      <w:r>
        <w:t>Цитата:</w:t>
      </w:r>
    </w:p>
    <w:p w:rsidR="002315A5" w:rsidRPr="00DA2B52" w:rsidRDefault="005A73E0" w:rsidP="005A73E0">
      <w:pPr>
        <w:pStyle w:val="SingleTxtGR"/>
        <w:tabs>
          <w:tab w:val="clear" w:pos="2268"/>
          <w:tab w:val="left" w:pos="2410"/>
        </w:tabs>
        <w:rPr>
          <w:rFonts w:eastAsia="TimesNewRomanPSMT"/>
          <w:i/>
          <w:iCs/>
        </w:rPr>
      </w:pPr>
      <w:r>
        <w:rPr>
          <w:i/>
          <w:iCs/>
        </w:rPr>
        <w:t>9.3.2.11.2 a)</w:t>
      </w:r>
      <w:r>
        <w:rPr>
          <w:i/>
          <w:iCs/>
        </w:rPr>
        <w:tab/>
      </w:r>
      <w:r w:rsidR="002315A5" w:rsidRPr="00DA2B52">
        <w:rPr>
          <w:i/>
          <w:iCs/>
        </w:rPr>
        <w:t>В пределах грузового пространства (за исключением коффердамов) танкер должен быть сконструирован как гладкопалубное судно с двойным корпусом, междубортовыми пространствами, междудонными пространствами, но без тронка.</w:t>
      </w:r>
    </w:p>
    <w:p w:rsidR="002315A5" w:rsidRPr="00DA2B52" w:rsidRDefault="002315A5" w:rsidP="00900048">
      <w:pPr>
        <w:pStyle w:val="SingleTxtGR"/>
        <w:rPr>
          <w:rFonts w:eastAsia="TimesNewRomanPSMT"/>
          <w:i/>
          <w:iCs/>
        </w:rPr>
      </w:pPr>
      <w:r w:rsidRPr="00DA2B52">
        <w:rPr>
          <w:i/>
          <w:iCs/>
        </w:rPr>
        <w:t xml:space="preserve">Грузовые танки, не являющиеся частью корпуса судна, и охлаждаемые грузовые танки могут устанавливаться только в тех трюмных помещениях, которые граничат с междубортовыми и междудонными пространствами, в соответствии с пунктом </w:t>
      </w:r>
      <w:r w:rsidRPr="00DA2B52">
        <w:rPr>
          <w:b/>
          <w:bCs/>
          <w:i/>
          <w:iCs/>
          <w:u w:val="single"/>
        </w:rPr>
        <w:t>9.3.2.11.7</w:t>
      </w:r>
      <w:r w:rsidRPr="00DA2B52">
        <w:rPr>
          <w:i/>
          <w:iCs/>
        </w:rPr>
        <w:t xml:space="preserve"> ниже. Грузовые танки не должны выходить за границы палубы. … </w:t>
      </w:r>
    </w:p>
    <w:p w:rsidR="002315A5" w:rsidRPr="00DA2B52" w:rsidRDefault="002315A5" w:rsidP="00900048">
      <w:pPr>
        <w:pStyle w:val="SingleTxtGR"/>
        <w:rPr>
          <w:b/>
        </w:rPr>
      </w:pPr>
      <w:r>
        <w:t>Конец цитаты</w:t>
      </w:r>
    </w:p>
    <w:p w:rsidR="002315A5" w:rsidRPr="00DA2B52" w:rsidRDefault="00900048" w:rsidP="00900048">
      <w:pPr>
        <w:pStyle w:val="HChGR"/>
      </w:pPr>
      <w:r>
        <w:rPr>
          <w:lang w:val="en-US"/>
        </w:rPr>
        <w:lastRenderedPageBreak/>
        <w:tab/>
      </w:r>
      <w:r w:rsidR="002315A5">
        <w:t>I.</w:t>
      </w:r>
      <w:r w:rsidR="002315A5">
        <w:tab/>
        <w:t>Справочная информация</w:t>
      </w:r>
    </w:p>
    <w:p w:rsidR="002315A5" w:rsidRPr="00DA2B52" w:rsidRDefault="002315A5" w:rsidP="00900048">
      <w:pPr>
        <w:pStyle w:val="SingleTxtGR"/>
        <w:rPr>
          <w:rFonts w:eastAsia="TimesNewRomanPSMT"/>
        </w:rPr>
      </w:pPr>
      <w:r>
        <w:t>2.</w:t>
      </w:r>
      <w:r>
        <w:tab/>
        <w:t xml:space="preserve">Предписание в пункте 9.3.2.11.7 касается </w:t>
      </w:r>
      <w:r w:rsidR="005A73E0">
        <w:t>«</w:t>
      </w:r>
      <w:r>
        <w:t>грузовых танков, являющихся частью конструкции судна</w:t>
      </w:r>
      <w:r w:rsidR="005A73E0">
        <w:t>»</w:t>
      </w:r>
      <w:r>
        <w:t>:</w:t>
      </w:r>
    </w:p>
    <w:p w:rsidR="002315A5" w:rsidRPr="00DA2B52" w:rsidRDefault="002315A5" w:rsidP="00900048">
      <w:pPr>
        <w:pStyle w:val="SingleTxtGR"/>
        <w:rPr>
          <w:rFonts w:eastAsia="TimesNewRomanPSMT"/>
          <w:i/>
        </w:rPr>
      </w:pPr>
      <w:r>
        <w:t xml:space="preserve">Цитата: </w:t>
      </w:r>
    </w:p>
    <w:p w:rsidR="002315A5" w:rsidRPr="00DA2B52" w:rsidRDefault="002315A5" w:rsidP="005A73E0">
      <w:pPr>
        <w:pStyle w:val="SingleTxtGR"/>
        <w:rPr>
          <w:rFonts w:eastAsia="TimesNewRomanPSMT"/>
          <w:i/>
          <w:iCs/>
        </w:rPr>
      </w:pPr>
      <w:r w:rsidRPr="00DA2B52">
        <w:rPr>
          <w:i/>
          <w:iCs/>
        </w:rPr>
        <w:t xml:space="preserve">9.3.2.11.7 </w:t>
      </w:r>
      <w:r w:rsidR="005A73E0">
        <w:rPr>
          <w:i/>
          <w:iCs/>
        </w:rPr>
        <w:tab/>
      </w:r>
      <w:r w:rsidRPr="00DA2B52">
        <w:rPr>
          <w:i/>
          <w:iCs/>
        </w:rPr>
        <w:t xml:space="preserve">В случае двухкорпусного судна с грузовыми танками, являющимися частью конструкции судна, расстояние между бортовой обшивкой судна </w:t>
      </w:r>
      <w:r w:rsidR="005A73E0">
        <w:rPr>
          <w:i/>
          <w:iCs/>
        </w:rPr>
        <w:br/>
      </w:r>
      <w:r w:rsidRPr="00DA2B52">
        <w:rPr>
          <w:i/>
          <w:iCs/>
        </w:rPr>
        <w:t xml:space="preserve">и продольной переборкой грузового танка должно составлять не менее </w:t>
      </w:r>
      <w:r w:rsidR="005A73E0">
        <w:rPr>
          <w:i/>
          <w:iCs/>
        </w:rPr>
        <w:br/>
      </w:r>
      <w:r w:rsidRPr="00DA2B52">
        <w:rPr>
          <w:i/>
          <w:iCs/>
        </w:rPr>
        <w:t>1,00 м</w:t>
      </w:r>
      <w:r w:rsidR="005A73E0">
        <w:rPr>
          <w:i/>
          <w:iCs/>
        </w:rPr>
        <w:t>етров</w:t>
      </w:r>
      <w:r w:rsidRPr="00DA2B52">
        <w:rPr>
          <w:i/>
          <w:iCs/>
        </w:rPr>
        <w:t>.</w:t>
      </w:r>
    </w:p>
    <w:p w:rsidR="002315A5" w:rsidRPr="00DA2B52" w:rsidRDefault="002315A5" w:rsidP="00900048">
      <w:pPr>
        <w:pStyle w:val="SingleTxtGR"/>
        <w:rPr>
          <w:rFonts w:eastAsia="TimesNewRomanPSMT"/>
        </w:rPr>
      </w:pPr>
      <w:r w:rsidRPr="00DA2B52">
        <w:rPr>
          <w:i/>
          <w:iCs/>
        </w:rPr>
        <w:t>Однако это расстояние может быть уменьшено до 0,80 м при условии</w:t>
      </w:r>
      <w:r w:rsidR="005A73E0">
        <w:rPr>
          <w:i/>
          <w:iCs/>
        </w:rPr>
        <w:t>,</w:t>
      </w:r>
      <w:r w:rsidRPr="00DA2B52">
        <w:rPr>
          <w:i/>
          <w:iCs/>
        </w:rPr>
        <w:t xml:space="preserve"> что по сравнению с требованиями в отношении набора корпуса, установленными признанным классификационным обществом в правилах постройки судов, приняты следующие меры по усилению корпуса: ...</w:t>
      </w:r>
    </w:p>
    <w:p w:rsidR="002315A5" w:rsidRPr="00DA2B52" w:rsidRDefault="002315A5" w:rsidP="00900048">
      <w:pPr>
        <w:pStyle w:val="SingleTxtGR"/>
        <w:rPr>
          <w:rFonts w:eastAsia="TimesNewRomanPSMT"/>
          <w:i/>
          <w:sz w:val="24"/>
          <w:szCs w:val="24"/>
        </w:rPr>
      </w:pPr>
      <w:r>
        <w:t>Конец цитаты</w:t>
      </w:r>
    </w:p>
    <w:p w:rsidR="002315A5" w:rsidRPr="00DA2B52" w:rsidRDefault="002315A5" w:rsidP="00900048">
      <w:pPr>
        <w:pStyle w:val="SingleTxtGR"/>
        <w:rPr>
          <w:rFonts w:eastAsia="TimesNewRomanPSMT"/>
        </w:rPr>
      </w:pPr>
      <w:r>
        <w:t>3.</w:t>
      </w:r>
      <w:r>
        <w:tab/>
        <w:t xml:space="preserve">Вместе с тем предписание в пункте 9.3.2.11.2 a) касается </w:t>
      </w:r>
      <w:r w:rsidR="00900048">
        <w:t>«</w:t>
      </w:r>
      <w:r>
        <w:t>грузовых танков, не являющихся частью корпуса судна</w:t>
      </w:r>
      <w:r w:rsidR="00F32F0A">
        <w:t>»</w:t>
      </w:r>
      <w:r>
        <w:t>. Таким образом, ссылка на предписание в пункте 9.3.2.11.8 является в большей степени уместной.</w:t>
      </w:r>
    </w:p>
    <w:p w:rsidR="002315A5" w:rsidRPr="00DA2B52" w:rsidRDefault="002315A5" w:rsidP="00900048">
      <w:pPr>
        <w:pStyle w:val="SingleTxtGR"/>
        <w:rPr>
          <w:rFonts w:eastAsia="TimesNewRomanPSMT"/>
          <w:i/>
        </w:rPr>
      </w:pPr>
      <w:r>
        <w:t>Цитата:</w:t>
      </w:r>
    </w:p>
    <w:p w:rsidR="002315A5" w:rsidRPr="00DA2B52" w:rsidRDefault="002315A5" w:rsidP="00900048">
      <w:pPr>
        <w:pStyle w:val="SingleTxtGR"/>
        <w:rPr>
          <w:rFonts w:eastAsia="TimesNewRomanPSMT"/>
          <w:i/>
          <w:iCs/>
        </w:rPr>
      </w:pPr>
      <w:r w:rsidRPr="00DA2B52">
        <w:rPr>
          <w:i/>
          <w:iCs/>
        </w:rPr>
        <w:t xml:space="preserve">9.3.2.11.8 </w:t>
      </w:r>
      <w:r w:rsidR="005A73E0">
        <w:rPr>
          <w:i/>
          <w:iCs/>
        </w:rPr>
        <w:tab/>
      </w:r>
      <w:r w:rsidRPr="00DA2B52">
        <w:rPr>
          <w:i/>
          <w:iCs/>
        </w:rPr>
        <w:t>В случае судна с грузовыми танками, установленными в трюмном помещении, или с охлаждаемыми грузовыми танками расстояние между стенками междубортового пространства должно составлять не менее 0,80</w:t>
      </w:r>
      <w:r w:rsidR="005A73E0">
        <w:rPr>
          <w:i/>
          <w:iCs/>
        </w:rPr>
        <w:t> </w:t>
      </w:r>
      <w:r w:rsidRPr="00DA2B52">
        <w:rPr>
          <w:i/>
          <w:iCs/>
        </w:rPr>
        <w:t xml:space="preserve">м, </w:t>
      </w:r>
      <w:r w:rsidR="005A73E0">
        <w:rPr>
          <w:i/>
          <w:iCs/>
        </w:rPr>
        <w:br/>
      </w:r>
      <w:r w:rsidRPr="00DA2B52">
        <w:rPr>
          <w:i/>
          <w:iCs/>
        </w:rPr>
        <w:t>а высота междудонного пространства должна составлять не менее 0,60</w:t>
      </w:r>
      <w:r w:rsidR="005A73E0">
        <w:rPr>
          <w:i/>
          <w:iCs/>
        </w:rPr>
        <w:t> </w:t>
      </w:r>
      <w:r w:rsidRPr="00DA2B52">
        <w:rPr>
          <w:i/>
          <w:iCs/>
        </w:rPr>
        <w:t>м</w:t>
      </w:r>
      <w:r w:rsidR="005A73E0">
        <w:rPr>
          <w:i/>
          <w:iCs/>
        </w:rPr>
        <w:t>етров</w:t>
      </w:r>
      <w:r w:rsidRPr="00DA2B52">
        <w:rPr>
          <w:i/>
          <w:iCs/>
        </w:rPr>
        <w:t>.</w:t>
      </w:r>
    </w:p>
    <w:p w:rsidR="002315A5" w:rsidRPr="00DA2B52" w:rsidRDefault="002315A5" w:rsidP="00900048">
      <w:pPr>
        <w:pStyle w:val="SingleTxtGR"/>
        <w:rPr>
          <w:rFonts w:eastAsia="TimesNewRomanPSMT"/>
        </w:rPr>
      </w:pPr>
      <w:r>
        <w:t>Конец цитаты</w:t>
      </w:r>
    </w:p>
    <w:p w:rsidR="002315A5" w:rsidRPr="00DA2B52" w:rsidRDefault="002315A5" w:rsidP="00900048">
      <w:pPr>
        <w:pStyle w:val="SingleTxtGR"/>
        <w:rPr>
          <w:rFonts w:eastAsia="TimesNewRomanPSMT"/>
        </w:rPr>
      </w:pPr>
      <w:r>
        <w:t>4.</w:t>
      </w:r>
      <w:r>
        <w:tab/>
        <w:t>В результате ознакомления с содержанием пунктов 9.3.2.11.7 и 9.3.2.11.8 складывается представление, что в пункте 9.3.2.11.2 a) правильно делать ссылку на пункт 9.3.2.11.8, а не на пункт 9.3.2.11.7.</w:t>
      </w:r>
    </w:p>
    <w:p w:rsidR="002315A5" w:rsidRPr="00DA2B52" w:rsidRDefault="002315A5" w:rsidP="00900048">
      <w:pPr>
        <w:pStyle w:val="SingleTxtGR"/>
        <w:rPr>
          <w:rFonts w:eastAsia="TimesNewRomanPSMT"/>
        </w:rPr>
      </w:pPr>
      <w:r>
        <w:t>5.</w:t>
      </w:r>
      <w:r>
        <w:tab/>
        <w:t>Начиная с варианта ППОГР 2001 года одна и та же ссылка (т.е. на пункт</w:t>
      </w:r>
      <w:r w:rsidR="00F32F0A">
        <w:t> </w:t>
      </w:r>
      <w:r>
        <w:t>9.3.2.11.7) присутствует в текстах на француз</w:t>
      </w:r>
      <w:r w:rsidR="00900048">
        <w:t>ск</w:t>
      </w:r>
      <w:r>
        <w:t>ом, немецком и английском языках.</w:t>
      </w:r>
    </w:p>
    <w:p w:rsidR="002315A5" w:rsidRPr="00DA2B52" w:rsidRDefault="00900048" w:rsidP="00900048">
      <w:pPr>
        <w:pStyle w:val="HChGR"/>
      </w:pPr>
      <w:r w:rsidRPr="00900048">
        <w:tab/>
      </w:r>
      <w:r w:rsidR="002315A5">
        <w:t>II.</w:t>
      </w:r>
      <w:r w:rsidR="002315A5">
        <w:tab/>
        <w:t>Предлагаемая поправка</w:t>
      </w:r>
    </w:p>
    <w:p w:rsidR="002315A5" w:rsidRPr="00DA2B52" w:rsidRDefault="002315A5" w:rsidP="00900048">
      <w:pPr>
        <w:pStyle w:val="SingleTxtGR"/>
        <w:rPr>
          <w:rFonts w:eastAsia="TimesNewRomanPSMT"/>
        </w:rPr>
      </w:pPr>
      <w:r>
        <w:t>6.</w:t>
      </w:r>
      <w:r>
        <w:tab/>
        <w:t>Проект поправки:</w:t>
      </w:r>
    </w:p>
    <w:p w:rsidR="002315A5" w:rsidRPr="00DA2B52" w:rsidRDefault="002315A5" w:rsidP="00900048">
      <w:pPr>
        <w:pStyle w:val="SingleTxtGR"/>
        <w:rPr>
          <w:rFonts w:eastAsia="TimesNewRomanPSMT"/>
        </w:rPr>
      </w:pPr>
      <w:r>
        <w:t>Цитата:</w:t>
      </w:r>
    </w:p>
    <w:p w:rsidR="002315A5" w:rsidRPr="00DA2B52" w:rsidRDefault="002315A5" w:rsidP="005A73E0">
      <w:pPr>
        <w:pStyle w:val="SingleTxtGR"/>
        <w:tabs>
          <w:tab w:val="clear" w:pos="2268"/>
          <w:tab w:val="left" w:pos="2410"/>
        </w:tabs>
        <w:rPr>
          <w:rFonts w:eastAsia="TimesNewRomanPSMT"/>
          <w:i/>
          <w:iCs/>
        </w:rPr>
      </w:pPr>
      <w:r w:rsidRPr="00DA2B52">
        <w:rPr>
          <w:i/>
          <w:iCs/>
        </w:rPr>
        <w:t xml:space="preserve">9.3.2.11.2 a) </w:t>
      </w:r>
      <w:r w:rsidR="005A73E0">
        <w:rPr>
          <w:i/>
          <w:iCs/>
        </w:rPr>
        <w:tab/>
      </w:r>
      <w:r w:rsidRPr="00DA2B52">
        <w:rPr>
          <w:i/>
          <w:iCs/>
        </w:rPr>
        <w:t>В пределах грузового пространства (за исключением коффердамов) танкер должен быть сконструирован как гладкопалубное судно с двойным корпусом, междубортовыми пространствами, междудонными пространствами, но без тронка.</w:t>
      </w:r>
    </w:p>
    <w:p w:rsidR="002315A5" w:rsidRPr="00DA2B52" w:rsidRDefault="002315A5" w:rsidP="00900048">
      <w:pPr>
        <w:pStyle w:val="SingleTxtGR"/>
        <w:rPr>
          <w:rFonts w:eastAsia="TimesNewRomanPSMT"/>
          <w:i/>
          <w:iCs/>
        </w:rPr>
      </w:pPr>
      <w:r w:rsidRPr="00DA2B52">
        <w:rPr>
          <w:i/>
          <w:iCs/>
        </w:rPr>
        <w:t xml:space="preserve">Грузовые танки, не являющиеся частью корпуса судна, и охлаждаемые грузовые танки могут устанавливаться только в тех трюмных помещениях, которые граничат с междубортовыми и междудонными пространствами, в соответствии с пунктом </w:t>
      </w:r>
      <w:r w:rsidRPr="00DA2B52">
        <w:rPr>
          <w:i/>
          <w:iCs/>
          <w:strike/>
        </w:rPr>
        <w:t>9.3.2.11.7</w:t>
      </w:r>
      <w:r w:rsidRPr="00DA2B52">
        <w:rPr>
          <w:i/>
          <w:iCs/>
        </w:rPr>
        <w:t xml:space="preserve"> </w:t>
      </w:r>
      <w:r w:rsidRPr="00DA2B52">
        <w:rPr>
          <w:i/>
          <w:iCs/>
          <w:u w:val="single"/>
        </w:rPr>
        <w:t>9.3.2.11.8</w:t>
      </w:r>
      <w:r w:rsidRPr="00DA2B52">
        <w:rPr>
          <w:i/>
          <w:iCs/>
        </w:rPr>
        <w:t xml:space="preserve"> ниже. Грузовые танки не должны выходить за границы палубы. </w:t>
      </w:r>
      <w:r w:rsidR="00D002EB">
        <w:rPr>
          <w:i/>
          <w:iCs/>
        </w:rPr>
        <w:t>...</w:t>
      </w:r>
      <w:r w:rsidRPr="00DA2B52">
        <w:rPr>
          <w:i/>
          <w:iCs/>
        </w:rPr>
        <w:t>.</w:t>
      </w:r>
    </w:p>
    <w:p w:rsidR="002315A5" w:rsidRPr="00F32F0A" w:rsidRDefault="002315A5" w:rsidP="00900048">
      <w:pPr>
        <w:pStyle w:val="SingleTxtGR"/>
      </w:pPr>
      <w:r>
        <w:t>Конец цитаты</w:t>
      </w:r>
    </w:p>
    <w:p w:rsidR="002315A5" w:rsidRPr="00F32F0A" w:rsidRDefault="002315A5" w:rsidP="002315A5">
      <w:pPr>
        <w:pStyle w:val="SingleTxtGR"/>
        <w:spacing w:before="240" w:after="0"/>
        <w:jc w:val="center"/>
        <w:rPr>
          <w:u w:val="single"/>
        </w:rPr>
      </w:pPr>
      <w:r w:rsidRPr="00F32F0A">
        <w:rPr>
          <w:u w:val="single"/>
        </w:rPr>
        <w:tab/>
      </w:r>
      <w:r w:rsidRPr="00F32F0A">
        <w:rPr>
          <w:u w:val="single"/>
        </w:rPr>
        <w:tab/>
      </w:r>
      <w:r w:rsidRPr="00F32F0A">
        <w:rPr>
          <w:u w:val="single"/>
        </w:rPr>
        <w:tab/>
      </w:r>
    </w:p>
    <w:sectPr w:rsidR="002315A5" w:rsidRPr="00F32F0A" w:rsidSect="002315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21" w:rsidRPr="00A312BC" w:rsidRDefault="00C41E21" w:rsidP="00A312BC"/>
  </w:endnote>
  <w:endnote w:type="continuationSeparator" w:id="0">
    <w:p w:rsidR="00C41E21" w:rsidRPr="00A312BC" w:rsidRDefault="00C41E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A5" w:rsidRPr="002315A5" w:rsidRDefault="002315A5">
    <w:pPr>
      <w:pStyle w:val="Footer"/>
    </w:pPr>
    <w:r w:rsidRPr="002315A5">
      <w:rPr>
        <w:b/>
        <w:sz w:val="18"/>
      </w:rPr>
      <w:fldChar w:fldCharType="begin"/>
    </w:r>
    <w:r w:rsidRPr="002315A5">
      <w:rPr>
        <w:b/>
        <w:sz w:val="18"/>
      </w:rPr>
      <w:instrText xml:space="preserve"> PAGE  \* MERGEFORMAT </w:instrText>
    </w:r>
    <w:r w:rsidRPr="002315A5">
      <w:rPr>
        <w:b/>
        <w:sz w:val="18"/>
      </w:rPr>
      <w:fldChar w:fldCharType="separate"/>
    </w:r>
    <w:r w:rsidR="00B0410F">
      <w:rPr>
        <w:b/>
        <w:noProof/>
        <w:sz w:val="18"/>
      </w:rPr>
      <w:t>2</w:t>
    </w:r>
    <w:r w:rsidRPr="002315A5">
      <w:rPr>
        <w:b/>
        <w:sz w:val="18"/>
      </w:rPr>
      <w:fldChar w:fldCharType="end"/>
    </w:r>
    <w:r>
      <w:rPr>
        <w:b/>
        <w:sz w:val="18"/>
      </w:rPr>
      <w:tab/>
    </w:r>
    <w:r>
      <w:t>GE.17-19656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A5" w:rsidRPr="002315A5" w:rsidRDefault="002315A5" w:rsidP="002315A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GE.17-19656</w:t>
    </w:r>
    <w:r>
      <w:tab/>
    </w:r>
    <w:r w:rsidRPr="002315A5">
      <w:rPr>
        <w:b/>
        <w:sz w:val="18"/>
      </w:rPr>
      <w:fldChar w:fldCharType="begin"/>
    </w:r>
    <w:r w:rsidRPr="002315A5">
      <w:rPr>
        <w:b/>
        <w:sz w:val="18"/>
      </w:rPr>
      <w:instrText xml:space="preserve"> PAGE  \* MERGEFORMAT </w:instrText>
    </w:r>
    <w:r w:rsidRPr="002315A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315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315A5" w:rsidRDefault="002315A5" w:rsidP="002315A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4A76E4" wp14:editId="2CC00C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17-19656  (R)</w:t>
    </w:r>
    <w:r w:rsidR="008B02AB">
      <w:rPr>
        <w:lang w:val="en-US"/>
      </w:rPr>
      <w:t xml:space="preserve">  151117  161117</w:t>
    </w:r>
    <w:r>
      <w:br/>
    </w:r>
    <w:r w:rsidRPr="002315A5">
      <w:rPr>
        <w:rFonts w:ascii="C39T30Lfz" w:hAnsi="C39T30Lfz"/>
        <w:spacing w:val="0"/>
        <w:w w:val="100"/>
        <w:sz w:val="56"/>
      </w:rPr>
      <w:t></w:t>
    </w:r>
    <w:r w:rsidRPr="002315A5">
      <w:rPr>
        <w:rFonts w:ascii="C39T30Lfz" w:hAnsi="C39T30Lfz"/>
        <w:spacing w:val="0"/>
        <w:w w:val="100"/>
        <w:sz w:val="56"/>
      </w:rPr>
      <w:t></w:t>
    </w:r>
    <w:r w:rsidRPr="002315A5">
      <w:rPr>
        <w:rFonts w:ascii="C39T30Lfz" w:hAnsi="C39T30Lfz"/>
        <w:spacing w:val="0"/>
        <w:w w:val="100"/>
        <w:sz w:val="56"/>
      </w:rPr>
      <w:t></w:t>
    </w:r>
    <w:r w:rsidRPr="002315A5">
      <w:rPr>
        <w:rFonts w:ascii="C39T30Lfz" w:hAnsi="C39T30Lfz"/>
        <w:spacing w:val="0"/>
        <w:w w:val="100"/>
        <w:sz w:val="56"/>
      </w:rPr>
      <w:t></w:t>
    </w:r>
    <w:r w:rsidRPr="002315A5">
      <w:rPr>
        <w:rFonts w:ascii="C39T30Lfz" w:hAnsi="C39T30Lfz"/>
        <w:spacing w:val="0"/>
        <w:w w:val="100"/>
        <w:sz w:val="56"/>
      </w:rPr>
      <w:t></w:t>
    </w:r>
    <w:r w:rsidRPr="002315A5">
      <w:rPr>
        <w:rFonts w:ascii="C39T30Lfz" w:hAnsi="C39T30Lfz"/>
        <w:spacing w:val="0"/>
        <w:w w:val="100"/>
        <w:sz w:val="56"/>
      </w:rPr>
      <w:t></w:t>
    </w:r>
    <w:r w:rsidRPr="002315A5">
      <w:rPr>
        <w:rFonts w:ascii="C39T30Lfz" w:hAnsi="C39T30Lfz"/>
        <w:spacing w:val="0"/>
        <w:w w:val="100"/>
        <w:sz w:val="56"/>
      </w:rPr>
      <w:t></w:t>
    </w:r>
    <w:r w:rsidRPr="002315A5">
      <w:rPr>
        <w:rFonts w:ascii="C39T30Lfz" w:hAnsi="C39T30Lfz"/>
        <w:spacing w:val="0"/>
        <w:w w:val="100"/>
        <w:sz w:val="56"/>
      </w:rPr>
      <w:t></w:t>
    </w:r>
    <w:r w:rsidRPr="002315A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5EB9E2FB" wp14:editId="1C45A4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2/2018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21" w:rsidRPr="001075E9" w:rsidRDefault="00C41E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1E21" w:rsidRDefault="00C41E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B02AB" w:rsidRPr="008B02AB" w:rsidRDefault="008B02AB" w:rsidP="00900048">
      <w:pPr>
        <w:pStyle w:val="FootnoteText"/>
        <w:rPr>
          <w:sz w:val="20"/>
          <w:lang w:val="ru-RU"/>
        </w:rPr>
      </w:pPr>
      <w:r>
        <w:tab/>
      </w:r>
      <w:r w:rsidRPr="008B02AB">
        <w:rPr>
          <w:rStyle w:val="FootnoteReference"/>
          <w:sz w:val="20"/>
          <w:vertAlign w:val="baseline"/>
          <w:lang w:val="ru-RU"/>
        </w:rPr>
        <w:t>*</w:t>
      </w:r>
      <w:r w:rsidRPr="008B02AB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>Распространено на немецком языке Центральной комиссией судоходства по Рейну (ЦКСР) в качестве документа CCNR-ZKR/ADN/WP.15/AC.2/2018/14.</w:t>
      </w:r>
    </w:p>
  </w:footnote>
  <w:footnote w:id="2">
    <w:p w:rsidR="002315A5" w:rsidRPr="009D5117" w:rsidRDefault="002315A5" w:rsidP="00900048">
      <w:pPr>
        <w:pStyle w:val="FootnoteText"/>
        <w:rPr>
          <w:lang w:val="ru-RU"/>
        </w:rPr>
      </w:pPr>
      <w:r>
        <w:rPr>
          <w:lang w:val="ru-RU"/>
        </w:rPr>
        <w:tab/>
      </w:r>
      <w:r w:rsidRPr="00900048">
        <w:rPr>
          <w:sz w:val="20"/>
          <w:lang w:val="ru-RU"/>
        </w:rPr>
        <w:t>**</w:t>
      </w:r>
      <w:r>
        <w:rPr>
          <w:lang w:val="ru-RU"/>
        </w:rPr>
        <w:tab/>
        <w:t xml:space="preserve">В соответствии с программой работы Комитета по внутреннему </w:t>
      </w:r>
      <w:r w:rsidRPr="00900048">
        <w:rPr>
          <w:lang w:val="ru-RU"/>
        </w:rPr>
        <w:t>транспорту</w:t>
      </w:r>
      <w:r>
        <w:rPr>
          <w:lang w:val="ru-RU"/>
        </w:rPr>
        <w:t xml:space="preserve"> </w:t>
      </w:r>
      <w:r w:rsidR="00900048" w:rsidRPr="00900048">
        <w:rPr>
          <w:lang w:val="ru-RU"/>
        </w:rPr>
        <w:br/>
      </w:r>
      <w:r>
        <w:rPr>
          <w:lang w:val="ru-RU"/>
        </w:rPr>
        <w:t>на 2017–2018 годы (ECE/TRANS/WP.15/237, приложение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A5" w:rsidRPr="002315A5" w:rsidRDefault="00B0410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A5" w:rsidRPr="002315A5" w:rsidRDefault="00B0410F" w:rsidP="002315A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2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78F2"/>
    <w:rsid w:val="00180183"/>
    <w:rsid w:val="0018024D"/>
    <w:rsid w:val="0018649F"/>
    <w:rsid w:val="00196389"/>
    <w:rsid w:val="001B3EF6"/>
    <w:rsid w:val="001C7A89"/>
    <w:rsid w:val="002315A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73E0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5880"/>
    <w:rsid w:val="00734ACB"/>
    <w:rsid w:val="00757357"/>
    <w:rsid w:val="00792497"/>
    <w:rsid w:val="00806737"/>
    <w:rsid w:val="00825F8D"/>
    <w:rsid w:val="00834B71"/>
    <w:rsid w:val="0084547B"/>
    <w:rsid w:val="0086445C"/>
    <w:rsid w:val="00894693"/>
    <w:rsid w:val="008A08D7"/>
    <w:rsid w:val="008A37C8"/>
    <w:rsid w:val="008B02AB"/>
    <w:rsid w:val="008B6909"/>
    <w:rsid w:val="008D53B6"/>
    <w:rsid w:val="008F7609"/>
    <w:rsid w:val="00900048"/>
    <w:rsid w:val="00906890"/>
    <w:rsid w:val="00911BE4"/>
    <w:rsid w:val="00951972"/>
    <w:rsid w:val="009608F3"/>
    <w:rsid w:val="009A24AC"/>
    <w:rsid w:val="009C1378"/>
    <w:rsid w:val="009C6FE6"/>
    <w:rsid w:val="009D7E7D"/>
    <w:rsid w:val="00A14DA8"/>
    <w:rsid w:val="00A312BC"/>
    <w:rsid w:val="00A84021"/>
    <w:rsid w:val="00A84D35"/>
    <w:rsid w:val="00A917B3"/>
    <w:rsid w:val="00AB4B51"/>
    <w:rsid w:val="00B0410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1E21"/>
    <w:rsid w:val="00C60F0C"/>
    <w:rsid w:val="00C805C9"/>
    <w:rsid w:val="00C92939"/>
    <w:rsid w:val="00CA1679"/>
    <w:rsid w:val="00CB151C"/>
    <w:rsid w:val="00CC5D64"/>
    <w:rsid w:val="00CE5A1A"/>
    <w:rsid w:val="00CF55F6"/>
    <w:rsid w:val="00D002EB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05A6"/>
    <w:rsid w:val="00F24202"/>
    <w:rsid w:val="00F2523A"/>
    <w:rsid w:val="00F32F0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571E38-2177-4D6E-8835-08837C64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rsid w:val="002315A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2315A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Bullet1G">
    <w:name w:val="_Bullet 1_G"/>
    <w:basedOn w:val="Normal"/>
    <w:rsid w:val="002315A5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2315A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ECE/TRANS/WP.15/AC.2/2018/14</vt:lpstr>
      <vt:lpstr>ECE/TRANS/WP.15/AC.2/2018/14</vt:lpstr>
      <vt:lpstr>A/</vt:lpstr>
    </vt:vector>
  </TitlesOfParts>
  <Company>DCM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ECE/TRANS/WP.15/AC.2/2018/14</dc:title>
  <dc:subject/>
  <dc:creator>Prokoudina S.</dc:creator>
  <cp:keywords/>
  <cp:lastModifiedBy>Marie-Claude Collet</cp:lastModifiedBy>
  <cp:revision>3</cp:revision>
  <cp:lastPrinted>2017-11-21T09:31:00Z</cp:lastPrinted>
  <dcterms:created xsi:type="dcterms:W3CDTF">2017-11-21T09:31:00Z</dcterms:created>
  <dcterms:modified xsi:type="dcterms:W3CDTF">2017-11-21T09:31:00Z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