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A06D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A06DE" w:rsidP="00AA06DE">
            <w:pPr>
              <w:jc w:val="right"/>
            </w:pPr>
            <w:r w:rsidRPr="00AA06DE">
              <w:rPr>
                <w:sz w:val="40"/>
              </w:rPr>
              <w:t>ECE</w:t>
            </w:r>
            <w:r>
              <w:t>/TRANS/WP.15/AC.2/2017/47</w:t>
            </w:r>
          </w:p>
        </w:tc>
      </w:tr>
      <w:tr w:rsidR="00F35BAF" w:rsidRPr="00DB58B5" w:rsidTr="00A4462B">
        <w:trPr>
          <w:trHeight w:val="2689"/>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A06DE" w:rsidP="00C97039">
            <w:pPr>
              <w:spacing w:before="240"/>
            </w:pPr>
            <w:proofErr w:type="spellStart"/>
            <w:r>
              <w:t>Distr</w:t>
            </w:r>
            <w:proofErr w:type="spellEnd"/>
            <w:r>
              <w:t xml:space="preserve">. </w:t>
            </w:r>
            <w:proofErr w:type="gramStart"/>
            <w:r>
              <w:t>générale</w:t>
            </w:r>
            <w:proofErr w:type="gramEnd"/>
          </w:p>
          <w:p w:rsidR="00AA06DE" w:rsidRDefault="00AA06DE" w:rsidP="00AA06DE">
            <w:pPr>
              <w:spacing w:line="240" w:lineRule="exact"/>
            </w:pPr>
            <w:r>
              <w:t>13 juin 2017</w:t>
            </w:r>
          </w:p>
          <w:p w:rsidR="00AA06DE" w:rsidRDefault="00AA06DE" w:rsidP="00AA06DE">
            <w:pPr>
              <w:spacing w:line="240" w:lineRule="exact"/>
            </w:pPr>
            <w:r>
              <w:t>Français</w:t>
            </w:r>
          </w:p>
          <w:p w:rsidR="00AA06DE" w:rsidRPr="00DB58B5" w:rsidRDefault="00AA06DE" w:rsidP="00AA06D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095B33">
      <w:pPr>
        <w:spacing w:before="80"/>
        <w:rPr>
          <w:sz w:val="28"/>
          <w:szCs w:val="28"/>
        </w:rPr>
      </w:pPr>
      <w:r w:rsidRPr="00685843">
        <w:rPr>
          <w:sz w:val="28"/>
          <w:szCs w:val="28"/>
        </w:rPr>
        <w:t>Comité des transports intérieurs</w:t>
      </w:r>
    </w:p>
    <w:p w:rsidR="005D6C6A" w:rsidRPr="005D6C6A" w:rsidRDefault="005D6C6A" w:rsidP="00095B33">
      <w:pPr>
        <w:spacing w:before="80"/>
        <w:rPr>
          <w:b/>
          <w:sz w:val="24"/>
          <w:szCs w:val="24"/>
        </w:rPr>
      </w:pPr>
      <w:r w:rsidRPr="005D6C6A">
        <w:rPr>
          <w:b/>
          <w:sz w:val="24"/>
          <w:szCs w:val="24"/>
        </w:rPr>
        <w:t>Groupe de travail des transports de marchandises dangereuses</w:t>
      </w:r>
    </w:p>
    <w:p w:rsidR="005D6C6A" w:rsidRPr="00986FA4" w:rsidRDefault="005D6C6A" w:rsidP="00095B33">
      <w:pPr>
        <w:spacing w:before="80"/>
        <w:rPr>
          <w:b/>
          <w:bCs/>
        </w:rPr>
      </w:pPr>
      <w:r w:rsidRPr="00986FA4">
        <w:rPr>
          <w:b/>
          <w:bCs/>
        </w:rPr>
        <w:t>Réunion commune d</w:t>
      </w:r>
      <w:r>
        <w:rPr>
          <w:b/>
          <w:bCs/>
        </w:rPr>
        <w:t>’</w:t>
      </w:r>
      <w:r w:rsidRPr="00986FA4">
        <w:rPr>
          <w:b/>
          <w:bCs/>
        </w:rPr>
        <w:t>experts sur le Règlement annexé à l</w:t>
      </w:r>
      <w:r>
        <w:rPr>
          <w:b/>
          <w:bCs/>
        </w:rPr>
        <w:t>’</w:t>
      </w:r>
      <w:r w:rsidRPr="00986FA4">
        <w:rPr>
          <w:b/>
          <w:bCs/>
        </w:rPr>
        <w:t xml:space="preserve">Accord européen </w:t>
      </w:r>
      <w:r>
        <w:rPr>
          <w:b/>
          <w:bCs/>
        </w:rPr>
        <w:br/>
      </w:r>
      <w:r w:rsidRPr="00986FA4">
        <w:rPr>
          <w:b/>
          <w:bCs/>
        </w:rPr>
        <w:t>relatif au transport international des mar</w:t>
      </w:r>
      <w:r>
        <w:rPr>
          <w:b/>
          <w:bCs/>
        </w:rPr>
        <w:t xml:space="preserve">chandises dangereuses par voies </w:t>
      </w:r>
      <w:r>
        <w:rPr>
          <w:b/>
          <w:bCs/>
        </w:rPr>
        <w:br/>
      </w:r>
      <w:r w:rsidRPr="00986FA4">
        <w:rPr>
          <w:b/>
          <w:bCs/>
        </w:rPr>
        <w:t>de navigation intérieures (ADN) (Comité de sécurité de l</w:t>
      </w:r>
      <w:r>
        <w:rPr>
          <w:b/>
          <w:bCs/>
        </w:rPr>
        <w:t>’</w:t>
      </w:r>
      <w:r w:rsidRPr="00986FA4">
        <w:rPr>
          <w:b/>
          <w:bCs/>
        </w:rPr>
        <w:t>ADN)</w:t>
      </w:r>
    </w:p>
    <w:p w:rsidR="005D6C6A" w:rsidRPr="00986FA4" w:rsidRDefault="005D6C6A" w:rsidP="00095B33">
      <w:pPr>
        <w:spacing w:before="80"/>
        <w:rPr>
          <w:b/>
          <w:bCs/>
        </w:rPr>
      </w:pPr>
      <w:r w:rsidRPr="00986FA4">
        <w:rPr>
          <w:b/>
          <w:bCs/>
        </w:rPr>
        <w:t>Trente et unième session</w:t>
      </w:r>
    </w:p>
    <w:p w:rsidR="005D6C6A" w:rsidRPr="00986FA4" w:rsidRDefault="005D6C6A" w:rsidP="005D6C6A">
      <w:r w:rsidRPr="00986FA4">
        <w:t>Genève, 28-31 août 2017</w:t>
      </w:r>
    </w:p>
    <w:p w:rsidR="005D6C6A" w:rsidRPr="00986FA4" w:rsidRDefault="005D6C6A" w:rsidP="005D6C6A">
      <w:r w:rsidRPr="00986FA4">
        <w:t>Point 5 de l</w:t>
      </w:r>
      <w:r>
        <w:t>’</w:t>
      </w:r>
      <w:r w:rsidRPr="00986FA4">
        <w:t>ordre du jour provisoire</w:t>
      </w:r>
    </w:p>
    <w:p w:rsidR="005D6C6A" w:rsidRPr="00986FA4" w:rsidRDefault="005D6C6A" w:rsidP="005D6C6A">
      <w:r w:rsidRPr="00986FA4">
        <w:rPr>
          <w:b/>
        </w:rPr>
        <w:t>Rapports des groupes de travail informels</w:t>
      </w:r>
    </w:p>
    <w:p w:rsidR="005D6C6A" w:rsidRPr="00986FA4" w:rsidRDefault="005D6C6A" w:rsidP="00AE61B7">
      <w:pPr>
        <w:pStyle w:val="HChG"/>
        <w:spacing w:before="300" w:after="200"/>
        <w:rPr>
          <w:rFonts w:eastAsia="TimesNewRomanPSMT"/>
        </w:rPr>
      </w:pPr>
      <w:r w:rsidRPr="00986FA4">
        <w:rPr>
          <w:rFonts w:eastAsia="TimesNewRomanPSMT"/>
        </w:rPr>
        <w:tab/>
      </w:r>
      <w:r w:rsidR="0028090F">
        <w:rPr>
          <w:rFonts w:eastAsia="TimesNewRomanPSMT"/>
        </w:rPr>
        <w:tab/>
      </w:r>
      <w:r w:rsidRPr="00986FA4">
        <w:rPr>
          <w:rFonts w:eastAsia="TimesNewRomanPSMT"/>
        </w:rPr>
        <w:t>Rappor</w:t>
      </w:r>
      <w:r w:rsidR="0028090F">
        <w:rPr>
          <w:rFonts w:eastAsia="TimesNewRomanPSMT"/>
        </w:rPr>
        <w:t>t du groupe de travail informel</w:t>
      </w:r>
      <w:r w:rsidRPr="00986FA4">
        <w:rPr>
          <w:rFonts w:eastAsia="TimesNewRomanPSMT"/>
        </w:rPr>
        <w:t xml:space="preserve"> </w:t>
      </w:r>
      <w:r>
        <w:rPr>
          <w:rFonts w:eastAsia="TimesNewRomanPSMT"/>
        </w:rPr>
        <w:t xml:space="preserve">du </w:t>
      </w:r>
      <w:r w:rsidRPr="00986FA4">
        <w:rPr>
          <w:rFonts w:eastAsia="TimesNewRomanPSMT"/>
        </w:rPr>
        <w:t xml:space="preserve">dégazage </w:t>
      </w:r>
      <w:r w:rsidR="0028090F">
        <w:rPr>
          <w:rFonts w:eastAsia="TimesNewRomanPSMT"/>
        </w:rPr>
        <w:br/>
      </w:r>
      <w:r w:rsidRPr="00986FA4">
        <w:rPr>
          <w:rFonts w:eastAsia="TimesNewRomanPSMT"/>
        </w:rPr>
        <w:t>des citernes</w:t>
      </w:r>
      <w:r>
        <w:rPr>
          <w:rFonts w:eastAsia="TimesNewRomanPSMT"/>
        </w:rPr>
        <w:t xml:space="preserve"> à cargaison</w:t>
      </w:r>
    </w:p>
    <w:p w:rsidR="005D6C6A" w:rsidRDefault="005D6C6A" w:rsidP="00AE61B7">
      <w:pPr>
        <w:pStyle w:val="H1G"/>
        <w:spacing w:before="300" w:after="200"/>
        <w:rPr>
          <w:b w:val="0"/>
          <w:sz w:val="20"/>
          <w:lang w:val="fr-FR"/>
        </w:rPr>
      </w:pPr>
      <w:r w:rsidRPr="00986FA4">
        <w:tab/>
      </w:r>
      <w:r w:rsidRPr="00986FA4">
        <w:tab/>
        <w:t>Communication du Gouvernement des Pays-Bas</w:t>
      </w:r>
      <w:r w:rsidRPr="00A51105">
        <w:rPr>
          <w:rStyle w:val="FootnoteReference"/>
        </w:rPr>
        <w:t xml:space="preserve"> </w:t>
      </w:r>
      <w:r w:rsidRPr="00EB72B1">
        <w:rPr>
          <w:rStyle w:val="FootnoteReference"/>
          <w:b w:val="0"/>
          <w:sz w:val="20"/>
          <w:szCs w:val="20"/>
          <w:vertAlign w:val="baseline"/>
        </w:rPr>
        <w:footnoteReference w:customMarkFollows="1" w:id="2"/>
        <w:t>*</w:t>
      </w:r>
      <w:r w:rsidRPr="00986FA4">
        <w:rPr>
          <w:sz w:val="20"/>
          <w:vertAlign w:val="superscript"/>
        </w:rPr>
        <w:t xml:space="preserve">, </w:t>
      </w:r>
      <w:r w:rsidRPr="00EB72B1">
        <w:rPr>
          <w:rStyle w:val="FootnoteReference"/>
          <w:b w:val="0"/>
          <w:sz w:val="20"/>
          <w:szCs w:val="20"/>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8"/>
      </w:tblGrid>
      <w:tr w:rsidR="0028090F" w:rsidTr="003022F8">
        <w:trPr>
          <w:jc w:val="center"/>
        </w:trPr>
        <w:tc>
          <w:tcPr>
            <w:tcW w:w="9637" w:type="dxa"/>
            <w:shd w:val="clear" w:color="auto" w:fill="auto"/>
          </w:tcPr>
          <w:p w:rsidR="0028090F" w:rsidRPr="000001E7" w:rsidRDefault="0028090F" w:rsidP="000179DB">
            <w:pPr>
              <w:spacing w:before="200" w:after="120"/>
              <w:ind w:left="1418"/>
              <w:rPr>
                <w:i/>
                <w:sz w:val="24"/>
              </w:rPr>
            </w:pPr>
            <w:r w:rsidRPr="000001E7">
              <w:rPr>
                <w:i/>
                <w:sz w:val="24"/>
              </w:rPr>
              <w:t>Résumé</w:t>
            </w:r>
          </w:p>
        </w:tc>
      </w:tr>
      <w:tr w:rsidR="00882236" w:rsidRPr="00882236" w:rsidTr="003022F8">
        <w:trPr>
          <w:jc w:val="center"/>
        </w:trPr>
        <w:tc>
          <w:tcPr>
            <w:tcW w:w="9637" w:type="dxa"/>
            <w:shd w:val="clear" w:color="auto" w:fill="auto"/>
          </w:tcPr>
          <w:p w:rsidR="00882236" w:rsidRPr="00882236" w:rsidRDefault="00882236" w:rsidP="00B666C3">
            <w:pPr>
              <w:pStyle w:val="SingleTxtG"/>
              <w:kinsoku/>
              <w:overflowPunct/>
              <w:autoSpaceDE/>
              <w:autoSpaceDN/>
              <w:adjustRightInd/>
              <w:snapToGrid/>
              <w:spacing w:before="60" w:after="80" w:line="238" w:lineRule="atLeast"/>
              <w:ind w:left="2552" w:hanging="2268"/>
              <w:rPr>
                <w:b/>
              </w:rPr>
            </w:pPr>
            <w:r w:rsidRPr="00986FA4">
              <w:rPr>
                <w:b/>
              </w:rPr>
              <w:t>Résumé analytique :</w:t>
            </w:r>
            <w:r>
              <w:rPr>
                <w:b/>
              </w:rPr>
              <w:tab/>
            </w:r>
            <w:r w:rsidRPr="00986FA4">
              <w:t xml:space="preserve">Le présent document contient un résumé de la cinquième réunion du groupe de travail informel </w:t>
            </w:r>
            <w:r>
              <w:t>du</w:t>
            </w:r>
            <w:r w:rsidRPr="00986FA4">
              <w:t xml:space="preserve"> dégazage des citernes</w:t>
            </w:r>
            <w:r>
              <w:t xml:space="preserve"> à cargaison</w:t>
            </w:r>
            <w:r w:rsidRPr="00986FA4">
              <w:t>. Les amendements qui ont été apportés au</w:t>
            </w:r>
            <w:r>
              <w:t xml:space="preserve"> </w:t>
            </w:r>
            <w:r w:rsidRPr="00986FA4">
              <w:t>Règlement annexé à l</w:t>
            </w:r>
            <w:r>
              <w:t>’</w:t>
            </w:r>
            <w:r w:rsidRPr="00986FA4">
              <w:t>ADN à la suite de cette réunion figurent dans l</w:t>
            </w:r>
            <w:r>
              <w:t>’</w:t>
            </w:r>
            <w:r w:rsidRPr="00986FA4">
              <w:t>annexe. Il convient tout particulièrement de noter les dispositions</w:t>
            </w:r>
            <w:r>
              <w:t xml:space="preserve"> </w:t>
            </w:r>
            <w:r w:rsidRPr="00986FA4">
              <w:t>relatives au dégazage dans une station de réception (sect</w:t>
            </w:r>
            <w:r w:rsidR="00CA1E63">
              <w:t>. </w:t>
            </w:r>
            <w:r w:rsidRPr="00986FA4">
              <w:t>7.2.3.7.2).</w:t>
            </w:r>
          </w:p>
        </w:tc>
      </w:tr>
      <w:tr w:rsidR="00882236" w:rsidRPr="00882236" w:rsidTr="003022F8">
        <w:trPr>
          <w:jc w:val="center"/>
        </w:trPr>
        <w:tc>
          <w:tcPr>
            <w:tcW w:w="9637" w:type="dxa"/>
            <w:shd w:val="clear" w:color="auto" w:fill="auto"/>
          </w:tcPr>
          <w:p w:rsidR="00882236" w:rsidRPr="00882236" w:rsidRDefault="005A3CD7" w:rsidP="00B666C3">
            <w:pPr>
              <w:pStyle w:val="SingleTxtG"/>
              <w:kinsoku/>
              <w:overflowPunct/>
              <w:autoSpaceDE/>
              <w:autoSpaceDN/>
              <w:adjustRightInd/>
              <w:snapToGrid/>
              <w:spacing w:before="60" w:after="80" w:line="238" w:lineRule="atLeast"/>
              <w:ind w:left="2552" w:hanging="2268"/>
              <w:rPr>
                <w:b/>
              </w:rPr>
            </w:pPr>
            <w:r w:rsidRPr="00986FA4">
              <w:rPr>
                <w:b/>
              </w:rPr>
              <w:t>Mesure à prendre :</w:t>
            </w:r>
            <w:r w:rsidRPr="00986FA4">
              <w:t xml:space="preserve"> </w:t>
            </w:r>
            <w:r>
              <w:tab/>
            </w:r>
            <w:r w:rsidRPr="00986FA4">
              <w:t>Le Comité de sécurité est invité à adopter les propositions d</w:t>
            </w:r>
            <w:r>
              <w:t>’</w:t>
            </w:r>
            <w:r w:rsidRPr="00986FA4">
              <w:t>amendement qui figurent dans l</w:t>
            </w:r>
            <w:r>
              <w:t>’</w:t>
            </w:r>
            <w:r w:rsidRPr="00986FA4">
              <w:t>annexe.</w:t>
            </w:r>
          </w:p>
        </w:tc>
      </w:tr>
      <w:tr w:rsidR="0028090F" w:rsidRPr="00882236" w:rsidTr="003022F8">
        <w:trPr>
          <w:jc w:val="center"/>
        </w:trPr>
        <w:tc>
          <w:tcPr>
            <w:tcW w:w="9637" w:type="dxa"/>
            <w:shd w:val="clear" w:color="auto" w:fill="auto"/>
          </w:tcPr>
          <w:p w:rsidR="0028090F" w:rsidRPr="00882236" w:rsidRDefault="005A3CD7" w:rsidP="00B666C3">
            <w:pPr>
              <w:pStyle w:val="SingleTxtG"/>
              <w:kinsoku/>
              <w:overflowPunct/>
              <w:autoSpaceDE/>
              <w:autoSpaceDN/>
              <w:adjustRightInd/>
              <w:snapToGrid/>
              <w:spacing w:before="60" w:after="80" w:line="238" w:lineRule="atLeast"/>
              <w:ind w:left="2552" w:hanging="2268"/>
              <w:jc w:val="left"/>
              <w:rPr>
                <w:b/>
              </w:rPr>
            </w:pPr>
            <w:r w:rsidRPr="00986FA4">
              <w:rPr>
                <w:b/>
              </w:rPr>
              <w:t>Documents connexes :</w:t>
            </w:r>
            <w:r>
              <w:rPr>
                <w:b/>
              </w:rPr>
              <w:tab/>
            </w:r>
            <w:r w:rsidRPr="00986FA4">
              <w:t>Document informel INF. 25 (vingt-cinquième session)</w:t>
            </w:r>
            <w:r>
              <w:t> ;</w:t>
            </w:r>
            <w:r>
              <w:br/>
            </w:r>
            <w:r w:rsidRPr="00986FA4">
              <w:t>ECE/TRANS/WP.15/AC.2/52 (par. 57 à 59)</w:t>
            </w:r>
            <w:r>
              <w:t> ;</w:t>
            </w:r>
            <w:r>
              <w:br/>
            </w:r>
            <w:r w:rsidRPr="00986FA4">
              <w:t>Document informel INF. 19 (vingt-sixième session)</w:t>
            </w:r>
            <w:r w:rsidR="00BB52CA">
              <w:t xml:space="preserve"> ; </w:t>
            </w:r>
            <w:r w:rsidR="00BB52CA">
              <w:br/>
            </w:r>
            <w:r w:rsidR="00BB52CA" w:rsidRPr="00986FA4">
              <w:t>ECE/TRANS/WP.15/AC.2/54 (par. 62)</w:t>
            </w:r>
            <w:r w:rsidR="003B3210">
              <w:t xml:space="preserve"> ; </w:t>
            </w:r>
            <w:r w:rsidR="003B3210">
              <w:br/>
            </w:r>
            <w:r w:rsidR="003B3210" w:rsidRPr="00986FA4">
              <w:t>ECE/TRANS/WP.15/AC.2/2015/29</w:t>
            </w:r>
            <w:r w:rsidR="003B3210">
              <w:t xml:space="preserve"> ; </w:t>
            </w:r>
            <w:r w:rsidR="003B3210">
              <w:br/>
            </w:r>
            <w:r w:rsidR="003B3210" w:rsidRPr="00986FA4">
              <w:t>ECE/TRANS/WP.15/AC.2/56 (par. 70</w:t>
            </w:r>
            <w:r w:rsidR="003B3210">
              <w:t xml:space="preserve"> à </w:t>
            </w:r>
            <w:r w:rsidR="003B3210" w:rsidRPr="00986FA4">
              <w:t>74)</w:t>
            </w:r>
            <w:r w:rsidR="003B3210">
              <w:t xml:space="preserve">  ; </w:t>
            </w:r>
            <w:r w:rsidR="003B3210">
              <w:br/>
            </w:r>
            <w:r w:rsidR="003B3210" w:rsidRPr="00986FA4">
              <w:t>ECE/TRANS/WP.15/AC.2/2016/25</w:t>
            </w:r>
            <w:r w:rsidR="00A4462B">
              <w:t xml:space="preserve"> ; </w:t>
            </w:r>
            <w:r w:rsidR="00A4462B">
              <w:br/>
            </w:r>
            <w:r w:rsidR="003B3210" w:rsidRPr="00986FA4">
              <w:t>ECE/TRANS/WP.15/AC.2/58 (par. 73 et 74)</w:t>
            </w:r>
            <w:r w:rsidR="00A4462B">
              <w:t xml:space="preserve">  ; </w:t>
            </w:r>
            <w:r w:rsidR="00A4462B">
              <w:br/>
            </w:r>
            <w:r w:rsidR="003B3210" w:rsidRPr="00986FA4">
              <w:t>ECE/TRANS/WP.15/AC.2/2016/49</w:t>
            </w:r>
            <w:r w:rsidR="00A4462B">
              <w:t xml:space="preserve"> ; </w:t>
            </w:r>
            <w:r w:rsidR="00A4462B">
              <w:br/>
            </w:r>
            <w:r w:rsidR="003B3210" w:rsidRPr="00986FA4">
              <w:rPr>
                <w:rFonts w:eastAsia="SimSun"/>
                <w:lang w:eastAsia="zh-CN"/>
              </w:rPr>
              <w:t xml:space="preserve">Documents informels INF.8 et INF.9 </w:t>
            </w:r>
            <w:r w:rsidR="003B3210" w:rsidRPr="00986FA4">
              <w:t>(vingt-neuvième session)</w:t>
            </w:r>
            <w:r w:rsidR="00A4462B">
              <w:t xml:space="preserve">  ; </w:t>
            </w:r>
            <w:r w:rsidR="00A4462B">
              <w:br/>
            </w:r>
            <w:r w:rsidR="003B3210" w:rsidRPr="00986FA4">
              <w:lastRenderedPageBreak/>
              <w:t>ECE/TRANS/WP.15/AC.2/60 (par. 53 à 61)</w:t>
            </w:r>
            <w:r w:rsidR="00A4462B">
              <w:t>.</w:t>
            </w:r>
          </w:p>
        </w:tc>
      </w:tr>
    </w:tbl>
    <w:p w:rsidR="003466EC" w:rsidRDefault="003466EC" w:rsidP="003466EC">
      <w:pPr>
        <w:pStyle w:val="HChG"/>
      </w:pPr>
      <w:r>
        <w:lastRenderedPageBreak/>
        <w:tab/>
      </w:r>
      <w:r>
        <w:tab/>
        <w:t>Introduction</w:t>
      </w:r>
    </w:p>
    <w:p w:rsidR="005D6C6A" w:rsidRPr="00986FA4" w:rsidRDefault="005D6C6A" w:rsidP="00095B33">
      <w:pPr>
        <w:pStyle w:val="SingleTxtG"/>
      </w:pPr>
      <w:r w:rsidRPr="00986FA4">
        <w:t>1.</w:t>
      </w:r>
      <w:r w:rsidRPr="00986FA4">
        <w:tab/>
        <w:t xml:space="preserve">La cinquième réunion du groupe de travail informel </w:t>
      </w:r>
      <w:r>
        <w:t>du</w:t>
      </w:r>
      <w:r w:rsidRPr="00986FA4">
        <w:t xml:space="preserve"> dégazage des citernes </w:t>
      </w:r>
      <w:r>
        <w:t xml:space="preserve">à cargaison </w:t>
      </w:r>
      <w:r w:rsidRPr="00986FA4">
        <w:t>s</w:t>
      </w:r>
      <w:r>
        <w:t>’</w:t>
      </w:r>
      <w:r w:rsidRPr="00986FA4">
        <w:t>est déroulée du 28 au 30</w:t>
      </w:r>
      <w:r w:rsidR="00095B33">
        <w:t> </w:t>
      </w:r>
      <w:r w:rsidRPr="00986FA4">
        <w:t>mars 2017, au Ministère néerlandais de l</w:t>
      </w:r>
      <w:r>
        <w:t>’</w:t>
      </w:r>
      <w:r w:rsidRPr="00986FA4">
        <w:t>infrastructure et de l</w:t>
      </w:r>
      <w:r>
        <w:t>’</w:t>
      </w:r>
      <w:r w:rsidRPr="00986FA4">
        <w:t xml:space="preserve">environnement, à La Haye (Pays-Bas). Y ont participé des représentants </w:t>
      </w:r>
      <w:r w:rsidR="00E63480" w:rsidRPr="00986FA4">
        <w:t>de l</w:t>
      </w:r>
      <w:r w:rsidR="00E63480">
        <w:t>’Allemagne, de la Belgique</w:t>
      </w:r>
      <w:r w:rsidRPr="00986FA4">
        <w:t xml:space="preserve"> et des Pays-Bas, ainsi que de l</w:t>
      </w:r>
      <w:r>
        <w:t>’</w:t>
      </w:r>
      <w:r w:rsidRPr="00986FA4">
        <w:t>Union européenne de la navigation fluviale (UENF), de l</w:t>
      </w:r>
      <w:r>
        <w:t>’</w:t>
      </w:r>
      <w:r w:rsidRPr="00986FA4">
        <w:t xml:space="preserve">Organisation </w:t>
      </w:r>
      <w:r w:rsidR="00E63480">
        <w:t>e</w:t>
      </w:r>
      <w:r w:rsidRPr="00986FA4">
        <w:t xml:space="preserve">uropéenne des </w:t>
      </w:r>
      <w:r w:rsidR="00E63480">
        <w:t>b</w:t>
      </w:r>
      <w:r w:rsidRPr="00986FA4">
        <w:t>ateliers (OEB) et du Conseil européen de l</w:t>
      </w:r>
      <w:r>
        <w:t>’</w:t>
      </w:r>
      <w:r w:rsidRPr="00986FA4">
        <w:t>industrie chimique (CEFIC), et des représentants d</w:t>
      </w:r>
      <w:r>
        <w:t>’</w:t>
      </w:r>
      <w:r w:rsidRPr="00986FA4">
        <w:t>organes chargés de l</w:t>
      </w:r>
      <w:r>
        <w:t>’</w:t>
      </w:r>
      <w:r w:rsidRPr="00986FA4">
        <w:t>application des lois en Allemagne et aux Pays-Bas.</w:t>
      </w:r>
    </w:p>
    <w:p w:rsidR="005D6C6A" w:rsidRPr="00986FA4" w:rsidRDefault="005D6C6A" w:rsidP="00095B33">
      <w:pPr>
        <w:pStyle w:val="SingleTxtG"/>
      </w:pPr>
      <w:r w:rsidRPr="00986FA4">
        <w:t>2.</w:t>
      </w:r>
      <w:r w:rsidRPr="00986FA4">
        <w:tab/>
        <w:t>Pendant les quatre précédentes réunions du groupe de travail informel et dans le cadre d</w:t>
      </w:r>
      <w:r>
        <w:t>’</w:t>
      </w:r>
      <w:r w:rsidRPr="00986FA4">
        <w:t>un échange de correspondance</w:t>
      </w:r>
      <w:r w:rsidR="00E63480">
        <w:t>s</w:t>
      </w:r>
      <w:r w:rsidRPr="00986FA4">
        <w:t>, les participants ont principalement préparé et examiné les amendements à apporter à l</w:t>
      </w:r>
      <w:r>
        <w:t>’</w:t>
      </w:r>
      <w:r w:rsidRPr="00986FA4">
        <w:t>Accord européen relatif au transport international des marchandises dangereuses par voies de navigation intérieures (ADN) afin d</w:t>
      </w:r>
      <w:r>
        <w:t>’</w:t>
      </w:r>
      <w:r w:rsidRPr="00986FA4">
        <w:t>am</w:t>
      </w:r>
      <w:r>
        <w:t>éliorer</w:t>
      </w:r>
      <w:r w:rsidRPr="00986FA4">
        <w:t xml:space="preserve"> et de mieux préciser les dispositions relatives au dégazage des citernes à cargaison. </w:t>
      </w:r>
      <w:r>
        <w:t>Le</w:t>
      </w:r>
      <w:r w:rsidRPr="00986FA4">
        <w:t xml:space="preserve"> Comité de sécurité de l</w:t>
      </w:r>
      <w:r>
        <w:t>’</w:t>
      </w:r>
      <w:r w:rsidRPr="00986FA4">
        <w:t>ADN</w:t>
      </w:r>
      <w:r>
        <w:t xml:space="preserve"> a consacré plusieurs sessions</w:t>
      </w:r>
      <w:r w:rsidRPr="00986FA4">
        <w:t xml:space="preserve"> </w:t>
      </w:r>
      <w:r>
        <w:t>à l’examen de</w:t>
      </w:r>
      <w:r w:rsidRPr="002E5996">
        <w:t xml:space="preserve"> </w:t>
      </w:r>
      <w:r>
        <w:t>c</w:t>
      </w:r>
      <w:r w:rsidRPr="00986FA4">
        <w:t>es amendements.</w:t>
      </w:r>
    </w:p>
    <w:p w:rsidR="005D6C6A" w:rsidRPr="00986FA4" w:rsidRDefault="005D6C6A" w:rsidP="00095B33">
      <w:pPr>
        <w:pStyle w:val="SingleTxtG"/>
      </w:pPr>
      <w:r w:rsidRPr="00986FA4">
        <w:t>3.</w:t>
      </w:r>
      <w:r w:rsidRPr="00986FA4">
        <w:tab/>
        <w:t>En août 2016, lors du dernier débat qu</w:t>
      </w:r>
      <w:r>
        <w:t>’</w:t>
      </w:r>
      <w:r w:rsidRPr="00986FA4">
        <w:t>il a tenu sur ce thème, le Comité de sécurité a invité le groupe de travail informel à établir une proposition révisée reflétant tou</w:t>
      </w:r>
      <w:r w:rsidR="00095B33">
        <w:t>tes les observations faites par</w:t>
      </w:r>
      <w:r>
        <w:t xml:space="preserve"> le Comité</w:t>
      </w:r>
      <w:r w:rsidRPr="00986FA4">
        <w:t xml:space="preserve">. Il a en particulier invité le groupe de travail informel à énoncer dans </w:t>
      </w:r>
      <w:r>
        <w:t>l</w:t>
      </w:r>
      <w:r w:rsidRPr="00986FA4">
        <w:t>es dispositions les différents types de dégazage (dans l</w:t>
      </w:r>
      <w:r>
        <w:t>’</w:t>
      </w:r>
      <w:r w:rsidRPr="00986FA4">
        <w:t>atmosphère ou dans une station de réception). La délégation néerlandaise a donc pris l</w:t>
      </w:r>
      <w:r>
        <w:t>’</w:t>
      </w:r>
      <w:r w:rsidRPr="00986FA4">
        <w:t xml:space="preserve">initiative de procéder à un examen intensif de ce point, </w:t>
      </w:r>
      <w:r>
        <w:t>parmi d’autres points</w:t>
      </w:r>
      <w:r w:rsidRPr="00986FA4">
        <w:t>, pendant la cinquième réunion du groupe de travail informel.</w:t>
      </w:r>
    </w:p>
    <w:p w:rsidR="005D6C6A" w:rsidRPr="00986FA4" w:rsidRDefault="005D6C6A" w:rsidP="00B5438A">
      <w:pPr>
        <w:pStyle w:val="HChG"/>
        <w:rPr>
          <w:szCs w:val="28"/>
        </w:rPr>
      </w:pPr>
      <w:r w:rsidRPr="00986FA4">
        <w:rPr>
          <w:szCs w:val="28"/>
        </w:rPr>
        <w:tab/>
        <w:t>I.</w:t>
      </w:r>
      <w:r w:rsidRPr="00986FA4">
        <w:rPr>
          <w:szCs w:val="28"/>
        </w:rPr>
        <w:tab/>
      </w:r>
      <w:r w:rsidRPr="00986FA4">
        <w:rPr>
          <w:rStyle w:val="highlight"/>
        </w:rPr>
        <w:t>Toxim</w:t>
      </w:r>
      <w:r w:rsidRPr="00986FA4">
        <w:t>ètre</w:t>
      </w:r>
      <w:r w:rsidRPr="00986FA4">
        <w:rPr>
          <w:szCs w:val="28"/>
        </w:rPr>
        <w:t>s</w:t>
      </w:r>
    </w:p>
    <w:p w:rsidR="005D6C6A" w:rsidRPr="00986FA4" w:rsidRDefault="005D6C6A" w:rsidP="00B5438A">
      <w:pPr>
        <w:pStyle w:val="SingleTxtG"/>
      </w:pPr>
      <w:r w:rsidRPr="00986FA4">
        <w:t>4.</w:t>
      </w:r>
      <w:r w:rsidRPr="00986FA4">
        <w:tab/>
        <w:t>Le premier point inscrit à l</w:t>
      </w:r>
      <w:r>
        <w:t>’</w:t>
      </w:r>
      <w:r w:rsidRPr="00986FA4">
        <w:t>ordre du jour était les exigences techniques applicables aux toximètres. Le représentant d</w:t>
      </w:r>
      <w:r>
        <w:t>’</w:t>
      </w:r>
      <w:r w:rsidRPr="00986FA4">
        <w:t>un fournisseur de toximètres a brièvement décrit les avantages et les inconvénients des différents types d</w:t>
      </w:r>
      <w:r>
        <w:t>’</w:t>
      </w:r>
      <w:r w:rsidRPr="00986FA4">
        <w:t>appareils</w:t>
      </w:r>
      <w:r>
        <w:t>,</w:t>
      </w:r>
      <w:r w:rsidRPr="00986FA4">
        <w:t xml:space="preserve"> </w:t>
      </w:r>
      <w:r>
        <w:t xml:space="preserve">à savoir </w:t>
      </w:r>
      <w:r w:rsidRPr="00986FA4">
        <w:t>les toximètres équipés de détecteur</w:t>
      </w:r>
      <w:r>
        <w:t>s</w:t>
      </w:r>
      <w:r w:rsidRPr="00986FA4">
        <w:t xml:space="preserve"> à photo-ionisation (DPI) ou de tubes réactifs. Les toximètres équipés de tubes réactifs permett</w:t>
      </w:r>
      <w:r>
        <w:t>ai</w:t>
      </w:r>
      <w:r w:rsidRPr="00986FA4">
        <w:t xml:space="preserve">ent de déceler un certain nombre de </w:t>
      </w:r>
      <w:r w:rsidRPr="006936A4">
        <w:t>substances</w:t>
      </w:r>
      <w:r w:rsidRPr="00986FA4">
        <w:t xml:space="preserve"> et de mélanges de substances</w:t>
      </w:r>
      <w:r>
        <w:t>,</w:t>
      </w:r>
      <w:r w:rsidRPr="00986FA4">
        <w:t xml:space="preserve"> mais </w:t>
      </w:r>
      <w:r>
        <w:t>avec de</w:t>
      </w:r>
      <w:r w:rsidRPr="00986FA4">
        <w:t xml:space="preserve"> nombreuses cargaisons</w:t>
      </w:r>
      <w:r>
        <w:t xml:space="preserve"> leur emploi n’était pas indiqué</w:t>
      </w:r>
      <w:r w:rsidRPr="00986FA4">
        <w:t>. Les détecteurs à photo-ionisation quantifi</w:t>
      </w:r>
      <w:r>
        <w:t>ai</w:t>
      </w:r>
      <w:r w:rsidRPr="00986FA4">
        <w:t>ent très efficacement la concentration d</w:t>
      </w:r>
      <w:r>
        <w:t>’</w:t>
      </w:r>
      <w:r w:rsidRPr="00986FA4">
        <w:t>une substance pure</w:t>
      </w:r>
      <w:r>
        <w:t>,</w:t>
      </w:r>
      <w:r w:rsidRPr="00986FA4">
        <w:t xml:space="preserve"> mais moins </w:t>
      </w:r>
      <w:r>
        <w:t xml:space="preserve">efficacement un </w:t>
      </w:r>
      <w:r w:rsidRPr="00986FA4">
        <w:t>mélange de substances. Le groupe de travail informel a décidé d</w:t>
      </w:r>
      <w:r>
        <w:t>’</w:t>
      </w:r>
      <w:r w:rsidRPr="00986FA4">
        <w:t>incorporer un renvoi aux normes applicables dans la définition des toximètres.</w:t>
      </w:r>
      <w:r>
        <w:t xml:space="preserve"> </w:t>
      </w:r>
    </w:p>
    <w:p w:rsidR="005D6C6A" w:rsidRPr="00986FA4" w:rsidRDefault="005D6C6A" w:rsidP="00B5438A">
      <w:pPr>
        <w:pStyle w:val="HChG"/>
      </w:pPr>
      <w:r w:rsidRPr="00986FA4">
        <w:tab/>
        <w:t>II.</w:t>
      </w:r>
      <w:r w:rsidRPr="00986FA4">
        <w:tab/>
        <w:t xml:space="preserve">Incidents </w:t>
      </w:r>
      <w:r>
        <w:t xml:space="preserve">provoqués par le </w:t>
      </w:r>
      <w:r w:rsidRPr="00986FA4">
        <w:t xml:space="preserve">dégazage inadéquat </w:t>
      </w:r>
      <w:r w:rsidR="00B5438A">
        <w:br/>
      </w:r>
      <w:r w:rsidRPr="00986FA4">
        <w:t xml:space="preserve">de citernes à cargaison </w:t>
      </w:r>
    </w:p>
    <w:p w:rsidR="005D6C6A" w:rsidRPr="00986FA4" w:rsidRDefault="005D6C6A" w:rsidP="00B5438A">
      <w:pPr>
        <w:pStyle w:val="SingleTxtG"/>
      </w:pPr>
      <w:r w:rsidRPr="00986FA4">
        <w:t>5.</w:t>
      </w:r>
      <w:r w:rsidRPr="00986FA4">
        <w:tab/>
        <w:t>Le représentant de l</w:t>
      </w:r>
      <w:r>
        <w:t>’</w:t>
      </w:r>
      <w:r w:rsidRPr="00986FA4">
        <w:t xml:space="preserve">Allemagne a présenté deux cas dans lesquels des accidents mortels </w:t>
      </w:r>
      <w:r>
        <w:t xml:space="preserve">avaient été provoqués par le </w:t>
      </w:r>
      <w:r w:rsidRPr="00986FA4">
        <w:t xml:space="preserve">dégazage </w:t>
      </w:r>
      <w:r>
        <w:t xml:space="preserve">inadéquat </w:t>
      </w:r>
      <w:r w:rsidRPr="00986FA4">
        <w:t xml:space="preserve">de citernes à cargaison. Le groupe de travail informel </w:t>
      </w:r>
      <w:r>
        <w:t>a conclu</w:t>
      </w:r>
      <w:r w:rsidRPr="00986FA4">
        <w:t xml:space="preserve"> que, dans l</w:t>
      </w:r>
      <w:r>
        <w:t>’</w:t>
      </w:r>
      <w:r w:rsidRPr="00986FA4">
        <w:t>un de ces cas, l</w:t>
      </w:r>
      <w:r>
        <w:t>’</w:t>
      </w:r>
      <w:r w:rsidRPr="00986FA4">
        <w:t>accident aurait pu être évité si les personnes</w:t>
      </w:r>
      <w:r>
        <w:t xml:space="preserve"> </w:t>
      </w:r>
      <w:r w:rsidRPr="00986FA4">
        <w:t xml:space="preserve">concernées avaient respecté les prescriptions. </w:t>
      </w:r>
      <w:r>
        <w:t>D</w:t>
      </w:r>
      <w:r w:rsidRPr="00986FA4">
        <w:t xml:space="preserve">ans le </w:t>
      </w:r>
      <w:r>
        <w:t>second</w:t>
      </w:r>
      <w:r w:rsidRPr="00986FA4">
        <w:t xml:space="preserve"> cas (explosion à Duisburg en mars 2016)</w:t>
      </w:r>
      <w:r>
        <w:t>, l’enquête d</w:t>
      </w:r>
      <w:r w:rsidRPr="00986FA4">
        <w:t>es autorités allemandes</w:t>
      </w:r>
      <w:r>
        <w:t xml:space="preserve"> n’ayant pas encore abouti, il </w:t>
      </w:r>
      <w:r w:rsidRPr="00986FA4">
        <w:t>n</w:t>
      </w:r>
      <w:r>
        <w:t>’</w:t>
      </w:r>
      <w:r w:rsidRPr="00986FA4">
        <w:t>a pas pu déterminer si les prescriptions de l</w:t>
      </w:r>
      <w:r>
        <w:t>’</w:t>
      </w:r>
      <w:r w:rsidRPr="00986FA4">
        <w:t xml:space="preserve">ADN avaient été </w:t>
      </w:r>
      <w:r>
        <w:t>respectées</w:t>
      </w:r>
      <w:r w:rsidRPr="00986FA4">
        <w:t xml:space="preserve"> ou non. Toutefois, le groupe de travail informel a étudié une proposition prévoyant </w:t>
      </w:r>
      <w:r>
        <w:t>que les</w:t>
      </w:r>
      <w:r w:rsidRPr="00986FA4">
        <w:t xml:space="preserve"> citernes vid</w:t>
      </w:r>
      <w:r>
        <w:t>é</w:t>
      </w:r>
      <w:r w:rsidRPr="00986FA4">
        <w:t xml:space="preserve">es ou déchargées </w:t>
      </w:r>
      <w:r>
        <w:t>soient</w:t>
      </w:r>
      <w:r w:rsidRPr="00986FA4">
        <w:t xml:space="preserve"> mise</w:t>
      </w:r>
      <w:r>
        <w:t>s</w:t>
      </w:r>
      <w:r w:rsidR="00B5438A">
        <w:t xml:space="preserve"> sous atmosphère inerte avant</w:t>
      </w:r>
      <w:r>
        <w:t xml:space="preserve"> que l’on commence à travailler sur </w:t>
      </w:r>
      <w:r w:rsidRPr="00986FA4">
        <w:t>l</w:t>
      </w:r>
      <w:r>
        <w:t>’</w:t>
      </w:r>
      <w:r w:rsidRPr="00986FA4">
        <w:t xml:space="preserve">appontement. Sa conclusion unanime a été que mettre les citernes sous atmosphère inerte avant de commencer à travailler </w:t>
      </w:r>
      <w:r>
        <w:t>sur</w:t>
      </w:r>
      <w:r w:rsidRPr="00986FA4">
        <w:t xml:space="preserve"> l</w:t>
      </w:r>
      <w:r>
        <w:t>’</w:t>
      </w:r>
      <w:r w:rsidRPr="00986FA4">
        <w:t>appontement était moins sûr que de dégazer les citernes avant le début de</w:t>
      </w:r>
      <w:r>
        <w:t>s travaux</w:t>
      </w:r>
      <w:r w:rsidRPr="00986FA4">
        <w:t>.</w:t>
      </w:r>
    </w:p>
    <w:p w:rsidR="005D6C6A" w:rsidRPr="00986FA4" w:rsidRDefault="005D6C6A" w:rsidP="00B5438A">
      <w:pPr>
        <w:pStyle w:val="SingleTxtG"/>
      </w:pPr>
      <w:r w:rsidRPr="00986FA4">
        <w:t>6.</w:t>
      </w:r>
      <w:r w:rsidRPr="00986FA4">
        <w:tab/>
      </w:r>
      <w:r>
        <w:t>S’agissant de ces</w:t>
      </w:r>
      <w:r w:rsidRPr="00986FA4">
        <w:t xml:space="preserve"> deux incidents, le groupe de travail informel a eu un débat préliminaire sur la possibilité de dégazer les citernes vides par lavage. </w:t>
      </w:r>
      <w:r>
        <w:t>Cette méthode</w:t>
      </w:r>
      <w:r w:rsidRPr="00986FA4">
        <w:t xml:space="preserve"> </w:t>
      </w:r>
      <w:r w:rsidRPr="00986FA4">
        <w:lastRenderedPageBreak/>
        <w:t>pouvait être indiqué</w:t>
      </w:r>
      <w:r>
        <w:t>e</w:t>
      </w:r>
      <w:r w:rsidRPr="00986FA4">
        <w:t xml:space="preserve"> pour certaines substances. En outre, le groupe de travail </w:t>
      </w:r>
      <w:r>
        <w:t>s’est</w:t>
      </w:r>
      <w:r w:rsidRPr="00986FA4">
        <w:t xml:space="preserve"> de nouveau demandé s</w:t>
      </w:r>
      <w:r>
        <w:t>’</w:t>
      </w:r>
      <w:r w:rsidRPr="00986FA4">
        <w:t>il faudrait prévoir un laps de temps donné entre la délivrance d</w:t>
      </w:r>
      <w:r>
        <w:t>’</w:t>
      </w:r>
      <w:r w:rsidRPr="00986FA4">
        <w:t xml:space="preserve">un </w:t>
      </w:r>
      <w:r w:rsidRPr="00986FA4">
        <w:rPr>
          <w:rFonts w:cs="Segoe UI"/>
        </w:rPr>
        <w:t>certificat attestant l</w:t>
      </w:r>
      <w:r>
        <w:rPr>
          <w:rFonts w:cs="Segoe UI"/>
        </w:rPr>
        <w:t>’</w:t>
      </w:r>
      <w:r w:rsidRPr="00986FA4">
        <w:rPr>
          <w:rFonts w:cs="Segoe UI"/>
        </w:rPr>
        <w:t>absence de gaz</w:t>
      </w:r>
      <w:r w:rsidRPr="00986FA4">
        <w:t xml:space="preserve"> et la date à laquelle commencent les travaux à bord. </w:t>
      </w:r>
    </w:p>
    <w:p w:rsidR="005D6C6A" w:rsidRPr="00986FA4" w:rsidRDefault="005D6C6A" w:rsidP="004B5034">
      <w:pPr>
        <w:pStyle w:val="HChG"/>
      </w:pPr>
      <w:r w:rsidRPr="00986FA4">
        <w:tab/>
        <w:t>III.</w:t>
      </w:r>
      <w:r w:rsidRPr="00986FA4">
        <w:tab/>
        <w:t xml:space="preserve">Dégazage dans </w:t>
      </w:r>
      <w:r>
        <w:t>une station</w:t>
      </w:r>
      <w:r w:rsidRPr="00986FA4">
        <w:t xml:space="preserve"> de réception</w:t>
      </w:r>
    </w:p>
    <w:p w:rsidR="005D6C6A" w:rsidRPr="00986FA4" w:rsidRDefault="005D6C6A" w:rsidP="004B5034">
      <w:pPr>
        <w:pStyle w:val="SingleTxtG"/>
      </w:pPr>
      <w:r w:rsidRPr="00986FA4">
        <w:t>7.</w:t>
      </w:r>
      <w:r w:rsidRPr="00986FA4">
        <w:tab/>
        <w:t>Trois représentants de stations de réception ont commencé l</w:t>
      </w:r>
      <w:r>
        <w:t>’</w:t>
      </w:r>
      <w:r w:rsidRPr="00986FA4">
        <w:t>examen de la question du dégazage dans des stations de réception plutôt que dans l</w:t>
      </w:r>
      <w:r>
        <w:t>’</w:t>
      </w:r>
      <w:r w:rsidRPr="00986FA4">
        <w:t>atmosphère par une présentation de leurs systèmes techniques. En dépit de certains points communs entre ces systèmes, il est apparu clairement qu</w:t>
      </w:r>
      <w:r>
        <w:t xml:space="preserve">’une très grande variété de solutions techniques permettait </w:t>
      </w:r>
      <w:r w:rsidRPr="00986FA4">
        <w:t>le traitement des vapeurs et des gaz émis par les citernes à cargaison</w:t>
      </w:r>
      <w:r>
        <w:t xml:space="preserve"> </w:t>
      </w:r>
      <w:r w:rsidRPr="00986FA4">
        <w:t>dans ces stations de réception. Les trois systèmes techniques présentés pouvaient être utilisés pour traiter un</w:t>
      </w:r>
      <w:r>
        <w:t xml:space="preserve"> éventail restreint</w:t>
      </w:r>
      <w:r w:rsidRPr="00986FA4">
        <w:t xml:space="preserve"> de matières dangereuses, principalement des hydrocarbures. Le groupe de travail informel a conclu que l</w:t>
      </w:r>
      <w:r>
        <w:t>’</w:t>
      </w:r>
      <w:r w:rsidRPr="00986FA4">
        <w:t>ADN était seulement applicable à la sécurité de l</w:t>
      </w:r>
      <w:r>
        <w:t>’</w:t>
      </w:r>
      <w:r w:rsidRPr="00986FA4">
        <w:t>interface entre les clients de</w:t>
      </w:r>
      <w:r w:rsidR="004B5034">
        <w:t>s stations de réception et leur</w:t>
      </w:r>
      <w:r>
        <w:t xml:space="preserve"> liaison</w:t>
      </w:r>
      <w:r w:rsidRPr="00986FA4">
        <w:t xml:space="preserve"> avec la station de réception. L</w:t>
      </w:r>
      <w:r>
        <w:t>orsqu’il s’agissait</w:t>
      </w:r>
      <w:r w:rsidRPr="00986FA4">
        <w:t xml:space="preserve"> d</w:t>
      </w:r>
      <w:r>
        <w:t>’</w:t>
      </w:r>
      <w:r w:rsidRPr="00986FA4">
        <w:t>installation</w:t>
      </w:r>
      <w:r>
        <w:t xml:space="preserve">s de </w:t>
      </w:r>
      <w:r w:rsidRPr="00986FA4">
        <w:t>ce type</w:t>
      </w:r>
      <w:r>
        <w:t>, l’</w:t>
      </w:r>
      <w:r w:rsidRPr="00986FA4">
        <w:t>ADN ne devait donc pas imposer les prescriptions environnementales et ATEX, notamment.</w:t>
      </w:r>
    </w:p>
    <w:p w:rsidR="005D6C6A" w:rsidRPr="00986FA4" w:rsidRDefault="005D6C6A" w:rsidP="004B5034">
      <w:pPr>
        <w:pStyle w:val="SingleTxtG"/>
      </w:pPr>
      <w:r w:rsidRPr="00986FA4">
        <w:t>8.</w:t>
      </w:r>
      <w:r w:rsidRPr="00986FA4">
        <w:tab/>
        <w:t>S</w:t>
      </w:r>
      <w:r>
        <w:t>’</w:t>
      </w:r>
      <w:r w:rsidRPr="00986FA4">
        <w:t>agissant du certificat attestant l</w:t>
      </w:r>
      <w:r>
        <w:t>’</w:t>
      </w:r>
      <w:r w:rsidRPr="00986FA4">
        <w:t>absence de gaz, il a été rappelé que seule une</w:t>
      </w:r>
      <w:r w:rsidR="00E63480">
        <w:t> </w:t>
      </w:r>
      <w:r w:rsidRPr="00986FA4">
        <w:t>personne agréée par l</w:t>
      </w:r>
      <w:r>
        <w:t>’</w:t>
      </w:r>
      <w:r w:rsidRPr="00986FA4">
        <w:t>autorité compétente pouvait l</w:t>
      </w:r>
      <w:r>
        <w:t>’</w:t>
      </w:r>
      <w:r w:rsidRPr="00986FA4">
        <w:t>étab</w:t>
      </w:r>
      <w:r w:rsidR="00E63480">
        <w:t>lir, conformément au paragraphe </w:t>
      </w:r>
      <w:r w:rsidRPr="00986FA4">
        <w:t>7.2.3.7.6 de l</w:t>
      </w:r>
      <w:r>
        <w:t>’</w:t>
      </w:r>
      <w:r w:rsidRPr="00986FA4">
        <w:t>ADN. Une station de réception pouvait envisager de demander à être agréée.</w:t>
      </w:r>
    </w:p>
    <w:p w:rsidR="005D6C6A" w:rsidRPr="00986FA4" w:rsidRDefault="005D6C6A" w:rsidP="004B5034">
      <w:pPr>
        <w:pStyle w:val="SingleTxtG"/>
      </w:pPr>
      <w:r w:rsidRPr="00986FA4">
        <w:t>9.</w:t>
      </w:r>
      <w:r w:rsidRPr="00986FA4">
        <w:tab/>
        <w:t>Le grou</w:t>
      </w:r>
      <w:r w:rsidR="004B5034">
        <w:t>pe de travail informel a conclu</w:t>
      </w:r>
      <w:r w:rsidRPr="00986FA4">
        <w:t xml:space="preserve"> </w:t>
      </w:r>
      <w:r>
        <w:t xml:space="preserve">que l’on pouvait faire </w:t>
      </w:r>
      <w:r w:rsidRPr="00986FA4">
        <w:t>une différence entre dégazer dans une station de réception en utilisant un système fermé et dégazer dans une station de réception en assurant une arrivée d</w:t>
      </w:r>
      <w:r>
        <w:t>’</w:t>
      </w:r>
      <w:r w:rsidRPr="00986FA4">
        <w:t xml:space="preserve">air extérieur dans la citerne à cargaison. Quelles que soient les circonstances, il fallait éviter tout </w:t>
      </w:r>
      <w:r>
        <w:t xml:space="preserve">raccordement </w:t>
      </w:r>
      <w:r w:rsidRPr="00986FA4">
        <w:t>ouvert et non protégé entre l</w:t>
      </w:r>
      <w:r>
        <w:t>’</w:t>
      </w:r>
      <w:r w:rsidRPr="00986FA4">
        <w:t>extérieur et la citerne à cargaison.</w:t>
      </w:r>
      <w:r>
        <w:t xml:space="preserve"> </w:t>
      </w:r>
    </w:p>
    <w:p w:rsidR="005D6C6A" w:rsidRPr="00986FA4" w:rsidRDefault="005D6C6A" w:rsidP="004B5034">
      <w:pPr>
        <w:pStyle w:val="SingleTxtG"/>
      </w:pPr>
      <w:r w:rsidRPr="00986FA4">
        <w:t>10.</w:t>
      </w:r>
      <w:r w:rsidRPr="00986FA4">
        <w:tab/>
        <w:t>Le groupe de travail informel a donc décidé de prescrire, si une ouverture est utilisée pour aspirer de l</w:t>
      </w:r>
      <w:r>
        <w:t>’</w:t>
      </w:r>
      <w:r w:rsidRPr="00986FA4">
        <w:t>air dans le système pendant le dégazage dans une station de réception, qu</w:t>
      </w:r>
      <w:r>
        <w:t>’</w:t>
      </w:r>
      <w:r w:rsidRPr="00986FA4">
        <w:t xml:space="preserve">une soupape basse pression à ressort </w:t>
      </w:r>
      <w:r>
        <w:t xml:space="preserve">amovible </w:t>
      </w:r>
      <w:r w:rsidRPr="00E63480">
        <w:t>soit fixée sur cette ouverture et qu’un</w:t>
      </w:r>
      <w:r w:rsidRPr="00986FA4">
        <w:t xml:space="preserve"> </w:t>
      </w:r>
      <w:r w:rsidRPr="00986FA4">
        <w:rPr>
          <w:rFonts w:ascii="Segoe UI" w:hAnsi="Segoe UI" w:cs="Segoe UI"/>
        </w:rPr>
        <w:t>coupe-flammes</w:t>
      </w:r>
      <w:r w:rsidRPr="00986FA4">
        <w:t xml:space="preserve"> adapté soit installé</w:t>
      </w:r>
      <w:r>
        <w:t xml:space="preserve"> s</w:t>
      </w:r>
      <w:r w:rsidRPr="00986FA4">
        <w:t xml:space="preserve">i une protection contre les explosions est nécessaire. Le </w:t>
      </w:r>
      <w:r>
        <w:t xml:space="preserve">bateau </w:t>
      </w:r>
      <w:r w:rsidRPr="00986FA4">
        <w:t>dégaz</w:t>
      </w:r>
      <w:r>
        <w:t>ant</w:t>
      </w:r>
      <w:r w:rsidRPr="00986FA4">
        <w:t xml:space="preserve"> ne peut pas utiliser l</w:t>
      </w:r>
      <w:r>
        <w:t>a</w:t>
      </w:r>
      <w:r w:rsidRPr="00986FA4">
        <w:t xml:space="preserve"> soupape de dépression habituelle étant donné que </w:t>
      </w:r>
      <w:r>
        <w:t xml:space="preserve">celle-ci, qui est un dispositif de sécurité, </w:t>
      </w:r>
      <w:r w:rsidRPr="00986FA4">
        <w:t xml:space="preserve">ne </w:t>
      </w:r>
      <w:r>
        <w:t>doit</w:t>
      </w:r>
      <w:r w:rsidRPr="00986FA4">
        <w:t xml:space="preserve"> pas être utilisé</w:t>
      </w:r>
      <w:r>
        <w:t>e</w:t>
      </w:r>
      <w:r w:rsidRPr="00986FA4">
        <w:t xml:space="preserve"> pendant les opérations de routine. Si la soupape basse pression à ressort est </w:t>
      </w:r>
      <w:r>
        <w:t>installée</w:t>
      </w:r>
      <w:r w:rsidRPr="00986FA4">
        <w:t xml:space="preserve"> de façon permanente sur le </w:t>
      </w:r>
      <w:r>
        <w:t>bateau</w:t>
      </w:r>
      <w:r w:rsidR="004B5034">
        <w:t>,</w:t>
      </w:r>
      <w:r>
        <w:t xml:space="preserve"> il convient de la fermer</w:t>
      </w:r>
      <w:r w:rsidRPr="00986FA4">
        <w:t xml:space="preserve"> au moyen d</w:t>
      </w:r>
      <w:r>
        <w:t>’</w:t>
      </w:r>
      <w:r w:rsidR="004B5034">
        <w:t>une bride borgne</w:t>
      </w:r>
      <w:r>
        <w:t xml:space="preserve"> ou </w:t>
      </w:r>
      <w:r w:rsidRPr="00986FA4">
        <w:t>d</w:t>
      </w:r>
      <w:r>
        <w:t>’</w:t>
      </w:r>
      <w:r w:rsidRPr="00986FA4">
        <w:t xml:space="preserve">un empilement de plaques lorsque </w:t>
      </w:r>
      <w:proofErr w:type="gramStart"/>
      <w:r w:rsidRPr="00986FA4">
        <w:t xml:space="preserve">le </w:t>
      </w:r>
      <w:r>
        <w:t xml:space="preserve"> bateau</w:t>
      </w:r>
      <w:proofErr w:type="gramEnd"/>
      <w:r w:rsidRPr="00986FA4">
        <w:t xml:space="preserve"> n</w:t>
      </w:r>
      <w:r>
        <w:t>’</w:t>
      </w:r>
      <w:r w:rsidRPr="00986FA4">
        <w:t>est pas en train de dégazer dans une station de réception</w:t>
      </w:r>
      <w:r>
        <w:t>,</w:t>
      </w:r>
      <w:r w:rsidRPr="00986FA4">
        <w:t xml:space="preserve"> </w:t>
      </w:r>
      <w:r>
        <w:t>ce afin d’</w:t>
      </w:r>
      <w:r w:rsidRPr="00986FA4">
        <w:t xml:space="preserve">éviter que la soupape </w:t>
      </w:r>
      <w:r>
        <w:t xml:space="preserve"> de</w:t>
      </w:r>
      <w:r w:rsidRPr="00986FA4">
        <w:t xml:space="preserve"> dépression habituelle ne devienne inutile.</w:t>
      </w:r>
      <w:r>
        <w:t xml:space="preserve"> </w:t>
      </w:r>
    </w:p>
    <w:p w:rsidR="005D6C6A" w:rsidRPr="00986FA4" w:rsidRDefault="005D6C6A" w:rsidP="004B5034">
      <w:pPr>
        <w:pStyle w:val="SingleTxtG"/>
      </w:pPr>
      <w:r w:rsidRPr="00986FA4">
        <w:t>11.</w:t>
      </w:r>
      <w:r w:rsidRPr="00986FA4">
        <w:tab/>
        <w:t>Enfin, le groupe de travail informel a décidé de faire des propositions d</w:t>
      </w:r>
      <w:r>
        <w:t>’</w:t>
      </w:r>
      <w:r w:rsidRPr="00986FA4">
        <w:t>amendements corollaires et d</w:t>
      </w:r>
      <w:r>
        <w:t>’</w:t>
      </w:r>
      <w:r w:rsidRPr="00986FA4">
        <w:t>amendements supplémentaires ayant pour objet de garantir la sécurité pendant le dégazage d</w:t>
      </w:r>
      <w:r>
        <w:t>’</w:t>
      </w:r>
      <w:r w:rsidRPr="00986FA4">
        <w:t xml:space="preserve">une citerne à cargaison dans une station de réception. </w:t>
      </w:r>
      <w:r>
        <w:t xml:space="preserve"> Il est </w:t>
      </w:r>
      <w:r w:rsidRPr="00986FA4">
        <w:t xml:space="preserve">notamment </w:t>
      </w:r>
      <w:r>
        <w:t xml:space="preserve">proposé </w:t>
      </w:r>
      <w:r w:rsidRPr="00986FA4">
        <w:t>de remplir une courte liste de contrôle avant le dégazage dans une station de réception</w:t>
      </w:r>
      <w:r>
        <w:t xml:space="preserve">, </w:t>
      </w:r>
      <w:r w:rsidRPr="004B5034">
        <w:t>de prévoir une mise à la masse</w:t>
      </w:r>
      <w:r w:rsidRPr="00986FA4">
        <w:t xml:space="preserve"> et de rendre possible l</w:t>
      </w:r>
      <w:r>
        <w:t>’</w:t>
      </w:r>
      <w:r w:rsidRPr="00986FA4">
        <w:t>interruption des opérations de dégazage.</w:t>
      </w:r>
      <w:r>
        <w:t xml:space="preserve"> </w:t>
      </w:r>
    </w:p>
    <w:p w:rsidR="005D6C6A" w:rsidRPr="00986FA4" w:rsidRDefault="005D6C6A" w:rsidP="004B5034">
      <w:pPr>
        <w:pStyle w:val="HChG"/>
      </w:pPr>
      <w:r w:rsidRPr="00986FA4">
        <w:tab/>
        <w:t>IV.</w:t>
      </w:r>
      <w:r w:rsidRPr="00986FA4">
        <w:tab/>
        <w:t>Conclusion</w:t>
      </w:r>
    </w:p>
    <w:p w:rsidR="005D6C6A" w:rsidRPr="00986FA4" w:rsidRDefault="005D6C6A" w:rsidP="004B5034">
      <w:pPr>
        <w:pStyle w:val="SingleTxtG"/>
      </w:pPr>
      <w:r w:rsidRPr="00986FA4">
        <w:t>12.</w:t>
      </w:r>
      <w:r w:rsidRPr="00986FA4">
        <w:tab/>
        <w:t>Le Comité de sécurité de l</w:t>
      </w:r>
      <w:r>
        <w:t>’</w:t>
      </w:r>
      <w:r w:rsidRPr="00986FA4">
        <w:t>ADN est invité à examiner les propositions d</w:t>
      </w:r>
      <w:r>
        <w:t>’</w:t>
      </w:r>
      <w:r w:rsidRPr="00986FA4">
        <w:t>amendement qui figurent dans l</w:t>
      </w:r>
      <w:r>
        <w:t>’</w:t>
      </w:r>
      <w:r w:rsidRPr="00986FA4">
        <w:t>annexe et à prendre les mesures qu</w:t>
      </w:r>
      <w:r>
        <w:t>’</w:t>
      </w:r>
      <w:r w:rsidRPr="00986FA4">
        <w:t xml:space="preserve">il jugera appropriées. </w:t>
      </w:r>
    </w:p>
    <w:p w:rsidR="005D6C6A" w:rsidRPr="00986FA4" w:rsidRDefault="004B5034" w:rsidP="005D6C6A">
      <w:pPr>
        <w:pStyle w:val="HChG"/>
      </w:pPr>
      <w:r>
        <w:br w:type="page"/>
      </w:r>
      <w:r w:rsidR="005D6C6A" w:rsidRPr="00986FA4">
        <w:t>Annexe</w:t>
      </w:r>
    </w:p>
    <w:p w:rsidR="005D6C6A" w:rsidRPr="00986FA4" w:rsidRDefault="005D6C6A" w:rsidP="008D634B">
      <w:pPr>
        <w:pStyle w:val="HChG"/>
      </w:pPr>
      <w:r w:rsidRPr="00986FA4">
        <w:tab/>
      </w:r>
      <w:r w:rsidRPr="00986FA4">
        <w:tab/>
        <w:t>Pro</w:t>
      </w:r>
      <w:r>
        <w:t>positions</w:t>
      </w:r>
      <w:r w:rsidRPr="00986FA4">
        <w:t xml:space="preserve"> d</w:t>
      </w:r>
      <w:r>
        <w:t>’</w:t>
      </w:r>
      <w:r w:rsidRPr="00986FA4">
        <w:t>amendements à l</w:t>
      </w:r>
      <w:r>
        <w:t>’</w:t>
      </w:r>
      <w:r w:rsidRPr="00986FA4">
        <w:t>ADN 2017</w:t>
      </w:r>
    </w:p>
    <w:p w:rsidR="005D6C6A" w:rsidRPr="00986FA4" w:rsidRDefault="005D6C6A" w:rsidP="0051528A">
      <w:pPr>
        <w:pStyle w:val="SingleTxtG"/>
        <w:spacing w:after="100"/>
        <w:ind w:firstLine="567"/>
      </w:pPr>
      <w:r w:rsidRPr="00986FA4">
        <w:t>Les modifications qu</w:t>
      </w:r>
      <w:r>
        <w:t>’</w:t>
      </w:r>
      <w:r w:rsidRPr="00986FA4">
        <w:t>il est proposé d</w:t>
      </w:r>
      <w:r>
        <w:t>’</w:t>
      </w:r>
      <w:r w:rsidRPr="00986FA4">
        <w:t xml:space="preserve">apporter sont indiquées </w:t>
      </w:r>
      <w:r w:rsidRPr="00806DF8">
        <w:rPr>
          <w:b/>
          <w:u w:val="single"/>
        </w:rPr>
        <w:t>en caractères gras et soulignés pour les ajouts</w:t>
      </w:r>
      <w:r w:rsidRPr="00986FA4">
        <w:t xml:space="preserve"> et</w:t>
      </w:r>
      <w:r w:rsidRPr="008D634B">
        <w:t xml:space="preserve"> </w:t>
      </w:r>
      <w:r w:rsidRPr="00986FA4">
        <w:rPr>
          <w:strike/>
        </w:rPr>
        <w:t>biffés pour les suppressions</w:t>
      </w:r>
      <w:r w:rsidRPr="00986FA4">
        <w:t xml:space="preserve">. </w:t>
      </w:r>
    </w:p>
    <w:p w:rsidR="005D6C6A" w:rsidRPr="00986FA4" w:rsidRDefault="005D6C6A" w:rsidP="0051528A">
      <w:pPr>
        <w:pStyle w:val="SingleTxtG"/>
        <w:keepNext/>
        <w:spacing w:after="100"/>
        <w:jc w:val="left"/>
      </w:pPr>
      <w:r w:rsidRPr="00986FA4">
        <w:t>1.2.1</w:t>
      </w:r>
      <w:r w:rsidRPr="00986FA4">
        <w:tab/>
      </w:r>
      <w:r w:rsidRPr="00986FA4">
        <w:tab/>
        <w:t>Définitions</w:t>
      </w:r>
    </w:p>
    <w:p w:rsidR="005D6C6A" w:rsidRPr="00986FA4" w:rsidRDefault="005D6C6A" w:rsidP="0051528A">
      <w:pPr>
        <w:pStyle w:val="SingleTxtG"/>
        <w:spacing w:after="100"/>
        <w:ind w:left="2268" w:hanging="1134"/>
      </w:pPr>
      <w:r w:rsidRPr="00986FA4">
        <w:t>1.2.1</w:t>
      </w:r>
      <w:r w:rsidRPr="00986FA4">
        <w:tab/>
      </w:r>
      <w:r w:rsidRPr="00986FA4">
        <w:rPr>
          <w:i/>
        </w:rPr>
        <w:t>Citerne à cargaison (dégazée)</w:t>
      </w:r>
      <w:r w:rsidR="008D634B">
        <w:rPr>
          <w:i/>
        </w:rPr>
        <w:t> </w:t>
      </w:r>
      <w:r w:rsidRPr="00986FA4">
        <w:t>: une citerne à cargaison, qui, après le déchargement, ne contient ni de la cargaison restante ni de concentration mesurable de gaz</w:t>
      </w:r>
      <w:r w:rsidRPr="00E031C9">
        <w:t xml:space="preserve"> </w:t>
      </w:r>
      <w:r w:rsidRPr="00986FA4">
        <w:rPr>
          <w:b/>
          <w:u w:val="single"/>
        </w:rPr>
        <w:t xml:space="preserve">ou de vapeurs </w:t>
      </w:r>
      <w:r w:rsidRPr="00986FA4">
        <w:t>dangereux</w:t>
      </w:r>
      <w:r w:rsidR="004B3AA1">
        <w:t>.</w:t>
      </w:r>
      <w:r w:rsidRPr="00986FA4">
        <w:t xml:space="preserve">  </w:t>
      </w:r>
    </w:p>
    <w:p w:rsidR="005D6C6A" w:rsidRPr="00DB77B2" w:rsidRDefault="005D6C6A" w:rsidP="0051528A">
      <w:pPr>
        <w:pStyle w:val="SingleTxtG"/>
        <w:spacing w:after="100"/>
        <w:ind w:left="2268" w:hanging="1134"/>
      </w:pPr>
      <w:r w:rsidRPr="00DB77B2">
        <w:t>1.2.1</w:t>
      </w:r>
      <w:r w:rsidRPr="00DB77B2">
        <w:tab/>
      </w:r>
      <w:r w:rsidRPr="00DB77B2">
        <w:rPr>
          <w:b/>
          <w:i/>
          <w:u w:val="single"/>
        </w:rPr>
        <w:t>Dégazage</w:t>
      </w:r>
      <w:r w:rsidR="00DB77B2">
        <w:rPr>
          <w:b/>
          <w:u w:val="single"/>
        </w:rPr>
        <w:t> </w:t>
      </w:r>
      <w:r w:rsidRPr="00DB77B2">
        <w:rPr>
          <w:b/>
          <w:u w:val="single"/>
        </w:rPr>
        <w:t>: opération ayant pour but de diminuer la concentration de gaz et de vapeurs dangereux dans une citerne à cargaison vide ou déchargée en les émettant dans l’atmosphère ou en les envoyant dans une station de réception</w:t>
      </w:r>
      <w:r w:rsidRPr="00DB77B2">
        <w:t>.</w:t>
      </w:r>
    </w:p>
    <w:p w:rsidR="005D6C6A" w:rsidRPr="00DB77B2" w:rsidRDefault="005D6C6A" w:rsidP="0051528A">
      <w:pPr>
        <w:pStyle w:val="SingleTxtG"/>
        <w:spacing w:after="100"/>
        <w:ind w:left="2268" w:hanging="1134"/>
        <w:rPr>
          <w:b/>
          <w:u w:val="single"/>
        </w:rPr>
      </w:pPr>
      <w:r w:rsidRPr="00DB77B2">
        <w:rPr>
          <w:rStyle w:val="SingleTxtGChar"/>
        </w:rPr>
        <w:t>1.2.1</w:t>
      </w:r>
      <w:r w:rsidRPr="00DB77B2">
        <w:tab/>
      </w:r>
      <w:r w:rsidRPr="00DB77B2">
        <w:rPr>
          <w:rStyle w:val="SingleTxtGChar"/>
          <w:b/>
          <w:i/>
          <w:u w:val="single"/>
        </w:rPr>
        <w:t xml:space="preserve">Plage d’explosivité </w:t>
      </w:r>
      <w:r w:rsidRPr="00DB77B2">
        <w:rPr>
          <w:rStyle w:val="SingleTxtGChar"/>
          <w:b/>
          <w:u w:val="single"/>
        </w:rPr>
        <w:t>:</w:t>
      </w:r>
      <w:r w:rsidRPr="00DB77B2">
        <w:rPr>
          <w:rStyle w:val="SingleTxtGChar"/>
          <w:b/>
          <w:i/>
          <w:u w:val="single"/>
        </w:rPr>
        <w:t xml:space="preserve"> </w:t>
      </w:r>
      <w:r w:rsidRPr="00DB77B2">
        <w:rPr>
          <w:rStyle w:val="SingleTxtGChar"/>
          <w:b/>
          <w:u w:val="single"/>
        </w:rPr>
        <w:t>la plage de concentration dans l’air d’une matière ou d’un mélange de matières inflammables, à l’intérieur de laquelle peut se produire une explosion, ou la plage de concentration dans l’air ou dans un gaz inerte d’une matière ou d’un mélange de matières inflammables, à l’intérieur de laquelle peut se produire une explosion, cette plage étant définie dans des conditions d’essai précises.</w:t>
      </w:r>
    </w:p>
    <w:p w:rsidR="005D6C6A" w:rsidRPr="00DB77B2" w:rsidRDefault="005D6C6A" w:rsidP="0051528A">
      <w:pPr>
        <w:pStyle w:val="SingleTxtG"/>
        <w:spacing w:after="100"/>
        <w:ind w:left="2268" w:hanging="1134"/>
        <w:rPr>
          <w:b/>
          <w:u w:val="single"/>
        </w:rPr>
      </w:pPr>
      <w:r w:rsidRPr="00DB77B2">
        <w:rPr>
          <w:rStyle w:val="SingleTxtGChar"/>
        </w:rPr>
        <w:t>1.2.1</w:t>
      </w:r>
      <w:r w:rsidRPr="00DB77B2">
        <w:tab/>
      </w:r>
      <w:r w:rsidRPr="00DB77B2">
        <w:rPr>
          <w:rStyle w:val="SingleTxtGChar"/>
          <w:b/>
          <w:i/>
          <w:u w:val="single"/>
        </w:rPr>
        <w:t>Limite inférieure d’explosivité (LIE) </w:t>
      </w:r>
      <w:r w:rsidRPr="00DB77B2">
        <w:rPr>
          <w:rStyle w:val="SingleTxtGChar"/>
          <w:b/>
          <w:u w:val="single"/>
        </w:rPr>
        <w:t>:</w:t>
      </w:r>
      <w:r w:rsidRPr="004B3AA1">
        <w:rPr>
          <w:rStyle w:val="SingleTxtGChar"/>
          <w:b/>
          <w:u w:val="single"/>
        </w:rPr>
        <w:t xml:space="preserve"> </w:t>
      </w:r>
      <w:r w:rsidRPr="00DB77B2">
        <w:rPr>
          <w:rStyle w:val="SingleTxtGChar"/>
          <w:b/>
          <w:u w:val="single"/>
        </w:rPr>
        <w:t>concentration la plus faible de la plage d’explosivité à laquelle peut se produire une explosion.</w:t>
      </w:r>
    </w:p>
    <w:p w:rsidR="005D6C6A" w:rsidRPr="00DB77B2" w:rsidRDefault="005D6C6A" w:rsidP="0051528A">
      <w:pPr>
        <w:pStyle w:val="SingleTxtG"/>
        <w:spacing w:after="100"/>
        <w:ind w:left="2268" w:hanging="1134"/>
        <w:rPr>
          <w:b/>
          <w:i/>
          <w:u w:val="single"/>
        </w:rPr>
      </w:pPr>
      <w:r w:rsidRPr="00DB77B2">
        <w:rPr>
          <w:rStyle w:val="SingleTxtGChar"/>
        </w:rPr>
        <w:t>1.2.1</w:t>
      </w:r>
      <w:r w:rsidRPr="00DB77B2">
        <w:tab/>
      </w:r>
      <w:r w:rsidRPr="004B3AA1">
        <w:rPr>
          <w:rStyle w:val="SingleTxtGChar"/>
          <w:b/>
          <w:i/>
          <w:u w:val="single"/>
        </w:rPr>
        <w:t>LIE</w:t>
      </w:r>
      <w:r w:rsidR="001D3BD8" w:rsidRPr="004B3AA1">
        <w:rPr>
          <w:rStyle w:val="SingleTxtGChar"/>
          <w:b/>
          <w:u w:val="single"/>
        </w:rPr>
        <w:t> </w:t>
      </w:r>
      <w:r w:rsidRPr="004B3AA1">
        <w:rPr>
          <w:rStyle w:val="SingleTxtGChar"/>
          <w:b/>
          <w:u w:val="single"/>
        </w:rPr>
        <w:t>:</w:t>
      </w:r>
      <w:r w:rsidRPr="00DB77B2">
        <w:rPr>
          <w:rStyle w:val="SingleTxtGChar"/>
          <w:i/>
          <w:u w:val="single"/>
        </w:rPr>
        <w:t xml:space="preserve"> </w:t>
      </w:r>
      <w:r w:rsidRPr="00DB77B2">
        <w:rPr>
          <w:rStyle w:val="SingleTxtGChar"/>
          <w:b/>
          <w:u w:val="single"/>
        </w:rPr>
        <w:t>voir</w:t>
      </w:r>
      <w:r w:rsidRPr="00DB77B2">
        <w:rPr>
          <w:rStyle w:val="SingleTxtGChar"/>
          <w:b/>
          <w:i/>
          <w:u w:val="single"/>
        </w:rPr>
        <w:t xml:space="preserve"> Limite inférieure d’explosivité</w:t>
      </w:r>
    </w:p>
    <w:p w:rsidR="005D6C6A" w:rsidRPr="001D3BD8" w:rsidRDefault="005D6C6A" w:rsidP="00A51105">
      <w:pPr>
        <w:pStyle w:val="SingleTxtG"/>
        <w:spacing w:after="80"/>
        <w:ind w:left="2268" w:hanging="1134"/>
        <w:rPr>
          <w:b/>
          <w:u w:val="single"/>
        </w:rPr>
      </w:pPr>
      <w:r w:rsidRPr="001D3BD8">
        <w:rPr>
          <w:rStyle w:val="SingleTxtGChar"/>
        </w:rPr>
        <w:t>1.2.1</w:t>
      </w:r>
      <w:r w:rsidRPr="001D3BD8">
        <w:tab/>
      </w:r>
      <w:proofErr w:type="spellStart"/>
      <w:r w:rsidRPr="001D3BD8">
        <w:rPr>
          <w:i/>
        </w:rPr>
        <w:t>Toximètre</w:t>
      </w:r>
      <w:proofErr w:type="spellEnd"/>
      <w:r w:rsidR="001D3BD8">
        <w:t> </w:t>
      </w:r>
      <w:r w:rsidRPr="001D3BD8">
        <w:t xml:space="preserve">: un appareil </w:t>
      </w:r>
      <w:r w:rsidRPr="001D3BD8">
        <w:rPr>
          <w:b/>
          <w:u w:val="single"/>
        </w:rPr>
        <w:t>portable ou transportable</w:t>
      </w:r>
      <w:r w:rsidRPr="001D3BD8">
        <w:t xml:space="preserve"> permettant de mesurer toute concentration significative de gaz </w:t>
      </w:r>
      <w:r w:rsidRPr="001D3BD8">
        <w:rPr>
          <w:b/>
          <w:u w:val="single"/>
        </w:rPr>
        <w:t>et de vapeurs</w:t>
      </w:r>
      <w:r w:rsidRPr="001D3BD8">
        <w:t xml:space="preserve"> toxiques</w:t>
      </w:r>
      <w:r w:rsidRPr="001D3BD8">
        <w:rPr>
          <w:strike/>
        </w:rPr>
        <w:t xml:space="preserve"> dégagés par la cargaison</w:t>
      </w:r>
      <w:r w:rsidRPr="001D3BD8">
        <w:t>.</w:t>
      </w:r>
      <w:r w:rsidRPr="001D3BD8">
        <w:rPr>
          <w:rStyle w:val="SingleTxtGChar"/>
        </w:rPr>
        <w:t xml:space="preserve"> </w:t>
      </w:r>
      <w:r w:rsidRPr="00E031C9">
        <w:rPr>
          <w:rStyle w:val="SingleTxtGChar"/>
          <w:b/>
          <w:u w:val="single"/>
        </w:rPr>
        <w:t xml:space="preserve">Le </w:t>
      </w:r>
      <w:proofErr w:type="spellStart"/>
      <w:r w:rsidRPr="00E031C9">
        <w:rPr>
          <w:rStyle w:val="SingleTxtGChar"/>
          <w:b/>
          <w:u w:val="single"/>
        </w:rPr>
        <w:t>toximètre</w:t>
      </w:r>
      <w:proofErr w:type="spellEnd"/>
      <w:r w:rsidRPr="00E031C9">
        <w:rPr>
          <w:rStyle w:val="SingleTxtGChar"/>
          <w:b/>
          <w:u w:val="single"/>
        </w:rPr>
        <w:t xml:space="preserve"> doit être conforme aux normes EN 45544-1:2015, EN 45544-2:2015, EN 45544-3:2015 et EN 45544-4:2016, ou à la norme ISO 17621:2015.</w:t>
      </w:r>
    </w:p>
    <w:p w:rsidR="005D6C6A" w:rsidRPr="001D3BD8" w:rsidRDefault="005D6C6A" w:rsidP="00A51105">
      <w:pPr>
        <w:pStyle w:val="SingleTxtG"/>
        <w:spacing w:after="80"/>
        <w:ind w:left="2259"/>
        <w:rPr>
          <w:b/>
          <w:u w:val="single"/>
        </w:rPr>
      </w:pPr>
      <w:r w:rsidRPr="001D3BD8">
        <w:rPr>
          <w:b/>
          <w:u w:val="single"/>
        </w:rPr>
        <w:t>Si cet appareil est utilisé dans des zones de danger d’explosion, il faut aussi qu’il se prête à l’utilisation dans de telles zones et l’application des prescriptions pertinentes doit être prouvée (notamment la procédure d’évaluation de la conformité prévue dans la Directive 2014/34/UE</w:t>
      </w:r>
      <w:r w:rsidRPr="004B3AA1">
        <w:rPr>
          <w:rStyle w:val="FootnoteReference"/>
          <w:b/>
          <w:u w:val="single"/>
        </w:rPr>
        <w:footnoteReference w:id="4"/>
      </w:r>
      <w:r w:rsidRPr="004B3AA1">
        <w:rPr>
          <w:b/>
          <w:u w:val="single"/>
        </w:rPr>
        <w:t>,</w:t>
      </w:r>
      <w:r w:rsidRPr="001D3BD8">
        <w:rPr>
          <w:b/>
          <w:u w:val="single"/>
        </w:rPr>
        <w:t xml:space="preserve"> dans le document ECE/TRADE/391</w:t>
      </w:r>
      <w:r w:rsidRPr="00A51105">
        <w:rPr>
          <w:rStyle w:val="FootnoteReference"/>
          <w:b/>
          <w:u w:val="single"/>
        </w:rPr>
        <w:footnoteReference w:id="5"/>
      </w:r>
      <w:r w:rsidRPr="001D3BD8">
        <w:rPr>
          <w:b/>
          <w:u w:val="single"/>
        </w:rPr>
        <w:t xml:space="preserve"> ou dans un document au moins équivalent).</w:t>
      </w:r>
    </w:p>
    <w:p w:rsidR="005D6C6A" w:rsidRPr="001D3BD8" w:rsidRDefault="005D6C6A" w:rsidP="00A51105">
      <w:pPr>
        <w:pStyle w:val="SingleTxtG"/>
        <w:spacing w:after="80"/>
        <w:ind w:left="2268"/>
      </w:pPr>
      <w:r w:rsidRPr="001D3BD8">
        <w:t>Cet appareil doit être conçu de manière à ce que les mesures puissent également être effectuées sans qu’il soit nécessaire de pénétrer dans les locaux à contrôler.</w:t>
      </w:r>
    </w:p>
    <w:p w:rsidR="005D6C6A" w:rsidRPr="001D3BD8" w:rsidRDefault="005D6C6A" w:rsidP="0051528A">
      <w:pPr>
        <w:spacing w:after="100" w:line="276" w:lineRule="auto"/>
        <w:ind w:left="2257" w:right="567" w:hanging="1123"/>
        <w:jc w:val="both"/>
        <w:rPr>
          <w:b/>
          <w:u w:val="single"/>
        </w:rPr>
      </w:pPr>
      <w:r w:rsidRPr="001D3BD8">
        <w:rPr>
          <w:rStyle w:val="SingleTxtGChar"/>
        </w:rPr>
        <w:t>1.2.1</w:t>
      </w:r>
      <w:r w:rsidRPr="001D3BD8">
        <w:tab/>
      </w:r>
      <w:r w:rsidR="004B3AA1">
        <w:rPr>
          <w:rStyle w:val="SingleTxtGChar"/>
          <w:b/>
          <w:i/>
          <w:u w:val="single"/>
        </w:rPr>
        <w:t>LES </w:t>
      </w:r>
      <w:r w:rsidRPr="004B3AA1">
        <w:rPr>
          <w:rStyle w:val="SingleTxtGChar"/>
          <w:b/>
          <w:u w:val="single"/>
        </w:rPr>
        <w:t xml:space="preserve">: </w:t>
      </w:r>
      <w:r w:rsidRPr="001D3BD8">
        <w:rPr>
          <w:rStyle w:val="SingleTxtGChar"/>
          <w:b/>
          <w:u w:val="single"/>
        </w:rPr>
        <w:t xml:space="preserve">voir </w:t>
      </w:r>
      <w:r w:rsidRPr="001D3BD8">
        <w:rPr>
          <w:rStyle w:val="SingleTxtGChar"/>
          <w:b/>
          <w:i/>
          <w:u w:val="single"/>
        </w:rPr>
        <w:t>Limite supérieure d’explosivité</w:t>
      </w:r>
    </w:p>
    <w:p w:rsidR="005D6C6A" w:rsidRPr="001D3BD8" w:rsidRDefault="005D6C6A" w:rsidP="0051528A">
      <w:pPr>
        <w:spacing w:after="100" w:line="276" w:lineRule="auto"/>
        <w:ind w:left="2257" w:right="567" w:hanging="1123"/>
        <w:jc w:val="both"/>
        <w:rPr>
          <w:b/>
          <w:u w:val="single"/>
        </w:rPr>
      </w:pPr>
      <w:r w:rsidRPr="001D3BD8">
        <w:rPr>
          <w:rStyle w:val="SingleTxtGChar"/>
        </w:rPr>
        <w:t>1.2.1</w:t>
      </w:r>
      <w:r w:rsidRPr="001D3BD8">
        <w:tab/>
      </w:r>
      <w:r w:rsidRPr="001D3BD8">
        <w:rPr>
          <w:rStyle w:val="SingleTxtGChar"/>
          <w:b/>
          <w:i/>
          <w:u w:val="single"/>
        </w:rPr>
        <w:t>Limite supérieure d’explosivité (</w:t>
      </w:r>
      <w:r w:rsidR="009E20C0">
        <w:rPr>
          <w:rStyle w:val="SingleTxtGChar"/>
          <w:b/>
          <w:i/>
          <w:u w:val="single"/>
        </w:rPr>
        <w:t>LES</w:t>
      </w:r>
      <w:r w:rsidRPr="001D3BD8">
        <w:rPr>
          <w:rStyle w:val="SingleTxtGChar"/>
          <w:b/>
          <w:i/>
          <w:u w:val="single"/>
        </w:rPr>
        <w:t>)</w:t>
      </w:r>
      <w:r w:rsidR="009E20C0">
        <w:rPr>
          <w:rStyle w:val="SingleTxtGChar"/>
          <w:b/>
          <w:i/>
          <w:u w:val="single"/>
        </w:rPr>
        <w:t> </w:t>
      </w:r>
      <w:r w:rsidRPr="001D3BD8">
        <w:rPr>
          <w:rStyle w:val="SingleTxtGChar"/>
          <w:b/>
          <w:i/>
          <w:u w:val="single"/>
        </w:rPr>
        <w:t>: concentration la plus forte de la plage d’explosivité à laquelle peut se produire une explosion.</w:t>
      </w:r>
    </w:p>
    <w:p w:rsidR="005D6C6A" w:rsidRPr="001D3BD8" w:rsidRDefault="005D6C6A" w:rsidP="0051528A">
      <w:pPr>
        <w:pStyle w:val="SingleTxtG"/>
        <w:keepNext/>
        <w:spacing w:after="100"/>
        <w:jc w:val="left"/>
      </w:pPr>
      <w:r w:rsidRPr="001D3BD8">
        <w:t>1.4</w:t>
      </w:r>
      <w:r w:rsidRPr="001D3BD8">
        <w:tab/>
      </w:r>
      <w:r w:rsidRPr="001D3BD8">
        <w:tab/>
        <w:t>Obligations de sécurité des intervenants</w:t>
      </w:r>
    </w:p>
    <w:p w:rsidR="005D6C6A" w:rsidRPr="001D3BD8" w:rsidRDefault="005D6C6A" w:rsidP="0051528A">
      <w:pPr>
        <w:pStyle w:val="SingleTxtG"/>
        <w:keepNext/>
        <w:spacing w:after="100"/>
        <w:jc w:val="left"/>
      </w:pPr>
      <w:r w:rsidRPr="001D3BD8">
        <w:t>1.4.2.2.1</w:t>
      </w:r>
      <w:r w:rsidRPr="001D3BD8">
        <w:tab/>
        <w:t>(…)</w:t>
      </w:r>
    </w:p>
    <w:p w:rsidR="005D6C6A" w:rsidRPr="001D3BD8" w:rsidRDefault="005D6C6A" w:rsidP="0051528A">
      <w:pPr>
        <w:pStyle w:val="SingleTxtG"/>
        <w:spacing w:after="100"/>
        <w:ind w:left="2824" w:hanging="567"/>
        <w:rPr>
          <w:b/>
          <w:u w:val="single"/>
        </w:rPr>
      </w:pPr>
      <w:r w:rsidRPr="001D3BD8">
        <w:rPr>
          <w:b/>
          <w:u w:val="single"/>
        </w:rPr>
        <w:t>k)</w:t>
      </w:r>
      <w:r w:rsidR="00E30AFC">
        <w:rPr>
          <w:b/>
          <w:u w:val="single"/>
        </w:rPr>
        <w:tab/>
        <w:t>Re</w:t>
      </w:r>
      <w:r w:rsidRPr="001D3BD8">
        <w:rPr>
          <w:b/>
          <w:u w:val="single"/>
        </w:rPr>
        <w:t>mplir sa partie de la liste de contrôle visée au 7.2.3.7.2.2 avant le dégazage d’une citerne vide ou déchargée et le raccordement des tuyauteries destinées au chargement et au déchargement des bateaux-citernes dans une station de réception.</w:t>
      </w:r>
    </w:p>
    <w:p w:rsidR="005D6C6A" w:rsidRPr="001D3BD8" w:rsidRDefault="005D6C6A" w:rsidP="00B675D8">
      <w:pPr>
        <w:pStyle w:val="SingleTxtG"/>
        <w:ind w:left="2268"/>
      </w:pPr>
      <w:r w:rsidRPr="001D3BD8">
        <w:t>(…)</w:t>
      </w:r>
    </w:p>
    <w:p w:rsidR="005D6C6A" w:rsidRPr="001D3BD8" w:rsidRDefault="005D6C6A" w:rsidP="00B675D8">
      <w:pPr>
        <w:pStyle w:val="SingleTxtG"/>
        <w:keepNext/>
        <w:jc w:val="left"/>
        <w:rPr>
          <w:b/>
          <w:u w:val="single"/>
        </w:rPr>
      </w:pPr>
      <w:r w:rsidRPr="001D3BD8">
        <w:rPr>
          <w:b/>
          <w:u w:val="single"/>
        </w:rPr>
        <w:t>1.4.3.8</w:t>
      </w:r>
      <w:r w:rsidRPr="001D3BD8">
        <w:rPr>
          <w:b/>
        </w:rPr>
        <w:tab/>
      </w:r>
      <w:r w:rsidRPr="001D3BD8">
        <w:rPr>
          <w:b/>
        </w:rPr>
        <w:tab/>
      </w:r>
      <w:r w:rsidRPr="001D3BD8">
        <w:rPr>
          <w:b/>
          <w:u w:val="single"/>
        </w:rPr>
        <w:t>Exploitant de la station de réception</w:t>
      </w:r>
    </w:p>
    <w:p w:rsidR="005D6C6A" w:rsidRPr="001D3BD8" w:rsidRDefault="005D6C6A" w:rsidP="00797F2D">
      <w:pPr>
        <w:pStyle w:val="SingleTxtG"/>
        <w:keepNext/>
        <w:ind w:left="2268" w:hanging="1134"/>
        <w:rPr>
          <w:b/>
          <w:u w:val="single"/>
        </w:rPr>
      </w:pPr>
      <w:r w:rsidRPr="001D3BD8">
        <w:rPr>
          <w:rStyle w:val="SingleTxtGChar"/>
          <w:b/>
          <w:u w:val="single"/>
        </w:rPr>
        <w:t>1.4.3.8.1</w:t>
      </w:r>
      <w:r w:rsidRPr="001D3BD8">
        <w:rPr>
          <w:b/>
        </w:rPr>
        <w:tab/>
      </w:r>
      <w:r w:rsidRPr="001D3BD8">
        <w:rPr>
          <w:rStyle w:val="SingleTxtGChar"/>
          <w:b/>
          <w:u w:val="single"/>
        </w:rPr>
        <w:t xml:space="preserve">Dans le cadre du 1.4.1, l’exploitant de la station de réception doit en particulier : </w:t>
      </w:r>
    </w:p>
    <w:p w:rsidR="005D6C6A" w:rsidRPr="001D3BD8" w:rsidRDefault="005D6C6A" w:rsidP="00797F2D">
      <w:pPr>
        <w:pStyle w:val="SingleTxtG"/>
        <w:ind w:left="2824" w:hanging="567"/>
        <w:rPr>
          <w:b/>
          <w:u w:val="single"/>
        </w:rPr>
      </w:pPr>
      <w:r w:rsidRPr="001D3BD8">
        <w:rPr>
          <w:b/>
          <w:u w:val="single"/>
        </w:rPr>
        <w:t>a)</w:t>
      </w:r>
      <w:r w:rsidRPr="001D3BD8">
        <w:rPr>
          <w:b/>
          <w:u w:val="single"/>
        </w:rPr>
        <w:tab/>
      </w:r>
      <w:r w:rsidR="00337B5A">
        <w:rPr>
          <w:b/>
          <w:u w:val="single"/>
        </w:rPr>
        <w:t>R</w:t>
      </w:r>
      <w:r w:rsidRPr="001D3BD8">
        <w:rPr>
          <w:b/>
          <w:u w:val="single"/>
        </w:rPr>
        <w:t xml:space="preserve">emplir sa partie de la liste de contrôle visée au 7.2.3.7.2.2 avant le dégazage de citernes vides ou déchargées et le raccordement des tuyauteries destinées au chargement et au déchargement des bateaux-citernes ; </w:t>
      </w:r>
    </w:p>
    <w:p w:rsidR="005D6C6A" w:rsidRPr="001D3BD8" w:rsidRDefault="005D6C6A" w:rsidP="00797F2D">
      <w:pPr>
        <w:pStyle w:val="SingleTxtG"/>
        <w:ind w:left="2824" w:hanging="567"/>
        <w:rPr>
          <w:b/>
          <w:u w:val="single"/>
        </w:rPr>
      </w:pPr>
      <w:r w:rsidRPr="001D3BD8">
        <w:rPr>
          <w:b/>
          <w:u w:val="single"/>
        </w:rPr>
        <w:t>b)</w:t>
      </w:r>
      <w:r w:rsidRPr="001D3BD8">
        <w:rPr>
          <w:b/>
          <w:u w:val="single"/>
        </w:rPr>
        <w:tab/>
      </w:r>
      <w:r w:rsidR="00337B5A">
        <w:rPr>
          <w:b/>
          <w:u w:val="single"/>
        </w:rPr>
        <w:t>S</w:t>
      </w:r>
      <w:r w:rsidRPr="001D3BD8">
        <w:rPr>
          <w:b/>
          <w:u w:val="single"/>
        </w:rPr>
        <w:t>’assurer que, lorsque cette prescription est indiquée au</w:t>
      </w:r>
      <w:r w:rsidR="00B675D8">
        <w:rPr>
          <w:b/>
          <w:u w:val="single"/>
        </w:rPr>
        <w:t> </w:t>
      </w:r>
      <w:r w:rsidRPr="001D3BD8">
        <w:rPr>
          <w:b/>
          <w:u w:val="single"/>
        </w:rPr>
        <w:t xml:space="preserve">7.2.3.7.2.3, le conduit de la station de réception qui est relié au bateau en cours de dégazage soit muni d’un coupe-flammes afin de protéger </w:t>
      </w:r>
      <w:proofErr w:type="gramStart"/>
      <w:r w:rsidRPr="001D3BD8">
        <w:rPr>
          <w:b/>
          <w:u w:val="single"/>
        </w:rPr>
        <w:t>le  bateau</w:t>
      </w:r>
      <w:proofErr w:type="gramEnd"/>
      <w:r w:rsidRPr="001D3BD8">
        <w:rPr>
          <w:b/>
          <w:u w:val="single"/>
        </w:rPr>
        <w:t xml:space="preserve"> contre les détonations et les passages de flammes provenant de la station de réception.</w:t>
      </w:r>
    </w:p>
    <w:p w:rsidR="005D6C6A" w:rsidRPr="001D3BD8" w:rsidRDefault="005D6C6A" w:rsidP="00797F2D">
      <w:pPr>
        <w:pStyle w:val="SingleTxtG"/>
        <w:keepNext/>
        <w:jc w:val="left"/>
      </w:pPr>
      <w:r w:rsidRPr="001D3BD8">
        <w:t>1.8.3</w:t>
      </w:r>
      <w:r w:rsidRPr="001D3BD8">
        <w:tab/>
      </w:r>
      <w:r w:rsidRPr="001D3BD8">
        <w:tab/>
        <w:t>Conseiller à la sécurité</w:t>
      </w:r>
    </w:p>
    <w:p w:rsidR="005D6C6A" w:rsidRPr="001D3BD8" w:rsidRDefault="005D6C6A" w:rsidP="00797F2D">
      <w:pPr>
        <w:pStyle w:val="SingleTxtG"/>
        <w:ind w:left="2268" w:hanging="1134"/>
      </w:pPr>
      <w:r w:rsidRPr="001D3BD8">
        <w:rPr>
          <w:rStyle w:val="SingleTxtGChar"/>
        </w:rPr>
        <w:t>1.8.3.1</w:t>
      </w:r>
      <w:r w:rsidRPr="001D3BD8">
        <w:rPr>
          <w:rStyle w:val="SingleTxtGChar"/>
        </w:rPr>
        <w:tab/>
      </w:r>
      <w:r w:rsidRPr="001D3BD8">
        <w:t xml:space="preserve">Chaque entreprise dont l’activité comporte le transport de marchandises dangereuses par voies de navigation intérieures, ou les opérations d’emballage, de chargement, de remplissage ou de déchargement liées à ces transports, désigne un ou plusieurs conseillers à la sécurité, nommés ci-après </w:t>
      </w:r>
      <w:r w:rsidR="0051528A">
        <w:t>« </w:t>
      </w:r>
      <w:r w:rsidRPr="001D3BD8">
        <w:t>conseillers</w:t>
      </w:r>
      <w:r w:rsidR="0051528A">
        <w:t> »</w:t>
      </w:r>
      <w:r w:rsidRPr="001D3BD8">
        <w:t xml:space="preserve">, pour le transport de marchandises dangereuses, chargés d’aider à la prévention des risques pour les personnes, les biens ou l’environnement, inhérents à ces activités.  </w:t>
      </w:r>
    </w:p>
    <w:p w:rsidR="005D6C6A" w:rsidRPr="0051528A" w:rsidRDefault="005D6C6A" w:rsidP="0051528A">
      <w:pPr>
        <w:pStyle w:val="SingleTxtG"/>
        <w:ind w:left="2268"/>
        <w:rPr>
          <w:b/>
          <w:u w:val="single"/>
        </w:rPr>
      </w:pPr>
      <w:r w:rsidRPr="0051528A">
        <w:rPr>
          <w:b/>
          <w:i/>
          <w:u w:val="single"/>
        </w:rPr>
        <w:t>NOTA</w:t>
      </w:r>
      <w:r w:rsidR="00450090">
        <w:rPr>
          <w:b/>
          <w:i/>
          <w:u w:val="single"/>
        </w:rPr>
        <w:t> </w:t>
      </w:r>
      <w:r w:rsidRPr="0051528A">
        <w:rPr>
          <w:b/>
          <w:u w:val="single"/>
        </w:rPr>
        <w:t>: Cette obligation ne s’applique pas aux exploitants de stations de réception.</w:t>
      </w:r>
    </w:p>
    <w:p w:rsidR="005D6C6A" w:rsidRPr="001D3BD8" w:rsidRDefault="005D6C6A" w:rsidP="00797F2D">
      <w:pPr>
        <w:pStyle w:val="SingleTxtG"/>
        <w:ind w:left="2268" w:hanging="1134"/>
      </w:pPr>
      <w:r w:rsidRPr="001D3BD8">
        <w:t>1.8.5</w:t>
      </w:r>
      <w:r w:rsidRPr="001D3BD8">
        <w:tab/>
      </w:r>
      <w:r w:rsidRPr="001D3BD8">
        <w:tab/>
        <w:t>Déclaration des événements impliquant des marchandises dangereuses</w:t>
      </w:r>
    </w:p>
    <w:p w:rsidR="005D6C6A" w:rsidRPr="001D3BD8" w:rsidRDefault="005D6C6A" w:rsidP="00797F2D">
      <w:pPr>
        <w:pStyle w:val="SingleTxtG"/>
        <w:ind w:left="2268" w:hanging="1134"/>
        <w:rPr>
          <w:rStyle w:val="SingleTxtGChar"/>
        </w:rPr>
      </w:pPr>
      <w:r w:rsidRPr="001D3BD8">
        <w:rPr>
          <w:rStyle w:val="SingleTxtGChar"/>
        </w:rPr>
        <w:t>1.8.5.1</w:t>
      </w:r>
      <w:r w:rsidRPr="001D3BD8">
        <w:tab/>
      </w:r>
      <w:r w:rsidRPr="001D3BD8">
        <w:rPr>
          <w:rStyle w:val="SingleTxtGChar"/>
        </w:rPr>
        <w:t xml:space="preserve">Si un accident ou un incident grave se produit lors du chargement, du remplissage, du transport ou du déchargement de marchandises dangereuses, </w:t>
      </w:r>
      <w:r w:rsidRPr="001D3BD8">
        <w:rPr>
          <w:rStyle w:val="SingleTxtGChar"/>
          <w:b/>
          <w:u w:val="single"/>
        </w:rPr>
        <w:t>ou pendant le dégazage d’un bateau-citerne,</w:t>
      </w:r>
      <w:r w:rsidRPr="001D3BD8">
        <w:rPr>
          <w:rStyle w:val="SingleTxtGChar"/>
        </w:rPr>
        <w:t xml:space="preserve"> sur le territoire d’une Partie contractante, le chargeur, le remplisseur, le transporteur, </w:t>
      </w:r>
      <w:r w:rsidRPr="001D3BD8">
        <w:rPr>
          <w:rStyle w:val="SingleTxtGChar"/>
          <w:strike/>
        </w:rPr>
        <w:t>ou</w:t>
      </w:r>
      <w:r w:rsidRPr="001D3BD8">
        <w:rPr>
          <w:rStyle w:val="SingleTxtGChar"/>
        </w:rPr>
        <w:t xml:space="preserve"> le destinataire</w:t>
      </w:r>
      <w:r w:rsidRPr="001D3BD8">
        <w:rPr>
          <w:rStyle w:val="SingleTxtGChar"/>
          <w:b/>
          <w:u w:val="single"/>
        </w:rPr>
        <w:t xml:space="preserve"> ou l’exploitant de la station de réception</w:t>
      </w:r>
      <w:r w:rsidRPr="001D3BD8">
        <w:rPr>
          <w:rStyle w:val="SingleTxtGChar"/>
        </w:rPr>
        <w:t xml:space="preserve"> doit respectivement s’assurer qu’un rapport établi selon</w:t>
      </w:r>
      <w:r w:rsidR="002C4FB3">
        <w:rPr>
          <w:rStyle w:val="SingleTxtGChar"/>
        </w:rPr>
        <w:t xml:space="preserve"> le modèle prescrit au 1.8.5.4 </w:t>
      </w:r>
      <w:r w:rsidRPr="001D3BD8">
        <w:rPr>
          <w:rStyle w:val="SingleTxtGChar"/>
        </w:rPr>
        <w:t>est soumis à l’autorité compétente de la Partie contractante concernée dans un délai d’un mois après que l’événement s’est produit.</w:t>
      </w:r>
    </w:p>
    <w:p w:rsidR="005D6C6A" w:rsidRPr="001D3BD8" w:rsidRDefault="005D6C6A" w:rsidP="00797F2D">
      <w:pPr>
        <w:pStyle w:val="SingleTxtG"/>
        <w:ind w:left="2268" w:hanging="1134"/>
      </w:pPr>
      <w:r w:rsidRPr="001D3BD8">
        <w:rPr>
          <w:rStyle w:val="SingleTxtGChar"/>
        </w:rPr>
        <w:t>7.1.3</w:t>
      </w:r>
      <w:r w:rsidRPr="001D3BD8">
        <w:tab/>
      </w:r>
      <w:r w:rsidRPr="001D3BD8">
        <w:rPr>
          <w:rStyle w:val="SingleTxtGChar"/>
        </w:rPr>
        <w:t>Prescriptions générales de service</w:t>
      </w:r>
    </w:p>
    <w:p w:rsidR="005D6C6A" w:rsidRPr="001D3BD8" w:rsidRDefault="005D6C6A" w:rsidP="00EA00C6">
      <w:pPr>
        <w:pStyle w:val="SingleTxtG"/>
        <w:keepNext/>
        <w:ind w:left="2268"/>
        <w:jc w:val="left"/>
      </w:pPr>
      <w:r w:rsidRPr="00450090">
        <w:rPr>
          <w:i/>
        </w:rPr>
        <w:t>Remplacer les paragraphes 7.1.3.1.3 à 7.1.3.1.7</w:t>
      </w:r>
      <w:r w:rsidRPr="001D3BD8">
        <w:t xml:space="preserve"> par le texte suivant :</w:t>
      </w:r>
    </w:p>
    <w:p w:rsidR="005D6C6A" w:rsidRPr="001D3BD8" w:rsidRDefault="005D6C6A" w:rsidP="00797F2D">
      <w:pPr>
        <w:pStyle w:val="SingleTxtG"/>
        <w:ind w:left="2268" w:hanging="1134"/>
        <w:rPr>
          <w:rStyle w:val="SingleTxtGChar"/>
        </w:rPr>
      </w:pPr>
      <w:r w:rsidRPr="001D3BD8">
        <w:rPr>
          <w:rStyle w:val="SingleTxtGChar"/>
        </w:rPr>
        <w:t>7.1.3.1.3</w:t>
      </w:r>
      <w:r w:rsidRPr="001D3BD8">
        <w:tab/>
      </w:r>
      <w:r w:rsidRPr="001D3BD8">
        <w:rPr>
          <w:rStyle w:val="SingleTxtGChar"/>
        </w:rPr>
        <w:t xml:space="preserve">S’il faut mesurer la concentration </w:t>
      </w:r>
      <w:r w:rsidRPr="001D3BD8">
        <w:rPr>
          <w:rStyle w:val="SingleTxtGChar"/>
          <w:b/>
          <w:u w:val="single"/>
        </w:rPr>
        <w:t>des</w:t>
      </w:r>
      <w:r w:rsidRPr="001D3BD8">
        <w:rPr>
          <w:rStyle w:val="SingleTxtGChar"/>
        </w:rPr>
        <w:t xml:space="preserve"> gaz </w:t>
      </w:r>
      <w:r w:rsidRPr="001D3BD8">
        <w:rPr>
          <w:rStyle w:val="SingleTxtGChar"/>
          <w:b/>
          <w:u w:val="single"/>
        </w:rPr>
        <w:t>et des vapeurs émis par la cargaison</w:t>
      </w:r>
      <w:r w:rsidRPr="002C4FB3">
        <w:rPr>
          <w:rStyle w:val="SingleTxtGChar"/>
          <w:b/>
        </w:rPr>
        <w:t xml:space="preserve"> </w:t>
      </w:r>
      <w:r w:rsidRPr="001D3BD8">
        <w:rPr>
          <w:rStyle w:val="SingleTxtGChar"/>
        </w:rPr>
        <w:t xml:space="preserve">ou la teneur de l’air en oxygène dans les cales, espaces de double coque et doubles fonds avant d’y entrer, les résultats de ces mesures doivent être consignés par écrit. Les mesures ne peuvent être effectuées que par </w:t>
      </w:r>
      <w:r w:rsidRPr="001D3BD8">
        <w:rPr>
          <w:rStyle w:val="SingleTxtGChar"/>
          <w:b/>
          <w:u w:val="single"/>
        </w:rPr>
        <w:t>l’expert visé au 8.2.1.2,</w:t>
      </w:r>
      <w:r w:rsidRPr="001D3BD8">
        <w:rPr>
          <w:rStyle w:val="SingleTxtGChar"/>
        </w:rPr>
        <w:t xml:space="preserve"> </w:t>
      </w:r>
      <w:r w:rsidRPr="001D3BD8">
        <w:rPr>
          <w:rStyle w:val="SingleTxtGChar"/>
          <w:strike/>
        </w:rPr>
        <w:t>des</w:t>
      </w:r>
      <w:r w:rsidRPr="001D3BD8">
        <w:rPr>
          <w:rStyle w:val="SingleTxtGChar"/>
        </w:rPr>
        <w:t xml:space="preserve"> </w:t>
      </w:r>
      <w:r w:rsidRPr="001D3BD8">
        <w:rPr>
          <w:rStyle w:val="SingleTxtGChar"/>
          <w:strike/>
        </w:rPr>
        <w:t>personnes</w:t>
      </w:r>
      <w:r w:rsidRPr="001D3BD8">
        <w:rPr>
          <w:rStyle w:val="SingleTxtGChar"/>
        </w:rPr>
        <w:t xml:space="preserve"> équipé</w:t>
      </w:r>
      <w:r w:rsidRPr="001D3BD8">
        <w:rPr>
          <w:rStyle w:val="SingleTxtGChar"/>
          <w:strike/>
        </w:rPr>
        <w:t>es</w:t>
      </w:r>
      <w:r w:rsidRPr="001D3BD8">
        <w:rPr>
          <w:rStyle w:val="SingleTxtGChar"/>
        </w:rPr>
        <w:t xml:space="preserve"> d’un appareil de protection respiratoire approprié pour la matière transportée.</w:t>
      </w:r>
    </w:p>
    <w:p w:rsidR="005D6C6A" w:rsidRPr="001D3BD8" w:rsidRDefault="005D6C6A" w:rsidP="00450090">
      <w:pPr>
        <w:pStyle w:val="SingleTxtG"/>
        <w:ind w:left="2268"/>
        <w:rPr>
          <w:lang w:eastAsia="nl-NL"/>
        </w:rPr>
      </w:pPr>
      <w:r w:rsidRPr="001D3BD8">
        <w:t>Il n’est pas autorisé d’entrer dans les locaux à contrôler pour effectuer ces mesures.</w:t>
      </w:r>
      <w:r w:rsidRPr="001D3BD8">
        <w:rPr>
          <w:rStyle w:val="SingleTxtGChar"/>
        </w:rPr>
        <w:t xml:space="preserve"> </w:t>
      </w:r>
    </w:p>
    <w:p w:rsidR="005D6C6A" w:rsidRPr="001D3BD8" w:rsidRDefault="005D6C6A" w:rsidP="002B3870">
      <w:pPr>
        <w:pStyle w:val="SingleTxtG"/>
        <w:keepNext/>
        <w:ind w:left="2268" w:hanging="1134"/>
        <w:jc w:val="left"/>
        <w:rPr>
          <w:b/>
          <w:u w:val="single"/>
          <w:lang w:eastAsia="nl-NL"/>
        </w:rPr>
      </w:pPr>
      <w:r w:rsidRPr="001D3BD8">
        <w:rPr>
          <w:rStyle w:val="SingleTxtGChar"/>
        </w:rPr>
        <w:t>7.1.3.1.</w:t>
      </w:r>
      <w:r w:rsidRPr="001D3BD8">
        <w:rPr>
          <w:rStyle w:val="SingleTxtGChar"/>
          <w:strike/>
        </w:rPr>
        <w:t>5</w:t>
      </w:r>
      <w:r w:rsidRPr="001D3BD8">
        <w:rPr>
          <w:rStyle w:val="SingleTxtGChar"/>
          <w:b/>
        </w:rPr>
        <w:t>4</w:t>
      </w:r>
      <w:r w:rsidRPr="001D3BD8">
        <w:rPr>
          <w:lang w:eastAsia="nl-NL"/>
        </w:rPr>
        <w:tab/>
      </w:r>
      <w:r w:rsidRPr="001D3BD8">
        <w:rPr>
          <w:rStyle w:val="SingleTxtGChar"/>
          <w:b/>
          <w:u w:val="single"/>
        </w:rPr>
        <w:t>Transport de marchandises en vrac ou sans emballages</w:t>
      </w:r>
    </w:p>
    <w:p w:rsidR="005D6C6A" w:rsidRPr="001D3BD8" w:rsidRDefault="005D6C6A" w:rsidP="00450090">
      <w:pPr>
        <w:pStyle w:val="SingleTxtG"/>
        <w:ind w:left="2268"/>
      </w:pPr>
      <w:r w:rsidRPr="001D3BD8">
        <w:rPr>
          <w:strike/>
        </w:rPr>
        <w:t xml:space="preserve">Avant que quiconque ne pénètre dans des cales contenant </w:t>
      </w:r>
      <w:r w:rsidR="002C4FB3">
        <w:rPr>
          <w:b/>
          <w:u w:val="single"/>
        </w:rPr>
        <w:t>Si un</w:t>
      </w:r>
      <w:r w:rsidRPr="001D3BD8">
        <w:rPr>
          <w:b/>
          <w:u w:val="single"/>
        </w:rPr>
        <w:t xml:space="preserve"> bateau transporte</w:t>
      </w:r>
      <w:r w:rsidRPr="002C4FB3">
        <w:rPr>
          <w:u w:val="single"/>
        </w:rPr>
        <w:t xml:space="preserve"> </w:t>
      </w:r>
      <w:r w:rsidRPr="001D3BD8">
        <w:rPr>
          <w:b/>
          <w:u w:val="single"/>
        </w:rPr>
        <w:t>dans ses cales</w:t>
      </w:r>
      <w:r w:rsidRPr="002C4FB3">
        <w:rPr>
          <w:b/>
        </w:rPr>
        <w:t xml:space="preserve"> </w:t>
      </w:r>
      <w:r w:rsidRPr="001D3BD8">
        <w:t>des marchandises dangereuses en vrac ou sans emballages pour lesquelles la mention EX et/ou TOX figure à la colonne (9) du tableau A du chapitre 3.2, la concentration de gaz</w:t>
      </w:r>
      <w:r w:rsidRPr="002C4FB3">
        <w:rPr>
          <w:b/>
        </w:rPr>
        <w:t xml:space="preserve"> </w:t>
      </w:r>
      <w:r w:rsidRPr="001D3BD8">
        <w:rPr>
          <w:b/>
          <w:u w:val="single"/>
        </w:rPr>
        <w:t>et de vapeurs inflammables et/ou toxiques émis par la cargaison dans ces cales et dans les cales contiguës</w:t>
      </w:r>
      <w:r w:rsidRPr="002C4FB3">
        <w:rPr>
          <w:b/>
        </w:rPr>
        <w:t xml:space="preserve"> </w:t>
      </w:r>
      <w:r w:rsidRPr="001D3BD8">
        <w:t xml:space="preserve">doit être mesurée </w:t>
      </w:r>
      <w:r w:rsidRPr="001D3BD8">
        <w:rPr>
          <w:strike/>
        </w:rPr>
        <w:t xml:space="preserve">dans ces cales </w:t>
      </w:r>
      <w:r w:rsidRPr="001D3BD8">
        <w:t xml:space="preserve">avant que quiconque n’y pénètre </w:t>
      </w:r>
      <w:r w:rsidRPr="001D3BD8">
        <w:rPr>
          <w:strike/>
        </w:rPr>
        <w:t>ainsi que dans les cales contiguës</w:t>
      </w:r>
      <w:r w:rsidRPr="001D3BD8">
        <w:t>.</w:t>
      </w:r>
    </w:p>
    <w:p w:rsidR="005D6C6A" w:rsidRPr="001D3BD8" w:rsidRDefault="005D6C6A" w:rsidP="00450090">
      <w:pPr>
        <w:pStyle w:val="SingleTxtG"/>
        <w:keepNext/>
        <w:ind w:left="2268" w:hanging="1134"/>
      </w:pPr>
      <w:r w:rsidRPr="001D3BD8">
        <w:rPr>
          <w:rStyle w:val="SingleTxtGChar"/>
        </w:rPr>
        <w:t>7.1.3.1.</w:t>
      </w:r>
      <w:r w:rsidRPr="001D3BD8">
        <w:rPr>
          <w:rStyle w:val="SingleTxtGChar"/>
          <w:strike/>
        </w:rPr>
        <w:t>7</w:t>
      </w:r>
      <w:r w:rsidRPr="001D3BD8">
        <w:rPr>
          <w:rStyle w:val="SingleTxtGChar"/>
          <w:b/>
        </w:rPr>
        <w:t>5</w:t>
      </w:r>
      <w:r w:rsidRPr="001D3BD8">
        <w:rPr>
          <w:lang w:eastAsia="nl-NL"/>
        </w:rPr>
        <w:tab/>
      </w:r>
      <w:r w:rsidRPr="001D3BD8">
        <w:t xml:space="preserve">En cas de transport de marchandises dangereuses en vrac ou sans emballage, l’entrée dans les cales ainsi que l’entrée dans les espaces de double coque et les doubles fonds </w:t>
      </w:r>
      <w:r w:rsidRPr="001D3BD8">
        <w:rPr>
          <w:strike/>
        </w:rPr>
        <w:t>n’</w:t>
      </w:r>
      <w:r w:rsidRPr="001D3BD8">
        <w:t xml:space="preserve">est </w:t>
      </w:r>
      <w:r w:rsidRPr="001D3BD8">
        <w:rPr>
          <w:b/>
          <w:u w:val="single"/>
        </w:rPr>
        <w:t>seulement</w:t>
      </w:r>
      <w:r w:rsidRPr="001D3BD8">
        <w:rPr>
          <w:strike/>
        </w:rPr>
        <w:t xml:space="preserve"> </w:t>
      </w:r>
      <w:r w:rsidRPr="001D3BD8">
        <w:t>autorisée</w:t>
      </w:r>
      <w:r w:rsidRPr="001D3BD8">
        <w:rPr>
          <w:strike/>
        </w:rPr>
        <w:t xml:space="preserve"> que</w:t>
      </w:r>
      <w:r w:rsidRPr="001D3BD8">
        <w:t xml:space="preserve"> </w:t>
      </w:r>
      <w:r w:rsidRPr="001D3BD8">
        <w:rPr>
          <w:b/>
          <w:u w:val="single"/>
        </w:rPr>
        <w:t>si</w:t>
      </w:r>
      <w:r w:rsidRPr="001D3BD8">
        <w:t xml:space="preserve"> :</w:t>
      </w:r>
    </w:p>
    <w:p w:rsidR="005D6C6A" w:rsidRPr="001D3BD8" w:rsidRDefault="005D6C6A" w:rsidP="005D6C6A">
      <w:pPr>
        <w:pStyle w:val="Bullet1G"/>
        <w:numPr>
          <w:ilvl w:val="0"/>
          <w:numId w:val="14"/>
        </w:numPr>
        <w:kinsoku/>
        <w:overflowPunct/>
        <w:autoSpaceDE/>
        <w:autoSpaceDN/>
        <w:adjustRightInd/>
        <w:snapToGrid/>
      </w:pPr>
      <w:r w:rsidRPr="001D3BD8">
        <w:rPr>
          <w:strike/>
        </w:rPr>
        <w:t>si la concentration en oxygène est suffisante et s’il n’y a pas de concentration dangereuse mesurable de substances dangereuses; ou</w:t>
      </w:r>
      <w:r w:rsidRPr="001D3BD8">
        <w:t xml:space="preserve"> </w:t>
      </w:r>
      <w:r w:rsidR="001912A2">
        <w:rPr>
          <w:b/>
          <w:u w:val="single"/>
        </w:rPr>
        <w:t>L</w:t>
      </w:r>
      <w:r w:rsidRPr="001D3BD8">
        <w:rPr>
          <w:b/>
          <w:u w:val="single"/>
        </w:rPr>
        <w:t>a concentration de gaz et de vapeurs inflammables émis par la cargaison dans les cales, les espaces de double coque et les doubles fonds est inférieure à 10 % de la limite inférieure d’explosivité, la concentration des gaz et vapeurs toxiques émis par la cargaison est inférieure au</w:t>
      </w:r>
      <w:r w:rsidRPr="001D3BD8">
        <w:rPr>
          <w:u w:val="single"/>
        </w:rPr>
        <w:t xml:space="preserve"> </w:t>
      </w:r>
      <w:r w:rsidRPr="001D3BD8">
        <w:rPr>
          <w:b/>
          <w:u w:val="single"/>
        </w:rPr>
        <w:t>degré d’exposition acceptable selon le droit national en vigueur et la teneur en oxygène est de 20 à 23,5 % en volume</w:t>
      </w:r>
      <w:r w:rsidR="001912A2">
        <w:rPr>
          <w:b/>
          <w:u w:val="single"/>
        </w:rPr>
        <w:t> ;</w:t>
      </w:r>
    </w:p>
    <w:p w:rsidR="005D6C6A" w:rsidRPr="001D3BD8" w:rsidRDefault="005D6C6A" w:rsidP="00580BC7">
      <w:pPr>
        <w:pStyle w:val="SingleTxtG"/>
        <w:ind w:left="2268"/>
        <w:rPr>
          <w:b/>
          <w:u w:val="single"/>
        </w:rPr>
      </w:pPr>
      <w:proofErr w:type="gramStart"/>
      <w:r w:rsidRPr="001D3BD8">
        <w:rPr>
          <w:b/>
          <w:u w:val="single"/>
        </w:rPr>
        <w:t>ou</w:t>
      </w:r>
      <w:proofErr w:type="gramEnd"/>
    </w:p>
    <w:p w:rsidR="005D6C6A" w:rsidRPr="001D3BD8" w:rsidRDefault="001912A2" w:rsidP="005D6C6A">
      <w:pPr>
        <w:pStyle w:val="Bullet1G"/>
        <w:numPr>
          <w:ilvl w:val="0"/>
          <w:numId w:val="14"/>
        </w:numPr>
        <w:kinsoku/>
        <w:overflowPunct/>
        <w:autoSpaceDE/>
        <w:autoSpaceDN/>
        <w:adjustRightInd/>
        <w:snapToGrid/>
      </w:pPr>
      <w:r>
        <w:rPr>
          <w:b/>
          <w:u w:val="single"/>
        </w:rPr>
        <w:t>L</w:t>
      </w:r>
      <w:r w:rsidR="005D6C6A" w:rsidRPr="001D3BD8">
        <w:rPr>
          <w:b/>
          <w:u w:val="single"/>
        </w:rPr>
        <w:t xml:space="preserve">a concentration des gaz et </w:t>
      </w:r>
      <w:proofErr w:type="gramStart"/>
      <w:r w:rsidR="005D6C6A" w:rsidRPr="001D3BD8">
        <w:rPr>
          <w:b/>
          <w:u w:val="single"/>
        </w:rPr>
        <w:t>vapeurs  inflammables</w:t>
      </w:r>
      <w:proofErr w:type="gramEnd"/>
      <w:r w:rsidR="005D6C6A" w:rsidRPr="001D3BD8">
        <w:rPr>
          <w:b/>
          <w:u w:val="single"/>
        </w:rPr>
        <w:t xml:space="preserve"> émis par la cargaison est inférieure à 10 % de la limite inférieure d’explosivité, et</w:t>
      </w:r>
      <w:r w:rsidR="005D6C6A" w:rsidRPr="001D3BD8">
        <w:t xml:space="preserve"> si la personne qui y pénètre porte un appareil respiratoire autonome et les autres équipements de protection et de secours nécessaires et si elle est assurée par une corde. L’entrée dans ces locaux n’est autorisée que si cette opération est surveillée par une deuxième personne ayant à sa disposition immédiate le même équipement. Deux autres personnes capables de prêter assistance en cas d’urgence doivent être sur le bateau à portée de voix. </w:t>
      </w:r>
    </w:p>
    <w:p w:rsidR="005D6C6A" w:rsidRPr="001D3BD8" w:rsidRDefault="005D6C6A" w:rsidP="005D6C6A">
      <w:pPr>
        <w:pStyle w:val="SingleTxtG"/>
        <w:ind w:left="2259"/>
        <w:rPr>
          <w:b/>
          <w:u w:val="single"/>
        </w:rPr>
      </w:pPr>
      <w:r w:rsidRPr="001D3BD8">
        <w:rPr>
          <w:b/>
          <w:u w:val="single"/>
        </w:rPr>
        <w:t>Contrairement à ce que dispose le 1.1.4.6, les dispositions plus contraignantes de la législation nationale relatives à l’accès aux cales l’emportent sur l’ADN.</w:t>
      </w:r>
    </w:p>
    <w:p w:rsidR="005D6C6A" w:rsidRPr="001D3BD8" w:rsidRDefault="005D6C6A" w:rsidP="00797F2D">
      <w:pPr>
        <w:pStyle w:val="SingleTxtG"/>
        <w:ind w:left="2268" w:hanging="1134"/>
        <w:rPr>
          <w:rStyle w:val="SingleTxtGChar"/>
          <w:b/>
          <w:u w:val="single"/>
        </w:rPr>
      </w:pPr>
      <w:r w:rsidRPr="001D3BD8">
        <w:rPr>
          <w:rStyle w:val="SingleTxtGChar"/>
        </w:rPr>
        <w:t>7.1.3.1.</w:t>
      </w:r>
      <w:r w:rsidRPr="001D3BD8">
        <w:rPr>
          <w:rStyle w:val="SingleTxtGChar"/>
          <w:strike/>
        </w:rPr>
        <w:t>4</w:t>
      </w:r>
      <w:r w:rsidRPr="001D3BD8">
        <w:rPr>
          <w:rStyle w:val="SingleTxtGChar"/>
          <w:b/>
        </w:rPr>
        <w:t>6</w:t>
      </w:r>
      <w:r w:rsidRPr="001D3BD8">
        <w:tab/>
      </w:r>
      <w:r w:rsidRPr="001D3BD8">
        <w:rPr>
          <w:rStyle w:val="SingleTxtGChar"/>
          <w:b/>
          <w:u w:val="single"/>
        </w:rPr>
        <w:t>Transport en colis</w:t>
      </w:r>
    </w:p>
    <w:p w:rsidR="005D6C6A" w:rsidRPr="001D3BD8" w:rsidRDefault="005D6C6A" w:rsidP="00580BC7">
      <w:pPr>
        <w:pStyle w:val="SingleTxtG"/>
        <w:ind w:left="2268"/>
      </w:pPr>
      <w:r w:rsidRPr="001D3BD8">
        <w:t>Avant que quiconque ne pénètre dans des cales contenant des marchandises dangereuses des classes 2, 3,</w:t>
      </w:r>
      <w:r w:rsidRPr="001D3BD8">
        <w:rPr>
          <w:b/>
          <w:u w:val="single"/>
        </w:rPr>
        <w:t xml:space="preserve"> 4.3</w:t>
      </w:r>
      <w:r w:rsidRPr="001D3BD8">
        <w:t>, 5.2, 6.1 et 8 pour lesquelles la mention EX et/ou TOX figure à la colonne (9) du tableau A du chapitre 3.2, la concentration de gaz</w:t>
      </w:r>
      <w:r w:rsidRPr="001D3BD8">
        <w:rPr>
          <w:b/>
          <w:u w:val="single"/>
        </w:rPr>
        <w:t xml:space="preserve"> et de vapeurs inflammables et/ou toxiques émis par la cargaison</w:t>
      </w:r>
      <w:r w:rsidRPr="001D3BD8">
        <w:t xml:space="preserve"> doit être mesurée dans ces cales si l’on soupçonne que des colis ont été endommagés. </w:t>
      </w:r>
    </w:p>
    <w:p w:rsidR="005D6C6A" w:rsidRPr="001D3BD8" w:rsidRDefault="005D6C6A" w:rsidP="00797F2D">
      <w:pPr>
        <w:pStyle w:val="SingleTxtG"/>
        <w:ind w:left="2268" w:hanging="1134"/>
      </w:pPr>
      <w:r w:rsidRPr="001D3BD8">
        <w:rPr>
          <w:rStyle w:val="SingleTxtGChar"/>
        </w:rPr>
        <w:t>7.1.3.1.</w:t>
      </w:r>
      <w:r w:rsidRPr="001D3BD8">
        <w:rPr>
          <w:rStyle w:val="SingleTxtGChar"/>
          <w:strike/>
        </w:rPr>
        <w:t>6</w:t>
      </w:r>
      <w:r w:rsidRPr="001D3BD8">
        <w:rPr>
          <w:rStyle w:val="SingleTxtGChar"/>
          <w:b/>
        </w:rPr>
        <w:t>7</w:t>
      </w:r>
      <w:r w:rsidRPr="001D3BD8">
        <w:tab/>
      </w:r>
      <w:r w:rsidRPr="001D3BD8">
        <w:rPr>
          <w:rFonts w:cs="Segoe UI"/>
        </w:rPr>
        <w:t xml:space="preserve">En cas de transport de marchandises dangereuses des classes 2, 3, </w:t>
      </w:r>
      <w:r w:rsidRPr="001D3BD8">
        <w:rPr>
          <w:rStyle w:val="SingleTxtGChar"/>
          <w:b/>
          <w:u w:val="single"/>
        </w:rPr>
        <w:t>4.3,</w:t>
      </w:r>
      <w:r w:rsidRPr="001D3BD8">
        <w:rPr>
          <w:rStyle w:val="SingleTxtGChar"/>
        </w:rPr>
        <w:t xml:space="preserve"> </w:t>
      </w:r>
      <w:r w:rsidRPr="001D3BD8">
        <w:rPr>
          <w:rFonts w:cs="Segoe UI"/>
        </w:rPr>
        <w:t xml:space="preserve">5.2, 6.1 et 8 et si l’on soupçonne que des colis ont été endommagés, l’entrée dans les cales ainsi que dans les espaces de double coque et les doubles fonds </w:t>
      </w:r>
      <w:r w:rsidRPr="001D3BD8">
        <w:rPr>
          <w:rFonts w:cs="Segoe UI"/>
          <w:b/>
          <w:u w:val="single"/>
        </w:rPr>
        <w:t xml:space="preserve">est seulement autorisée si </w:t>
      </w:r>
      <w:r w:rsidRPr="001D3BD8">
        <w:rPr>
          <w:rFonts w:cs="Segoe UI"/>
          <w:strike/>
        </w:rPr>
        <w:t>n’est autorisée que</w:t>
      </w:r>
      <w:r w:rsidRPr="001D3BD8">
        <w:rPr>
          <w:rFonts w:cs="Segoe UI"/>
        </w:rPr>
        <w:t xml:space="preserve"> :</w:t>
      </w:r>
    </w:p>
    <w:p w:rsidR="005D6C6A" w:rsidRPr="001D3BD8" w:rsidRDefault="00580BC7" w:rsidP="005D6C6A">
      <w:pPr>
        <w:pStyle w:val="Bullet1G"/>
        <w:numPr>
          <w:ilvl w:val="0"/>
          <w:numId w:val="14"/>
        </w:numPr>
        <w:kinsoku/>
        <w:overflowPunct/>
        <w:autoSpaceDE/>
        <w:autoSpaceDN/>
        <w:adjustRightInd/>
        <w:snapToGrid/>
      </w:pPr>
      <w:r>
        <w:rPr>
          <w:rFonts w:cs="Segoe UI"/>
          <w:strike/>
        </w:rPr>
        <w:t>S</w:t>
      </w:r>
      <w:r w:rsidR="005D6C6A" w:rsidRPr="001D3BD8">
        <w:rPr>
          <w:rFonts w:cs="Segoe UI"/>
          <w:strike/>
        </w:rPr>
        <w:t>i la concentration en oxygène est suffisante et s’il n’y a pas de concentration dangereuse mesurable de substances dangereuses;</w:t>
      </w:r>
      <w:r w:rsidR="005D6C6A" w:rsidRPr="001D3BD8">
        <w:rPr>
          <w:strike/>
        </w:rPr>
        <w:t xml:space="preserve">  ou </w:t>
      </w:r>
      <w:r>
        <w:rPr>
          <w:b/>
          <w:u w:val="single"/>
        </w:rPr>
        <w:t>L</w:t>
      </w:r>
      <w:r w:rsidR="005D6C6A" w:rsidRPr="001D3BD8">
        <w:rPr>
          <w:b/>
          <w:u w:val="single"/>
        </w:rPr>
        <w:t>a concentration de gaz et de vapeurs inflammables émis par la cargaison dans les cales, les espaces de double coque et les doubles fonds est inférieure à 10 % de la limite inférieure d’explosivité, la concentration des gaz et vapeurs toxiques émis par la cargaison est inférieure au degré d’exposition acceptable au niveau national et la teneur en oxygène est de 20 à 23,5 % en volume</w:t>
      </w:r>
      <w:r>
        <w:rPr>
          <w:b/>
          <w:u w:val="single"/>
        </w:rPr>
        <w:t> </w:t>
      </w:r>
      <w:r w:rsidRPr="00580BC7">
        <w:rPr>
          <w:b/>
          <w:u w:val="single"/>
        </w:rPr>
        <w:t>;</w:t>
      </w:r>
    </w:p>
    <w:p w:rsidR="005D6C6A" w:rsidRPr="001D3BD8" w:rsidRDefault="005D6C6A" w:rsidP="00580BC7">
      <w:pPr>
        <w:pStyle w:val="SingleTxtG"/>
        <w:ind w:left="2268"/>
        <w:rPr>
          <w:b/>
          <w:u w:val="single"/>
        </w:rPr>
      </w:pPr>
      <w:proofErr w:type="gramStart"/>
      <w:r w:rsidRPr="001D3BD8">
        <w:rPr>
          <w:b/>
          <w:u w:val="single"/>
        </w:rPr>
        <w:t>ou</w:t>
      </w:r>
      <w:proofErr w:type="gramEnd"/>
    </w:p>
    <w:p w:rsidR="005D6C6A" w:rsidRPr="001D3BD8" w:rsidRDefault="00580BC7" w:rsidP="005D6C6A">
      <w:pPr>
        <w:pStyle w:val="Bullet1G"/>
        <w:numPr>
          <w:ilvl w:val="0"/>
          <w:numId w:val="14"/>
        </w:numPr>
        <w:kinsoku/>
        <w:overflowPunct/>
        <w:autoSpaceDE/>
        <w:autoSpaceDN/>
        <w:adjustRightInd/>
        <w:snapToGrid/>
      </w:pPr>
      <w:r>
        <w:rPr>
          <w:b/>
          <w:u w:val="single"/>
        </w:rPr>
        <w:t>L</w:t>
      </w:r>
      <w:r w:rsidR="005D6C6A" w:rsidRPr="001D3BD8">
        <w:rPr>
          <w:b/>
          <w:u w:val="single"/>
        </w:rPr>
        <w:t>a concentration de gaz et de vapeurs inflammables émis par la cargaison dans les cales est inférieure à 10 % de la limite inférieure d’explosivité et</w:t>
      </w:r>
      <w:r w:rsidR="005D6C6A" w:rsidRPr="001D3BD8">
        <w:t xml:space="preserve"> </w:t>
      </w:r>
      <w:r w:rsidR="005D6C6A" w:rsidRPr="001D3BD8">
        <w:rPr>
          <w:rFonts w:cs="Segoe UI"/>
        </w:rPr>
        <w:t xml:space="preserve">si la personne qui y pénètre porte un appareil respiratoire autonome et les autres équipements de protection et de secours nécessaires et si elle est assurée par une corde. L’entrée dans ces locaux n’est autorisée que si cette opération est surveillée par une deuxième personne ayant à sa disposition immédiate le mémé équipement. Deux autres personnes capables de prêter assistance en cas d’urgence doivent être sur le bateau à portée de voix.  </w:t>
      </w:r>
    </w:p>
    <w:p w:rsidR="005D6C6A" w:rsidRPr="001D3BD8" w:rsidRDefault="005D6C6A" w:rsidP="005D6C6A">
      <w:pPr>
        <w:pStyle w:val="SingleTxtG"/>
        <w:ind w:left="2259"/>
        <w:rPr>
          <w:b/>
          <w:u w:val="single"/>
        </w:rPr>
      </w:pPr>
      <w:r w:rsidRPr="001D3BD8">
        <w:rPr>
          <w:b/>
          <w:u w:val="single"/>
        </w:rPr>
        <w:t>Contrairement à ce que dispose le 1.1.4.6, les dispositions plus contraignantes de la législation nationale relatives à l’accès aux cales l’emportent sur l’ADN.</w:t>
      </w:r>
    </w:p>
    <w:p w:rsidR="005D6C6A" w:rsidRPr="001D3BD8" w:rsidRDefault="005D6C6A" w:rsidP="00797F2D">
      <w:pPr>
        <w:pStyle w:val="SingleTxtG"/>
        <w:ind w:left="2268" w:hanging="1134"/>
        <w:rPr>
          <w:b/>
          <w:u w:val="single"/>
        </w:rPr>
      </w:pPr>
      <w:r w:rsidRPr="001D3BD8">
        <w:rPr>
          <w:rStyle w:val="SingleTxtGChar"/>
          <w:b/>
        </w:rPr>
        <w:t>7.X.3.16</w:t>
      </w:r>
      <w:r w:rsidRPr="001D3BD8">
        <w:tab/>
      </w:r>
      <w:r w:rsidRPr="00463D70">
        <w:rPr>
          <w:rStyle w:val="SingleTxtGChar"/>
          <w:b/>
          <w:spacing w:val="-1"/>
          <w:u w:val="single"/>
        </w:rPr>
        <w:t xml:space="preserve">Toutes les mesures réalisées à bord </w:t>
      </w:r>
      <w:proofErr w:type="gramStart"/>
      <w:r w:rsidRPr="00463D70">
        <w:rPr>
          <w:rStyle w:val="SingleTxtGChar"/>
          <w:b/>
          <w:spacing w:val="-1"/>
          <w:u w:val="single"/>
        </w:rPr>
        <w:t>du  bateau</w:t>
      </w:r>
      <w:proofErr w:type="gramEnd"/>
      <w:r w:rsidRPr="00463D70">
        <w:rPr>
          <w:rStyle w:val="SingleTxtGChar"/>
          <w:b/>
          <w:spacing w:val="-1"/>
          <w:u w:val="single"/>
        </w:rPr>
        <w:t xml:space="preserve"> doivent l’être par un expert visé au 8.2.1.2, sauf s’il en est disposé autrement dans le Règlement annexé à l’ADN.</w:t>
      </w:r>
      <w:r w:rsidRPr="00463D70">
        <w:rPr>
          <w:rFonts w:cs="Segoe UI"/>
          <w:spacing w:val="-1"/>
        </w:rPr>
        <w:t xml:space="preserve"> </w:t>
      </w:r>
      <w:r w:rsidRPr="00463D70">
        <w:rPr>
          <w:rFonts w:cs="Segoe UI"/>
          <w:b/>
          <w:spacing w:val="-1"/>
          <w:u w:val="single"/>
        </w:rPr>
        <w:t xml:space="preserve">Les résultats des mesures doivent être consignés par écrit dans le carnet de contrôle </w:t>
      </w:r>
      <w:r w:rsidRPr="00463D70">
        <w:rPr>
          <w:rStyle w:val="SingleTxtGChar"/>
          <w:b/>
          <w:spacing w:val="-1"/>
          <w:u w:val="single"/>
        </w:rPr>
        <w:t>visé au paragraphe 8.1.2.1 g).</w:t>
      </w:r>
    </w:p>
    <w:p w:rsidR="005D6C6A" w:rsidRPr="001D3BD8" w:rsidRDefault="005D6C6A" w:rsidP="00797F2D">
      <w:pPr>
        <w:pStyle w:val="SingleTxtG"/>
        <w:ind w:left="2268" w:hanging="1134"/>
        <w:rPr>
          <w:b/>
          <w:u w:val="single"/>
        </w:rPr>
      </w:pPr>
      <w:proofErr w:type="gramStart"/>
      <w:r w:rsidRPr="001D3BD8">
        <w:rPr>
          <w:rStyle w:val="SingleTxtGChar"/>
        </w:rPr>
        <w:t>7.X.3.1</w:t>
      </w:r>
      <w:r w:rsidRPr="001D3BD8">
        <w:rPr>
          <w:rStyle w:val="SingleTxtGChar"/>
          <w:strike/>
        </w:rPr>
        <w:t>6</w:t>
      </w:r>
      <w:r w:rsidRPr="00F078F7">
        <w:rPr>
          <w:rStyle w:val="SingleTxtGChar"/>
          <w:b/>
        </w:rPr>
        <w:t>7</w:t>
      </w:r>
      <w:r w:rsidRPr="001D3BD8">
        <w:rPr>
          <w:rStyle w:val="SingleTxtGChar"/>
        </w:rPr>
        <w:t xml:space="preserve">  à</w:t>
      </w:r>
      <w:proofErr w:type="gramEnd"/>
      <w:r w:rsidRPr="001D3BD8">
        <w:rPr>
          <w:rStyle w:val="SingleTxtGChar"/>
        </w:rPr>
        <w:t xml:space="preserve"> 7.X.3.19</w:t>
      </w:r>
      <w:r w:rsidRPr="001D3BD8">
        <w:t xml:space="preserve"> (Réservés)</w:t>
      </w:r>
    </w:p>
    <w:p w:rsidR="005D6C6A" w:rsidRPr="001D3BD8" w:rsidRDefault="005D6C6A" w:rsidP="00F078F7">
      <w:pPr>
        <w:pStyle w:val="SingleTxtG"/>
        <w:keepNext/>
        <w:ind w:left="2268" w:hanging="1134"/>
        <w:jc w:val="left"/>
      </w:pPr>
      <w:r w:rsidRPr="001D3BD8">
        <w:t>7.1.4</w:t>
      </w:r>
      <w:r w:rsidRPr="001D3BD8">
        <w:tab/>
        <w:t xml:space="preserve">Prescriptions supplémentaires relatives au chargement, au transport, </w:t>
      </w:r>
      <w:r w:rsidR="00F078F7">
        <w:br/>
      </w:r>
      <w:r w:rsidRPr="001D3BD8">
        <w:t>au déchargement et à la manutention de la cargaison</w:t>
      </w:r>
    </w:p>
    <w:p w:rsidR="005D6C6A" w:rsidRPr="001D3BD8" w:rsidRDefault="005D6C6A" w:rsidP="00797F2D">
      <w:pPr>
        <w:pStyle w:val="SingleTxtG"/>
        <w:ind w:left="2268" w:hanging="1134"/>
        <w:rPr>
          <w:strike/>
        </w:rPr>
      </w:pPr>
      <w:r w:rsidRPr="001D3BD8">
        <w:t>7.1.4.12.2</w:t>
      </w:r>
      <w:r w:rsidRPr="001D3BD8">
        <w:tab/>
      </w:r>
      <w:r w:rsidRPr="001D3BD8">
        <w:rPr>
          <w:rFonts w:cs="Segoe UI"/>
        </w:rPr>
        <w:t>À bord des bateaux qui ne transportent des marchandises dangereuses que dans des conteneurs placés dans des cales ouvertes, il n’est pas nécessaire que les ventilateurs soient incorporés mais ils doivent se trouver à bord.</w:t>
      </w:r>
      <w:r w:rsidRPr="001D3BD8">
        <w:t xml:space="preserve"> </w:t>
      </w:r>
      <w:r w:rsidRPr="001D3BD8">
        <w:rPr>
          <w:rFonts w:cs="Segoe UI"/>
        </w:rPr>
        <w:t xml:space="preserve">Si l’on soupçonne des dégâts aux conteneurs, ou si l’on soupçonne que le contenu s’est répandu à l’extérieur des conteneurs, les cales doivent être ventilées afin de réduire la concentration des gaz </w:t>
      </w:r>
      <w:r w:rsidRPr="001D3BD8">
        <w:rPr>
          <w:rFonts w:cs="Segoe UI"/>
          <w:b/>
          <w:u w:val="single"/>
        </w:rPr>
        <w:t>et vapeurs inflammables</w:t>
      </w:r>
      <w:r w:rsidRPr="001D3BD8">
        <w:rPr>
          <w:rFonts w:cs="Segoe UI"/>
        </w:rPr>
        <w:t xml:space="preserve"> émis par la cargaison à moins de </w:t>
      </w:r>
      <w:r w:rsidR="00F078F7">
        <w:rPr>
          <w:rFonts w:cs="Segoe UI"/>
        </w:rPr>
        <w:t>10 % de la</w:t>
      </w:r>
      <w:r w:rsidRPr="001D3BD8">
        <w:rPr>
          <w:rFonts w:cs="Segoe UI"/>
        </w:rPr>
        <w:t xml:space="preserve"> </w:t>
      </w:r>
      <w:r w:rsidRPr="001D3BD8">
        <w:rPr>
          <w:rFonts w:cs="Segoe UI"/>
          <w:b/>
        </w:rPr>
        <w:t>LIE</w:t>
      </w:r>
      <w:r w:rsidRPr="001D3BD8">
        <w:rPr>
          <w:rFonts w:cs="Segoe UI"/>
        </w:rPr>
        <w:t xml:space="preserve"> ou, en cas de gaz </w:t>
      </w:r>
      <w:r w:rsidRPr="001D3BD8">
        <w:rPr>
          <w:rFonts w:cs="Segoe UI"/>
          <w:b/>
          <w:u w:val="single"/>
        </w:rPr>
        <w:t>et vapeurs</w:t>
      </w:r>
      <w:r w:rsidRPr="001D3BD8">
        <w:rPr>
          <w:rFonts w:cs="Segoe UI"/>
        </w:rPr>
        <w:t xml:space="preserve"> toxiques, en dessous </w:t>
      </w:r>
      <w:r w:rsidRPr="001D3BD8">
        <w:rPr>
          <w:rFonts w:cs="Segoe UI"/>
          <w:strike/>
        </w:rPr>
        <w:t>de</w:t>
      </w:r>
      <w:r w:rsidRPr="001D3BD8">
        <w:rPr>
          <w:rFonts w:cs="Segoe UI"/>
          <w:b/>
          <w:u w:val="single"/>
        </w:rPr>
        <w:t xml:space="preserve"> </w:t>
      </w:r>
      <w:r w:rsidRPr="001D3BD8">
        <w:rPr>
          <w:b/>
          <w:u w:val="single"/>
        </w:rPr>
        <w:t xml:space="preserve">du degré d’exposition acceptable selon le droit national en vigueur </w:t>
      </w:r>
      <w:r w:rsidRPr="001D3BD8">
        <w:rPr>
          <w:rFonts w:cs="Segoe UI"/>
          <w:strike/>
        </w:rPr>
        <w:t>toute concentration significative</w:t>
      </w:r>
      <w:r w:rsidRPr="001D3BD8">
        <w:rPr>
          <w:rFonts w:cs="Segoe UI"/>
        </w:rPr>
        <w:t>.</w:t>
      </w:r>
      <w:r w:rsidRPr="001D3BD8">
        <w:rPr>
          <w:strike/>
        </w:rPr>
        <w:t xml:space="preserve"> </w:t>
      </w:r>
    </w:p>
    <w:p w:rsidR="005D6C6A" w:rsidRPr="001D3BD8" w:rsidRDefault="005D6C6A" w:rsidP="00153B78">
      <w:pPr>
        <w:pStyle w:val="SingleTxtG"/>
        <w:keepNext/>
        <w:ind w:left="2268" w:hanging="1134"/>
        <w:jc w:val="left"/>
      </w:pPr>
      <w:r w:rsidRPr="001D3BD8">
        <w:t>7.1.6</w:t>
      </w:r>
      <w:r w:rsidRPr="001D3BD8">
        <w:tab/>
      </w:r>
      <w:r w:rsidRPr="001D3BD8">
        <w:tab/>
        <w:t>Prescriptions supplémentaires</w:t>
      </w:r>
    </w:p>
    <w:p w:rsidR="005D6C6A" w:rsidRPr="001D3BD8" w:rsidRDefault="005D6C6A" w:rsidP="00153B78">
      <w:pPr>
        <w:pStyle w:val="SingleTxtG"/>
        <w:keepNext/>
        <w:ind w:left="2268" w:hanging="1134"/>
        <w:jc w:val="left"/>
      </w:pPr>
      <w:r w:rsidRPr="001D3BD8">
        <w:t>7.1.6.12</w:t>
      </w:r>
      <w:r w:rsidRPr="001D3BD8">
        <w:tab/>
        <w:t>Ventilation</w:t>
      </w:r>
    </w:p>
    <w:p w:rsidR="005D6C6A" w:rsidRPr="001D3BD8" w:rsidRDefault="005D6C6A" w:rsidP="003C5900">
      <w:pPr>
        <w:pStyle w:val="SingleTxtG"/>
        <w:ind w:left="2268" w:firstLine="9"/>
      </w:pPr>
      <w:r w:rsidRPr="001D3BD8">
        <w:t>Les prescriptions supplémentaires suivantes doivent être remplies lorsqu’elles sont indiquées à la colonne (1</w:t>
      </w:r>
      <w:r w:rsidR="00F078F7">
        <w:t>0) du tableau A du chapitre 3.2 :</w:t>
      </w:r>
    </w:p>
    <w:p w:rsidR="005D6C6A" w:rsidRPr="001D3BD8" w:rsidRDefault="00153B78" w:rsidP="003C5900">
      <w:pPr>
        <w:pStyle w:val="SingleTxtG"/>
        <w:ind w:left="2268"/>
      </w:pPr>
      <w:r>
        <w:t>VE01 </w:t>
      </w:r>
      <w:r w:rsidR="005D6C6A" w:rsidRPr="001D3BD8">
        <w:t xml:space="preserve">: </w:t>
      </w:r>
      <w:r w:rsidR="005D6C6A" w:rsidRPr="001D3BD8">
        <w:rPr>
          <w:rFonts w:cs="Segoe UI"/>
        </w:rPr>
        <w:t>Les cales contenant ces matières doivent être ventilées, l’équipement de ventilation fonctionnant à plein rendement, lorsque l’on constate après une mesure que la concentration de gaz</w:t>
      </w:r>
      <w:r w:rsidR="005D6C6A" w:rsidRPr="00F078F7">
        <w:rPr>
          <w:rFonts w:cs="Segoe UI"/>
          <w:b/>
        </w:rPr>
        <w:t xml:space="preserve"> </w:t>
      </w:r>
      <w:r w:rsidR="005D6C6A" w:rsidRPr="001D3BD8">
        <w:rPr>
          <w:rFonts w:cs="Segoe UI"/>
          <w:b/>
          <w:u w:val="single"/>
        </w:rPr>
        <w:t>et de vapeurs inflammables</w:t>
      </w:r>
      <w:r w:rsidR="005D6C6A" w:rsidRPr="001D3BD8">
        <w:rPr>
          <w:rFonts w:cs="Segoe UI"/>
        </w:rPr>
        <w:t xml:space="preserve"> provenant de la cargai</w:t>
      </w:r>
      <w:r w:rsidR="00F078F7">
        <w:rPr>
          <w:rFonts w:cs="Segoe UI"/>
        </w:rPr>
        <w:t>son est supérieure à 10 % de la</w:t>
      </w:r>
      <w:r w:rsidR="005D6C6A" w:rsidRPr="001D3BD8">
        <w:rPr>
          <w:rFonts w:cs="Segoe UI"/>
        </w:rPr>
        <w:t xml:space="preserve"> </w:t>
      </w:r>
      <w:r w:rsidR="005D6C6A" w:rsidRPr="001D3BD8">
        <w:rPr>
          <w:rFonts w:cs="Segoe UI"/>
          <w:b/>
          <w:u w:val="single"/>
        </w:rPr>
        <w:t>LIE</w:t>
      </w:r>
      <w:r w:rsidR="005D6C6A" w:rsidRPr="001D3BD8">
        <w:rPr>
          <w:rFonts w:cs="Segoe UI"/>
        </w:rPr>
        <w:t>.</w:t>
      </w:r>
      <w:r w:rsidR="005D6C6A" w:rsidRPr="001D3BD8">
        <w:t xml:space="preserve"> </w:t>
      </w:r>
      <w:r w:rsidR="005D6C6A" w:rsidRPr="001D3BD8">
        <w:rPr>
          <w:rFonts w:cs="Segoe UI"/>
        </w:rPr>
        <w:t>La mesure doit être effectuée immédiatement après le chargement. Une mesure de contrôle doit être prise une heure plus tard.</w:t>
      </w:r>
      <w:r w:rsidR="005D6C6A" w:rsidRPr="001D3BD8">
        <w:t xml:space="preserve"> </w:t>
      </w:r>
      <w:r w:rsidR="005D6C6A" w:rsidRPr="001D3BD8">
        <w:rPr>
          <w:rFonts w:cs="Segoe UI"/>
        </w:rPr>
        <w:t>Les résultats des mesures doivent être consignés par écrit.</w:t>
      </w:r>
      <w:r w:rsidR="005D6C6A" w:rsidRPr="001D3BD8">
        <w:t xml:space="preserve"> </w:t>
      </w:r>
    </w:p>
    <w:p w:rsidR="005D6C6A" w:rsidRPr="001D3BD8" w:rsidRDefault="00153B78" w:rsidP="003C5900">
      <w:pPr>
        <w:pStyle w:val="SingleTxtG"/>
        <w:ind w:left="2268"/>
      </w:pPr>
      <w:r>
        <w:t>VE02 </w:t>
      </w:r>
      <w:r w:rsidR="005D6C6A" w:rsidRPr="001D3BD8">
        <w:t xml:space="preserve">: </w:t>
      </w:r>
      <w:r w:rsidR="005D6C6A" w:rsidRPr="001D3BD8">
        <w:rPr>
          <w:rFonts w:cs="Segoe UI"/>
        </w:rPr>
        <w:t>Les cales contenant ces matières doivent être ventilées, l’équipement de ventilation fonctionnant à plein rendement, lorsque l’</w:t>
      </w:r>
      <w:r>
        <w:rPr>
          <w:rFonts w:cs="Segoe UI"/>
        </w:rPr>
        <w:t>on constate après une mesure</w:t>
      </w:r>
      <w:r w:rsidR="005D6C6A" w:rsidRPr="001D3BD8">
        <w:rPr>
          <w:rFonts w:cs="Segoe UI"/>
        </w:rPr>
        <w:t xml:space="preserve"> qu’elles ne sont pas exemptes de gaz</w:t>
      </w:r>
      <w:r w:rsidR="005D6C6A" w:rsidRPr="00F078F7">
        <w:rPr>
          <w:rFonts w:cs="Segoe UI"/>
          <w:b/>
        </w:rPr>
        <w:t xml:space="preserve"> </w:t>
      </w:r>
      <w:r w:rsidR="005D6C6A" w:rsidRPr="001D3BD8">
        <w:rPr>
          <w:rFonts w:cs="Segoe UI"/>
          <w:b/>
          <w:u w:val="single"/>
        </w:rPr>
        <w:t>ou de vapeurs toxiques</w:t>
      </w:r>
      <w:r w:rsidR="003C5900">
        <w:rPr>
          <w:rFonts w:cs="Segoe UI"/>
        </w:rPr>
        <w:t xml:space="preserve"> provenant de la cargaison. </w:t>
      </w:r>
      <w:r w:rsidR="005D6C6A" w:rsidRPr="001D3BD8">
        <w:rPr>
          <w:rFonts w:cs="Segoe UI"/>
        </w:rPr>
        <w:t>La mesure doit être effectuée immédiatement après le chargement. U</w:t>
      </w:r>
      <w:r>
        <w:rPr>
          <w:rFonts w:cs="Segoe UI"/>
        </w:rPr>
        <w:t xml:space="preserve">ne mesure </w:t>
      </w:r>
      <w:r w:rsidRPr="003C5900">
        <w:rPr>
          <w:rFonts w:cs="Segoe UI"/>
          <w:b/>
          <w:u w:val="single"/>
        </w:rPr>
        <w:t>de contrôle</w:t>
      </w:r>
      <w:r>
        <w:rPr>
          <w:rFonts w:cs="Segoe UI"/>
        </w:rPr>
        <w:t xml:space="preserve"> doit être</w:t>
      </w:r>
      <w:r w:rsidR="005D6C6A" w:rsidRPr="001D3BD8">
        <w:rPr>
          <w:rFonts w:cs="Segoe UI"/>
        </w:rPr>
        <w:t xml:space="preserve"> prise une heure plus tard. Les résultats des mesures doivent être consignés par écrit. Alternativement, à bord des bateaux qui ne transportent ces marchandises que dans des conteneurs dans des cales ouvertes, les cales contenant ces conteneurs peuvent n’être ventilées, l’équipement de ventilation fonctionnant à plein rendement, que si l’</w:t>
      </w:r>
      <w:r>
        <w:rPr>
          <w:rFonts w:cs="Segoe UI"/>
        </w:rPr>
        <w:t>on soupçonne</w:t>
      </w:r>
      <w:r w:rsidR="005D6C6A" w:rsidRPr="001D3BD8">
        <w:rPr>
          <w:rFonts w:cs="Segoe UI"/>
        </w:rPr>
        <w:t xml:space="preserve"> qu’elles ne sont pas exemptes de gaz </w:t>
      </w:r>
      <w:r w:rsidR="005D6C6A" w:rsidRPr="001D3BD8">
        <w:rPr>
          <w:rFonts w:cs="Segoe UI"/>
          <w:b/>
          <w:u w:val="single"/>
        </w:rPr>
        <w:t>ou de vapeurs toxiques</w:t>
      </w:r>
      <w:r w:rsidR="005D6C6A" w:rsidRPr="001D3BD8">
        <w:rPr>
          <w:rFonts w:cs="Segoe UI"/>
        </w:rPr>
        <w:t xml:space="preserve"> provenant de la cargaison.</w:t>
      </w:r>
      <w:r w:rsidR="005D6C6A" w:rsidRPr="001D3BD8">
        <w:t xml:space="preserve"> </w:t>
      </w:r>
      <w:r w:rsidR="005D6C6A" w:rsidRPr="001D3BD8">
        <w:rPr>
          <w:rFonts w:cs="Segoe UI"/>
        </w:rPr>
        <w:t>Avant le déchargement, le déchargeur doit être informé de ces soupçons.</w:t>
      </w:r>
      <w:r w:rsidR="005D6C6A" w:rsidRPr="001D3BD8">
        <w:t xml:space="preserve">  </w:t>
      </w:r>
    </w:p>
    <w:p w:rsidR="005D6C6A" w:rsidRPr="001D3BD8" w:rsidRDefault="00153B78" w:rsidP="003C5900">
      <w:pPr>
        <w:pStyle w:val="SingleTxtG"/>
        <w:spacing w:line="240" w:lineRule="exact"/>
        <w:ind w:left="2268"/>
      </w:pPr>
      <w:r>
        <w:t>VE03 </w:t>
      </w:r>
      <w:r w:rsidR="005D6C6A" w:rsidRPr="001D3BD8">
        <w:t xml:space="preserve">: </w:t>
      </w:r>
      <w:r w:rsidR="005D6C6A" w:rsidRPr="001D3BD8">
        <w:rPr>
          <w:rFonts w:cs="Segoe UI"/>
        </w:rPr>
        <w:t>Les locaux tels que les cales, les logements et les salles des machines, contigus aux cales contenant ces matières, doivent être ventilés.</w:t>
      </w:r>
    </w:p>
    <w:p w:rsidR="005D6C6A" w:rsidRPr="001D3BD8" w:rsidRDefault="005D6C6A" w:rsidP="003C5900">
      <w:pPr>
        <w:spacing w:after="120" w:line="240" w:lineRule="exact"/>
        <w:ind w:left="2268" w:right="1134"/>
        <w:jc w:val="both"/>
      </w:pPr>
      <w:r w:rsidRPr="001D3BD8">
        <w:rPr>
          <w:rFonts w:cs="Segoe UI"/>
        </w:rPr>
        <w:t>Après le déchargement, les cales ayant contenu ces matières doivent être soumises à une ventilation forcée.</w:t>
      </w:r>
    </w:p>
    <w:p w:rsidR="005D6C6A" w:rsidRPr="001D3BD8" w:rsidRDefault="005D6C6A" w:rsidP="003C5900">
      <w:pPr>
        <w:pStyle w:val="SingleTxtG"/>
        <w:spacing w:line="240" w:lineRule="exact"/>
        <w:ind w:left="2268" w:firstLine="9"/>
      </w:pPr>
      <w:r w:rsidRPr="001D3BD8">
        <w:rPr>
          <w:rFonts w:cs="Segoe UI"/>
        </w:rPr>
        <w:t xml:space="preserve">Après la ventilation, la concentration de gaz </w:t>
      </w:r>
      <w:r w:rsidRPr="001D3BD8">
        <w:rPr>
          <w:rFonts w:cs="Segoe UI"/>
          <w:b/>
          <w:u w:val="single"/>
        </w:rPr>
        <w:t>ou de vapeurs inflammables</w:t>
      </w:r>
      <w:r w:rsidRPr="001D3BD8">
        <w:rPr>
          <w:rFonts w:cs="Segoe UI"/>
          <w:u w:val="single"/>
        </w:rPr>
        <w:t xml:space="preserve"> </w:t>
      </w:r>
      <w:r w:rsidRPr="001D3BD8">
        <w:rPr>
          <w:rFonts w:cs="Segoe UI"/>
          <w:b/>
          <w:u w:val="single"/>
        </w:rPr>
        <w:t>ou toxiques provenant de la cargaison</w:t>
      </w:r>
      <w:r w:rsidRPr="001D3BD8">
        <w:rPr>
          <w:rFonts w:cs="Segoe UI"/>
        </w:rPr>
        <w:t xml:space="preserve"> dans ces cales doit être mesurée.</w:t>
      </w:r>
    </w:p>
    <w:p w:rsidR="005D6C6A" w:rsidRPr="001D3BD8" w:rsidRDefault="005D6C6A" w:rsidP="00AD216B">
      <w:pPr>
        <w:pStyle w:val="SingleTxtG"/>
        <w:spacing w:line="240" w:lineRule="exact"/>
        <w:ind w:left="2268"/>
      </w:pPr>
      <w:r w:rsidRPr="001D3BD8">
        <w:rPr>
          <w:rFonts w:cs="Segoe UI"/>
        </w:rPr>
        <w:t>Les résultats des mesures doivent être consignés par écrit.</w:t>
      </w:r>
    </w:p>
    <w:p w:rsidR="005D6C6A" w:rsidRPr="001D3BD8" w:rsidRDefault="005D6C6A" w:rsidP="003C5900">
      <w:pPr>
        <w:pStyle w:val="SingleTxtG"/>
        <w:spacing w:line="240" w:lineRule="exact"/>
        <w:ind w:left="2268"/>
      </w:pPr>
      <w:r w:rsidRPr="00A00809">
        <w:t>VE04</w:t>
      </w:r>
      <w:r w:rsidR="00153B78" w:rsidRPr="00A00809">
        <w:t> </w:t>
      </w:r>
      <w:r w:rsidRPr="00A00809">
        <w:t>:</w:t>
      </w:r>
      <w:r w:rsidRPr="001D3BD8">
        <w:t xml:space="preserve"> </w:t>
      </w:r>
      <w:r w:rsidRPr="001D3BD8">
        <w:rPr>
          <w:rFonts w:cs="Segoe UI"/>
        </w:rPr>
        <w:t>Lorsque les aérosols sont transportés aux fins de recyclage ou d’élimination conformément à la disposition spéciale 327 du chapitre 3.3, les dispositions VE01 et VE02 sont applicables.</w:t>
      </w:r>
    </w:p>
    <w:p w:rsidR="005D6C6A" w:rsidRPr="001D3BD8" w:rsidRDefault="005D6C6A" w:rsidP="00153B78">
      <w:pPr>
        <w:pStyle w:val="SingleTxtG"/>
        <w:keepNext/>
        <w:ind w:left="2268" w:hanging="1134"/>
        <w:jc w:val="left"/>
      </w:pPr>
      <w:r w:rsidRPr="001D3BD8">
        <w:t>7.1.6.16</w:t>
      </w:r>
      <w:r w:rsidRPr="001D3BD8">
        <w:tab/>
      </w:r>
      <w:r w:rsidRPr="001D3BD8">
        <w:rPr>
          <w:rFonts w:cs="Segoe UI"/>
        </w:rPr>
        <w:t>Mesures à prendre pendant le chargement, le transport, le déchargement</w:t>
      </w:r>
      <w:r w:rsidR="00153B78">
        <w:rPr>
          <w:rFonts w:cs="Segoe UI"/>
        </w:rPr>
        <w:t xml:space="preserve"> </w:t>
      </w:r>
      <w:r w:rsidR="00153B78">
        <w:rPr>
          <w:rFonts w:cs="Segoe UI"/>
        </w:rPr>
        <w:br/>
      </w:r>
      <w:r w:rsidRPr="001D3BD8">
        <w:rPr>
          <w:rFonts w:cs="Segoe UI"/>
        </w:rPr>
        <w:t>et la manutention de la cargaison</w:t>
      </w:r>
    </w:p>
    <w:p w:rsidR="005D6C6A" w:rsidRPr="001D3BD8" w:rsidRDefault="005D6C6A" w:rsidP="005D6C6A">
      <w:pPr>
        <w:pStyle w:val="SingleTxtG"/>
        <w:ind w:left="2265" w:firstLine="3"/>
      </w:pPr>
      <w:r w:rsidRPr="001D3BD8">
        <w:t xml:space="preserve">Les prescriptions supplémentaires suivantes doivent être remplies lorsqu’elles sont indiquées à la colonne (11) du tableau A du chapitre 3.2 : </w:t>
      </w:r>
    </w:p>
    <w:p w:rsidR="005D6C6A" w:rsidRPr="001D3BD8" w:rsidRDefault="005D6C6A" w:rsidP="005D6C6A">
      <w:pPr>
        <w:pStyle w:val="SingleTxtG"/>
        <w:ind w:left="2265" w:firstLine="3"/>
        <w:rPr>
          <w:b/>
          <w:u w:val="single"/>
        </w:rPr>
      </w:pPr>
      <w:r w:rsidRPr="001D3BD8">
        <w:t xml:space="preserve">IN01 : </w:t>
      </w:r>
      <w:r w:rsidRPr="001D3BD8">
        <w:rPr>
          <w:rFonts w:cs="Segoe UI"/>
        </w:rPr>
        <w:t>Après chargement ou déchargement de ces matières en vrac ou sans emballage et avant de quitter le lieu de transbordement, la concentration de</w:t>
      </w:r>
      <w:r w:rsidRPr="001D3BD8">
        <w:rPr>
          <w:rFonts w:cs="Segoe UI"/>
          <w:b/>
          <w:u w:val="single"/>
        </w:rPr>
        <w:t>s</w:t>
      </w:r>
      <w:r w:rsidRPr="001D3BD8">
        <w:rPr>
          <w:rFonts w:cs="Segoe UI"/>
        </w:rPr>
        <w:t xml:space="preserve"> gaz </w:t>
      </w:r>
      <w:r w:rsidRPr="001D3BD8">
        <w:rPr>
          <w:rFonts w:cs="Segoe UI"/>
          <w:b/>
          <w:u w:val="single"/>
        </w:rPr>
        <w:t xml:space="preserve">ou vapeurs inflammables émis par la cargaison </w:t>
      </w:r>
      <w:r w:rsidRPr="001D3BD8">
        <w:rPr>
          <w:rFonts w:cs="Segoe UI"/>
        </w:rPr>
        <w:t xml:space="preserve">dans les logements, les salles des machines et les cales contiguës doit être mesurée par </w:t>
      </w:r>
      <w:r w:rsidRPr="001D3BD8">
        <w:rPr>
          <w:rFonts w:cs="Segoe UI"/>
          <w:strike/>
        </w:rPr>
        <w:t>l’expéditeur</w:t>
      </w:r>
      <w:r w:rsidRPr="001D3BD8">
        <w:rPr>
          <w:rFonts w:cs="Segoe UI"/>
        </w:rPr>
        <w:t xml:space="preserve"> </w:t>
      </w:r>
      <w:r w:rsidRPr="001D3BD8">
        <w:rPr>
          <w:rFonts w:cs="Segoe UI"/>
          <w:b/>
          <w:u w:val="single"/>
        </w:rPr>
        <w:t>le chargeur, le déchargeur ou un expert visé au paragraphe 8.2.1.2</w:t>
      </w:r>
      <w:r w:rsidRPr="001D3BD8">
        <w:rPr>
          <w:rFonts w:cs="Segoe UI"/>
        </w:rPr>
        <w:t xml:space="preserve"> </w:t>
      </w:r>
      <w:r w:rsidRPr="001D3BD8">
        <w:rPr>
          <w:rFonts w:cs="Segoe UI"/>
          <w:strike/>
        </w:rPr>
        <w:t>ou le destinataire</w:t>
      </w:r>
      <w:r w:rsidRPr="001D3BD8">
        <w:rPr>
          <w:rFonts w:cs="Segoe UI"/>
        </w:rPr>
        <w:t xml:space="preserve"> au moyen d’un détecteur de gaz </w:t>
      </w:r>
      <w:r w:rsidRPr="001D3BD8">
        <w:rPr>
          <w:rFonts w:cs="Segoe UI"/>
          <w:strike/>
        </w:rPr>
        <w:t>inflammable</w:t>
      </w:r>
      <w:r w:rsidRPr="001D3BD8">
        <w:rPr>
          <w:rFonts w:cs="Segoe UI"/>
        </w:rPr>
        <w:t>.</w:t>
      </w:r>
      <w:r w:rsidRPr="001D3BD8">
        <w:rPr>
          <w:b/>
          <w:u w:val="single"/>
        </w:rPr>
        <w:t xml:space="preserve"> Les résultats des mesures doivent être consignés par écrit.</w:t>
      </w:r>
    </w:p>
    <w:p w:rsidR="005D6C6A" w:rsidRPr="001D3BD8" w:rsidRDefault="005D6C6A" w:rsidP="005D6C6A">
      <w:pPr>
        <w:pStyle w:val="SingleTxtG"/>
        <w:ind w:left="2265" w:firstLine="3"/>
        <w:rPr>
          <w:b/>
          <w:u w:val="single"/>
        </w:rPr>
      </w:pPr>
      <w:r w:rsidRPr="001D3BD8">
        <w:rPr>
          <w:rFonts w:cs="Segoe UI"/>
        </w:rPr>
        <w:t xml:space="preserve">Avant que quiconque entre dans une cale et avant le déchargement, la concentration des gaz </w:t>
      </w:r>
      <w:r w:rsidRPr="001D3BD8">
        <w:rPr>
          <w:rFonts w:cs="Segoe UI"/>
          <w:b/>
          <w:u w:val="single"/>
        </w:rPr>
        <w:t xml:space="preserve">ou vapeurs inflammables émis par la cargaison </w:t>
      </w:r>
      <w:r w:rsidRPr="001D3BD8">
        <w:rPr>
          <w:rFonts w:cs="Segoe UI"/>
        </w:rPr>
        <w:t xml:space="preserve">doit être mesurée par le </w:t>
      </w:r>
      <w:r w:rsidRPr="001D3BD8">
        <w:rPr>
          <w:rFonts w:cs="Segoe UI"/>
          <w:strike/>
        </w:rPr>
        <w:t>destinataire</w:t>
      </w:r>
      <w:r w:rsidRPr="001D3BD8">
        <w:rPr>
          <w:rFonts w:cs="Segoe UI"/>
        </w:rPr>
        <w:t xml:space="preserve"> </w:t>
      </w:r>
      <w:r w:rsidRPr="001D3BD8">
        <w:rPr>
          <w:rFonts w:cs="Segoe UI"/>
          <w:b/>
          <w:u w:val="single"/>
        </w:rPr>
        <w:t xml:space="preserve">déchargeur </w:t>
      </w:r>
      <w:r w:rsidRPr="001D3BD8">
        <w:rPr>
          <w:rFonts w:cs="Segoe UI"/>
        </w:rPr>
        <w:t xml:space="preserve">de la cargaison </w:t>
      </w:r>
      <w:r w:rsidRPr="001D3BD8">
        <w:rPr>
          <w:rFonts w:cs="Segoe UI"/>
          <w:b/>
          <w:u w:val="single"/>
        </w:rPr>
        <w:t>ou par un expert visé au paragraphe 8.2.1.2</w:t>
      </w:r>
      <w:r w:rsidRPr="006F2C72">
        <w:rPr>
          <w:rFonts w:cs="Segoe UI"/>
          <w:u w:val="single"/>
        </w:rPr>
        <w:t xml:space="preserve">. </w:t>
      </w:r>
      <w:r w:rsidRPr="001D3BD8">
        <w:rPr>
          <w:b/>
          <w:u w:val="single"/>
        </w:rPr>
        <w:t>Les résultats des mesures doivent être consignés par écrit.</w:t>
      </w:r>
    </w:p>
    <w:p w:rsidR="005D6C6A" w:rsidRPr="001D3BD8" w:rsidRDefault="005D6C6A" w:rsidP="005D6C6A">
      <w:pPr>
        <w:pStyle w:val="SingleTxtG"/>
        <w:ind w:left="2265" w:firstLine="3"/>
      </w:pPr>
      <w:r w:rsidRPr="001D3BD8">
        <w:t xml:space="preserve"> </w:t>
      </w:r>
      <w:r w:rsidRPr="001D3BD8">
        <w:rPr>
          <w:rFonts w:cs="Segoe UI"/>
        </w:rPr>
        <w:t xml:space="preserve">Il est interdit d’entrer dans la cale ou de commencer à décharger tant que la concentration des gaz </w:t>
      </w:r>
      <w:r w:rsidRPr="001D3BD8">
        <w:rPr>
          <w:rFonts w:cs="Segoe UI"/>
          <w:b/>
          <w:u w:val="single"/>
        </w:rPr>
        <w:t xml:space="preserve">ou vapeurs inflammables émis par la cargaison </w:t>
      </w:r>
      <w:r w:rsidRPr="001D3BD8">
        <w:rPr>
          <w:rFonts w:cs="Segoe UI"/>
        </w:rPr>
        <w:t>dans l’espace libre au-dessus de la cargaison n’e</w:t>
      </w:r>
      <w:r w:rsidR="006F2C72">
        <w:rPr>
          <w:rFonts w:cs="Segoe UI"/>
        </w:rPr>
        <w:t xml:space="preserve">st pas inférieure à 50 % de la </w:t>
      </w:r>
      <w:r w:rsidRPr="001D3BD8">
        <w:rPr>
          <w:rFonts w:cs="Segoe UI"/>
          <w:b/>
          <w:u w:val="single"/>
        </w:rPr>
        <w:t>LIE</w:t>
      </w:r>
      <w:r w:rsidRPr="001D3BD8">
        <w:rPr>
          <w:rFonts w:cs="Segoe UI"/>
        </w:rPr>
        <w:t>.</w:t>
      </w:r>
    </w:p>
    <w:p w:rsidR="005D6C6A" w:rsidRPr="001D3BD8" w:rsidRDefault="005D6C6A" w:rsidP="005D6C6A">
      <w:pPr>
        <w:pStyle w:val="SingleTxtG"/>
        <w:ind w:left="2265" w:firstLine="3"/>
      </w:pPr>
      <w:r w:rsidRPr="001D3BD8">
        <w:rPr>
          <w:rFonts w:cs="Segoe UI"/>
        </w:rPr>
        <w:t xml:space="preserve">Si </w:t>
      </w:r>
      <w:proofErr w:type="spellStart"/>
      <w:r w:rsidRPr="001D3BD8">
        <w:rPr>
          <w:rFonts w:cs="Segoe UI"/>
          <w:strike/>
        </w:rPr>
        <w:t>des</w:t>
      </w:r>
      <w:proofErr w:type="spellEnd"/>
      <w:r w:rsidRPr="001D3BD8">
        <w:rPr>
          <w:rFonts w:cs="Segoe UI"/>
        </w:rPr>
        <w:t xml:space="preserve"> </w:t>
      </w:r>
      <w:r w:rsidRPr="001D3BD8">
        <w:rPr>
          <w:rFonts w:cs="Segoe UI"/>
          <w:b/>
          <w:u w:val="single"/>
        </w:rPr>
        <w:t>la</w:t>
      </w:r>
      <w:r w:rsidRPr="001D3BD8">
        <w:rPr>
          <w:rFonts w:cs="Segoe UI"/>
        </w:rPr>
        <w:t xml:space="preserve"> concentration</w:t>
      </w:r>
      <w:r w:rsidRPr="001D3BD8">
        <w:rPr>
          <w:rFonts w:cs="Segoe UI"/>
          <w:strike/>
        </w:rPr>
        <w:t>s</w:t>
      </w:r>
      <w:r w:rsidRPr="001D3BD8">
        <w:rPr>
          <w:rFonts w:cs="Segoe UI"/>
        </w:rPr>
        <w:t xml:space="preserve"> </w:t>
      </w:r>
      <w:r w:rsidRPr="001D3BD8">
        <w:rPr>
          <w:rFonts w:cs="Segoe UI"/>
          <w:strike/>
        </w:rPr>
        <w:t>significatives</w:t>
      </w:r>
      <w:r w:rsidRPr="001D3BD8">
        <w:rPr>
          <w:rFonts w:cs="Segoe UI"/>
        </w:rPr>
        <w:t xml:space="preserve"> de gaz </w:t>
      </w:r>
      <w:r w:rsidRPr="001D3BD8">
        <w:rPr>
          <w:rFonts w:cs="Segoe UI"/>
          <w:b/>
          <w:u w:val="single"/>
        </w:rPr>
        <w:t xml:space="preserve">ou vapeurs inflammables émis par la cargaison n’est pas inférieure à 50 % de </w:t>
      </w:r>
      <w:proofErr w:type="gramStart"/>
      <w:r w:rsidRPr="001D3BD8">
        <w:rPr>
          <w:rFonts w:cs="Segoe UI"/>
          <w:b/>
          <w:u w:val="single"/>
        </w:rPr>
        <w:t>la  LIE</w:t>
      </w:r>
      <w:proofErr w:type="gramEnd"/>
      <w:r w:rsidRPr="001D3BD8">
        <w:rPr>
          <w:rFonts w:cs="Segoe UI"/>
          <w:b/>
          <w:u w:val="single"/>
        </w:rPr>
        <w:t xml:space="preserve"> </w:t>
      </w:r>
      <w:r w:rsidRPr="001D3BD8">
        <w:rPr>
          <w:rFonts w:cs="Segoe UI"/>
          <w:strike/>
        </w:rPr>
        <w:t>sont constatées dans ces locaux</w:t>
      </w:r>
      <w:r w:rsidRPr="001D3BD8">
        <w:rPr>
          <w:rFonts w:cs="Segoe UI"/>
        </w:rPr>
        <w:t xml:space="preserve">, des mesures de sécurité appropriées doivent être prises immédiatement par </w:t>
      </w:r>
      <w:r w:rsidRPr="001D3BD8">
        <w:rPr>
          <w:rFonts w:cs="Segoe UI"/>
          <w:b/>
          <w:u w:val="single"/>
        </w:rPr>
        <w:t>le chargeur, le déchargeur ou le conducteur responsable</w:t>
      </w:r>
      <w:r w:rsidRPr="001D3BD8">
        <w:rPr>
          <w:rFonts w:cs="Segoe UI"/>
        </w:rPr>
        <w:t xml:space="preserve"> l</w:t>
      </w:r>
      <w:r w:rsidRPr="001D3BD8">
        <w:rPr>
          <w:rFonts w:cs="Segoe UI"/>
          <w:strike/>
        </w:rPr>
        <w:t>’expéditeur ou le destinataire</w:t>
      </w:r>
      <w:r w:rsidRPr="001D3BD8">
        <w:rPr>
          <w:rFonts w:cs="Segoe UI"/>
        </w:rPr>
        <w:t>.</w:t>
      </w:r>
      <w:r w:rsidRPr="001D3BD8">
        <w:t xml:space="preserve"> </w:t>
      </w:r>
    </w:p>
    <w:p w:rsidR="005D6C6A" w:rsidRPr="001D3BD8" w:rsidRDefault="005D6C6A" w:rsidP="005D6C6A">
      <w:pPr>
        <w:pStyle w:val="SingleTxtG"/>
        <w:ind w:left="2265" w:firstLine="3"/>
      </w:pPr>
      <w:r w:rsidRPr="001D3BD8">
        <w:t xml:space="preserve">IN02 : </w:t>
      </w:r>
      <w:r w:rsidRPr="001D3BD8">
        <w:rPr>
          <w:rFonts w:cs="Segoe UI"/>
        </w:rPr>
        <w:t xml:space="preserve">Si une cale contient ces matières en vrac ou sans emballage, la concentration de gaz </w:t>
      </w:r>
      <w:r w:rsidRPr="001D3BD8">
        <w:rPr>
          <w:rFonts w:cs="Segoe UI"/>
          <w:b/>
          <w:u w:val="single"/>
        </w:rPr>
        <w:t xml:space="preserve">ou </w:t>
      </w:r>
      <w:proofErr w:type="gramStart"/>
      <w:r w:rsidRPr="001D3BD8">
        <w:rPr>
          <w:rFonts w:cs="Segoe UI"/>
          <w:b/>
          <w:u w:val="single"/>
        </w:rPr>
        <w:t>vapeurs  toxiques</w:t>
      </w:r>
      <w:proofErr w:type="gramEnd"/>
      <w:r w:rsidRPr="001D3BD8">
        <w:rPr>
          <w:rFonts w:cs="Segoe UI"/>
          <w:b/>
          <w:u w:val="single"/>
        </w:rPr>
        <w:t xml:space="preserve"> émis par la cargaison</w:t>
      </w:r>
      <w:r w:rsidRPr="001D3BD8">
        <w:rPr>
          <w:rFonts w:cs="Segoe UI"/>
        </w:rPr>
        <w:t xml:space="preserve"> doit être mesurée une fois au moins toutes les huit heures au moyen d’un </w:t>
      </w:r>
      <w:proofErr w:type="spellStart"/>
      <w:r w:rsidRPr="001D3BD8">
        <w:rPr>
          <w:rFonts w:cs="Segoe UI"/>
        </w:rPr>
        <w:t>toximètre</w:t>
      </w:r>
      <w:proofErr w:type="spellEnd"/>
      <w:r w:rsidRPr="001D3BD8">
        <w:rPr>
          <w:rFonts w:cs="Segoe UI"/>
        </w:rPr>
        <w:t xml:space="preserve"> dans tous les autres locaux fréquentés par les membres de l’équipage.</w:t>
      </w:r>
      <w:r w:rsidRPr="001D3BD8">
        <w:t xml:space="preserve"> </w:t>
      </w:r>
      <w:r w:rsidRPr="001D3BD8">
        <w:rPr>
          <w:rFonts w:cs="Segoe UI"/>
        </w:rPr>
        <w:t>Les résultats des mesures doivent être consignés par écrit.</w:t>
      </w:r>
      <w:r w:rsidRPr="001D3BD8">
        <w:t xml:space="preserve"> </w:t>
      </w:r>
    </w:p>
    <w:p w:rsidR="005D6C6A" w:rsidRPr="001D3BD8" w:rsidRDefault="005D6C6A" w:rsidP="005D6C6A">
      <w:pPr>
        <w:pStyle w:val="SingleTxtG"/>
        <w:ind w:left="1692" w:firstLine="567"/>
      </w:pPr>
      <w:r w:rsidRPr="001D3BD8">
        <w:t>(…)</w:t>
      </w:r>
    </w:p>
    <w:p w:rsidR="005D6C6A" w:rsidRPr="001D3BD8" w:rsidRDefault="005D6C6A" w:rsidP="00797F2D">
      <w:pPr>
        <w:pStyle w:val="SingleTxtG"/>
        <w:ind w:left="2268" w:hanging="1134"/>
      </w:pPr>
      <w:r w:rsidRPr="001D3BD8">
        <w:t>7.2.3</w:t>
      </w:r>
      <w:r w:rsidRPr="001D3BD8">
        <w:tab/>
      </w:r>
      <w:r w:rsidRPr="001D3BD8">
        <w:tab/>
      </w:r>
      <w:r w:rsidRPr="001D3BD8">
        <w:rPr>
          <w:rFonts w:cs="Segoe UI"/>
        </w:rPr>
        <w:t>Prescriptions générales de service</w:t>
      </w:r>
    </w:p>
    <w:p w:rsidR="005D6C6A" w:rsidRPr="001D3BD8" w:rsidRDefault="005D6C6A" w:rsidP="00797F2D">
      <w:pPr>
        <w:pStyle w:val="SingleTxtG"/>
        <w:ind w:left="2268" w:hanging="1134"/>
      </w:pPr>
      <w:r w:rsidRPr="001D3BD8">
        <w:rPr>
          <w:rStyle w:val="SingleTxtGChar"/>
        </w:rPr>
        <w:t>7.2.3.1.4</w:t>
      </w:r>
      <w:r w:rsidRPr="001D3BD8">
        <w:tab/>
      </w:r>
      <w:r w:rsidRPr="001D3BD8">
        <w:rPr>
          <w:rStyle w:val="SingleTxtGChar"/>
        </w:rPr>
        <w:t xml:space="preserve"> </w:t>
      </w:r>
      <w:r w:rsidRPr="001D3BD8">
        <w:rPr>
          <w:rFonts w:cs="Segoe UI"/>
        </w:rPr>
        <w:t xml:space="preserve">Dans les cas où il est prévu que l’on doit mesurer la concentration de gaz </w:t>
      </w:r>
      <w:r w:rsidRPr="001D3BD8">
        <w:rPr>
          <w:rFonts w:cs="Segoe UI"/>
          <w:b/>
          <w:u w:val="single"/>
        </w:rPr>
        <w:t>ou de vapeurs inflammables</w:t>
      </w:r>
      <w:r w:rsidRPr="001D3BD8">
        <w:rPr>
          <w:rFonts w:cs="Segoe UI"/>
          <w:u w:val="single"/>
        </w:rPr>
        <w:t xml:space="preserve"> </w:t>
      </w:r>
      <w:r w:rsidRPr="001D3BD8">
        <w:rPr>
          <w:rFonts w:cs="Segoe UI"/>
          <w:b/>
          <w:u w:val="single"/>
        </w:rPr>
        <w:t>ou toxiques provenant de la cargaison</w:t>
      </w:r>
      <w:r w:rsidRPr="001D3BD8">
        <w:rPr>
          <w:rFonts w:cs="Segoe UI"/>
        </w:rPr>
        <w:t xml:space="preserve"> ou la teneur en oxygène avant de pénétrer dans les citernes à cargaison, </w:t>
      </w:r>
      <w:proofErr w:type="gramStart"/>
      <w:r w:rsidRPr="001D3BD8">
        <w:rPr>
          <w:rFonts w:cs="Segoe UI"/>
        </w:rPr>
        <w:t>citernes  à</w:t>
      </w:r>
      <w:proofErr w:type="gramEnd"/>
      <w:r w:rsidRPr="001D3BD8">
        <w:rPr>
          <w:rFonts w:cs="Segoe UI"/>
        </w:rPr>
        <w:t xml:space="preserve"> restes de cargaison, chambres des pompes sous pont, </w:t>
      </w:r>
      <w:proofErr w:type="spellStart"/>
      <w:r w:rsidRPr="001D3BD8">
        <w:rPr>
          <w:rFonts w:cs="Segoe UI"/>
        </w:rPr>
        <w:t>cofferdams</w:t>
      </w:r>
      <w:proofErr w:type="spellEnd"/>
      <w:r w:rsidRPr="001D3BD8">
        <w:rPr>
          <w:rFonts w:cs="Segoe UI"/>
        </w:rPr>
        <w:t xml:space="preserve">, espaces de double coque, doubles fonds ou espaces de cales, les résultats de ces mesures doivent être consignés par écrit. </w:t>
      </w:r>
    </w:p>
    <w:p w:rsidR="00153B78" w:rsidRDefault="005D6C6A" w:rsidP="00153B78">
      <w:pPr>
        <w:pStyle w:val="SingleTxtG"/>
        <w:ind w:left="2259"/>
      </w:pPr>
      <w:r w:rsidRPr="001D3BD8">
        <w:rPr>
          <w:rFonts w:cs="Segoe UI"/>
        </w:rPr>
        <w:t xml:space="preserve">Les mesures ne peuvent être effectuées que par </w:t>
      </w:r>
      <w:r w:rsidRPr="001D3BD8">
        <w:rPr>
          <w:rFonts w:cs="Segoe UI"/>
          <w:b/>
          <w:u w:val="single"/>
        </w:rPr>
        <w:t>un expert visé au paragraphe 8.2.1.2</w:t>
      </w:r>
      <w:r w:rsidRPr="006F2C72">
        <w:rPr>
          <w:rFonts w:cs="Segoe UI"/>
          <w:b/>
        </w:rPr>
        <w:t xml:space="preserve"> </w:t>
      </w:r>
      <w:r w:rsidRPr="001D3BD8">
        <w:rPr>
          <w:rFonts w:cs="Segoe UI"/>
          <w:strike/>
        </w:rPr>
        <w:t>des personnes équipées</w:t>
      </w:r>
      <w:r w:rsidRPr="001D3BD8">
        <w:rPr>
          <w:rFonts w:cs="Segoe UI"/>
        </w:rPr>
        <w:t xml:space="preserve"> </w:t>
      </w:r>
      <w:r w:rsidRPr="001D3BD8">
        <w:rPr>
          <w:rFonts w:cs="Segoe UI"/>
          <w:b/>
          <w:u w:val="single"/>
        </w:rPr>
        <w:t>équipé</w:t>
      </w:r>
      <w:r w:rsidRPr="001D3BD8">
        <w:rPr>
          <w:rFonts w:cs="Segoe UI"/>
        </w:rPr>
        <w:t xml:space="preserve"> d’un appareil de protection respiratoire approprié à la matière transportée.</w:t>
      </w:r>
    </w:p>
    <w:p w:rsidR="005D6C6A" w:rsidRPr="001D3BD8" w:rsidRDefault="005D6C6A" w:rsidP="00153B78">
      <w:pPr>
        <w:pStyle w:val="SingleTxtG"/>
        <w:ind w:left="2259"/>
      </w:pPr>
      <w:r w:rsidRPr="001D3BD8">
        <w:rPr>
          <w:rFonts w:cs="Segoe UI"/>
        </w:rPr>
        <w:t>L’entrée dans ces espaces n’est pas autorisée pour effectuer les mesures.</w:t>
      </w:r>
    </w:p>
    <w:p w:rsidR="005D6C6A" w:rsidRPr="001D3BD8" w:rsidRDefault="005D6C6A" w:rsidP="00463D70">
      <w:pPr>
        <w:pStyle w:val="SingleTxtG"/>
        <w:keepNext/>
        <w:ind w:left="2268" w:hanging="1134"/>
      </w:pPr>
      <w:r w:rsidRPr="001D3BD8">
        <w:t>7.2.3.1.5</w:t>
      </w:r>
      <w:r w:rsidRPr="001D3BD8">
        <w:tab/>
        <w:t xml:space="preserve"> </w:t>
      </w:r>
      <w:r w:rsidRPr="001D3BD8">
        <w:rPr>
          <w:rFonts w:cs="Segoe UI"/>
        </w:rPr>
        <w:t xml:space="preserve">Avant que quiconque ne pénètre dans une citerne à cargaison, </w:t>
      </w:r>
      <w:r w:rsidRPr="001D3BD8">
        <w:rPr>
          <w:b/>
          <w:u w:val="single"/>
        </w:rPr>
        <w:t>une citerne à restes de cargaison,</w:t>
      </w:r>
      <w:r w:rsidRPr="001D3BD8">
        <w:rPr>
          <w:rFonts w:cs="Segoe UI"/>
        </w:rPr>
        <w:t xml:space="preserve"> une chambre des pompes à cargaison sous pont, un </w:t>
      </w:r>
      <w:proofErr w:type="spellStart"/>
      <w:r w:rsidRPr="001D3BD8">
        <w:rPr>
          <w:rFonts w:cs="Segoe UI"/>
        </w:rPr>
        <w:t>cofferdam</w:t>
      </w:r>
      <w:proofErr w:type="spellEnd"/>
      <w:r w:rsidRPr="001D3BD8">
        <w:rPr>
          <w:rFonts w:cs="Segoe UI"/>
        </w:rPr>
        <w:t>, un espace de double coque, un double fond</w:t>
      </w:r>
      <w:r w:rsidRPr="001D3BD8">
        <w:rPr>
          <w:rFonts w:cs="Segoe UI"/>
          <w:b/>
        </w:rPr>
        <w:t>,</w:t>
      </w:r>
      <w:r w:rsidRPr="001D3BD8">
        <w:rPr>
          <w:rFonts w:cs="Segoe UI"/>
        </w:rPr>
        <w:t xml:space="preserve"> </w:t>
      </w:r>
      <w:r w:rsidRPr="001D3BD8">
        <w:rPr>
          <w:rFonts w:cs="Segoe UI"/>
          <w:strike/>
        </w:rPr>
        <w:t>ou</w:t>
      </w:r>
      <w:r w:rsidRPr="001D3BD8">
        <w:rPr>
          <w:rFonts w:cs="Segoe UI"/>
        </w:rPr>
        <w:t xml:space="preserve"> un espace de cale </w:t>
      </w:r>
      <w:r w:rsidRPr="001D3BD8">
        <w:rPr>
          <w:b/>
          <w:u w:val="single"/>
        </w:rPr>
        <w:t>ou un autre espace confiné</w:t>
      </w:r>
      <w:r w:rsidRPr="001D3BD8">
        <w:rPr>
          <w:rFonts w:cs="Segoe UI"/>
        </w:rPr>
        <w:t> :</w:t>
      </w:r>
    </w:p>
    <w:p w:rsidR="005D6C6A" w:rsidRPr="001D3BD8" w:rsidRDefault="005D6C6A" w:rsidP="00463D70">
      <w:pPr>
        <w:pStyle w:val="SingleTxtG"/>
        <w:ind w:left="2824" w:hanging="567"/>
      </w:pPr>
      <w:r w:rsidRPr="001D3BD8">
        <w:rPr>
          <w:rFonts w:cs="Segoe UI"/>
        </w:rPr>
        <w:t>a)</w:t>
      </w:r>
      <w:r w:rsidRPr="001D3BD8">
        <w:rPr>
          <w:rFonts w:cs="Segoe UI"/>
        </w:rPr>
        <w:tab/>
      </w:r>
      <w:r w:rsidR="006F2C72">
        <w:rPr>
          <w:rFonts w:cs="Segoe UI"/>
        </w:rPr>
        <w:t>L</w:t>
      </w:r>
      <w:r w:rsidRPr="001D3BD8">
        <w:rPr>
          <w:rFonts w:cs="Segoe UI"/>
        </w:rPr>
        <w:t xml:space="preserve">orsque des matières dangereuses des classes 2, 3, 4.1, 6.1, 8 ou 9, pour lesquelles la colonne (18) du tableau C du chapitre 3.2 exige un détecteur de gaz </w:t>
      </w:r>
      <w:r w:rsidRPr="001D3BD8">
        <w:rPr>
          <w:rFonts w:cs="Segoe UI"/>
          <w:strike/>
        </w:rPr>
        <w:t>inflammable</w:t>
      </w:r>
      <w:r w:rsidRPr="001D3BD8">
        <w:rPr>
          <w:rFonts w:cs="Segoe UI"/>
        </w:rPr>
        <w:t xml:space="preserve">, sont transportées sur le bateau, on doit s’assurer, au moyen de cet instrument, que la concentration de gaz </w:t>
      </w:r>
      <w:r w:rsidRPr="001D3BD8">
        <w:rPr>
          <w:rFonts w:cs="Segoe UI"/>
          <w:b/>
          <w:u w:val="single"/>
        </w:rPr>
        <w:t>ou de vapeurs inflammables émis par la cargaison</w:t>
      </w:r>
      <w:r w:rsidRPr="001D3BD8">
        <w:rPr>
          <w:rFonts w:cs="Segoe UI"/>
        </w:rPr>
        <w:t xml:space="preserve"> dans la citerne à cargaison, </w:t>
      </w:r>
      <w:r w:rsidRPr="001D3BD8">
        <w:rPr>
          <w:b/>
          <w:u w:val="single"/>
        </w:rPr>
        <w:t xml:space="preserve">la citerne à restes de cargaison, </w:t>
      </w:r>
      <w:r w:rsidRPr="001D3BD8">
        <w:rPr>
          <w:rFonts w:cs="Segoe UI"/>
        </w:rPr>
        <w:t xml:space="preserve">la chambre des pompes à cargaison sous pont, le </w:t>
      </w:r>
      <w:proofErr w:type="spellStart"/>
      <w:r w:rsidRPr="001D3BD8">
        <w:rPr>
          <w:rFonts w:cs="Segoe UI"/>
        </w:rPr>
        <w:t>cofferdam</w:t>
      </w:r>
      <w:proofErr w:type="spellEnd"/>
      <w:r w:rsidRPr="001D3BD8">
        <w:rPr>
          <w:rFonts w:cs="Segoe UI"/>
        </w:rPr>
        <w:t xml:space="preserve">, l’espace de double coque, le double fond ou l’espace de cale n’est pas  supérieure à 50 % de la  </w:t>
      </w:r>
      <w:r w:rsidRPr="001D3BD8">
        <w:rPr>
          <w:rFonts w:cs="Segoe UI"/>
          <w:b/>
          <w:u w:val="single"/>
        </w:rPr>
        <w:t>LIE</w:t>
      </w:r>
      <w:r w:rsidRPr="001D3BD8">
        <w:rPr>
          <w:rFonts w:cs="Segoe UI"/>
        </w:rPr>
        <w:t>.</w:t>
      </w:r>
      <w:r w:rsidRPr="001D3BD8">
        <w:t xml:space="preserve"> </w:t>
      </w:r>
      <w:r w:rsidRPr="00570C19">
        <w:t>Pour la chambre des pompes à cargaison sous pont, on peut le faire au moyen de l’installation</w:t>
      </w:r>
      <w:r w:rsidR="00463D70">
        <w:t xml:space="preserve"> permanente de détection de gaz ;</w:t>
      </w:r>
    </w:p>
    <w:p w:rsidR="005D6C6A" w:rsidRPr="001D3BD8" w:rsidRDefault="00BF1977" w:rsidP="00463D70">
      <w:pPr>
        <w:pStyle w:val="SingleTxtG"/>
        <w:ind w:left="2824" w:hanging="567"/>
      </w:pPr>
      <w:r>
        <w:t>b)</w:t>
      </w:r>
      <w:r>
        <w:tab/>
        <w:t>L</w:t>
      </w:r>
      <w:r w:rsidR="005D6C6A" w:rsidRPr="001D3BD8">
        <w:rPr>
          <w:rFonts w:cs="Segoe UI"/>
        </w:rPr>
        <w:t xml:space="preserve">orsque des matières dangereuses des classes 2, 3, 4.1, 6.1, 8 ou 9, pour lesquelles la colonne (18) du tableau C du chapitre 3.2 exige un </w:t>
      </w:r>
      <w:proofErr w:type="spellStart"/>
      <w:r w:rsidR="005D6C6A" w:rsidRPr="001D3BD8">
        <w:rPr>
          <w:rFonts w:cs="Segoe UI"/>
        </w:rPr>
        <w:t>toximètre</w:t>
      </w:r>
      <w:proofErr w:type="spellEnd"/>
      <w:r w:rsidR="005D6C6A" w:rsidRPr="001D3BD8">
        <w:rPr>
          <w:rFonts w:cs="Segoe UI"/>
        </w:rPr>
        <w:t xml:space="preserve">, sont transportées sur le bateau, on doit s’assurer, au moyen de cet instrument, que la citerne à cargaison, </w:t>
      </w:r>
      <w:r w:rsidR="005D6C6A" w:rsidRPr="001D3BD8">
        <w:rPr>
          <w:b/>
          <w:u w:val="single"/>
        </w:rPr>
        <w:t xml:space="preserve">la citerne à restes de cargaison, </w:t>
      </w:r>
      <w:r w:rsidR="005D6C6A" w:rsidRPr="001D3BD8">
        <w:rPr>
          <w:rFonts w:cs="Segoe UI"/>
        </w:rPr>
        <w:t xml:space="preserve">la chambre des pompes à cargaison sous pont, le </w:t>
      </w:r>
      <w:proofErr w:type="spellStart"/>
      <w:r w:rsidR="005D6C6A" w:rsidRPr="001D3BD8">
        <w:rPr>
          <w:rFonts w:cs="Segoe UI"/>
        </w:rPr>
        <w:t>cofferdam</w:t>
      </w:r>
      <w:proofErr w:type="spellEnd"/>
      <w:r w:rsidR="005D6C6A" w:rsidRPr="001D3BD8">
        <w:rPr>
          <w:rFonts w:cs="Segoe UI"/>
        </w:rPr>
        <w:t xml:space="preserve">, l’espace de double coque, le double fond ou l’espace de cale ne contiennent pas une concentration </w:t>
      </w:r>
      <w:r w:rsidR="005D6C6A" w:rsidRPr="001D3BD8">
        <w:rPr>
          <w:rFonts w:cs="Segoe UI"/>
          <w:strike/>
        </w:rPr>
        <w:t>notable</w:t>
      </w:r>
      <w:r w:rsidR="005D6C6A" w:rsidRPr="001D3BD8">
        <w:rPr>
          <w:rFonts w:cs="Segoe UI"/>
        </w:rPr>
        <w:t xml:space="preserve"> de gaz </w:t>
      </w:r>
      <w:r w:rsidR="005D6C6A" w:rsidRPr="001D3BD8">
        <w:rPr>
          <w:rFonts w:cs="Segoe UI"/>
          <w:b/>
          <w:u w:val="single"/>
        </w:rPr>
        <w:t>et de vapeurs</w:t>
      </w:r>
      <w:r w:rsidR="005D6C6A" w:rsidRPr="001D3BD8">
        <w:rPr>
          <w:rFonts w:cs="Segoe UI"/>
        </w:rPr>
        <w:t xml:space="preserve"> toxiques </w:t>
      </w:r>
      <w:r w:rsidR="005D6C6A" w:rsidRPr="001D3BD8">
        <w:rPr>
          <w:rFonts w:cs="Segoe UI"/>
          <w:b/>
          <w:u w:val="single"/>
        </w:rPr>
        <w:t>émis par la cargaison qui soit supérieure au degré d’exposition acceptable selon le droit national en vigueur</w:t>
      </w:r>
      <w:r w:rsidR="005D6C6A" w:rsidRPr="001D3BD8">
        <w:rPr>
          <w:rFonts w:cs="Segoe UI"/>
        </w:rPr>
        <w:t>.</w:t>
      </w:r>
      <w:r w:rsidR="005D6C6A" w:rsidRPr="001D3BD8">
        <w:t xml:space="preserve"> </w:t>
      </w:r>
    </w:p>
    <w:p w:rsidR="005D6C6A" w:rsidRPr="001D3BD8" w:rsidRDefault="005D6C6A" w:rsidP="00463D70">
      <w:pPr>
        <w:pStyle w:val="SingleTxtG"/>
        <w:ind w:left="2265" w:firstLine="3"/>
        <w:rPr>
          <w:b/>
          <w:u w:val="single"/>
        </w:rPr>
      </w:pPr>
      <w:r w:rsidRPr="001D3BD8">
        <w:rPr>
          <w:b/>
          <w:u w:val="single"/>
        </w:rPr>
        <w:t>Contrairement à ce que dispose le 1.1.4.6, les dispositions plus contraignantes de la législation nationale relatives à l’accès aux cales l’emportent sur l’ADN.</w:t>
      </w:r>
    </w:p>
    <w:p w:rsidR="003022F8" w:rsidRPr="001D3BD8" w:rsidRDefault="003022F8" w:rsidP="00D2419D">
      <w:pPr>
        <w:pStyle w:val="SingleTxtG"/>
        <w:ind w:left="2268" w:hanging="1134"/>
        <w:rPr>
          <w:b/>
          <w:u w:val="single"/>
          <w:lang w:val="fr-FR"/>
        </w:rPr>
      </w:pPr>
      <w:r w:rsidRPr="001D3BD8">
        <w:rPr>
          <w:rStyle w:val="SingleTxtGChar"/>
          <w:lang w:val="fr-FR"/>
        </w:rPr>
        <w:t>7.2.3.1.6</w:t>
      </w:r>
      <w:r w:rsidRPr="001D3BD8">
        <w:rPr>
          <w:lang w:val="fr-FR"/>
        </w:rPr>
        <w:tab/>
        <w:t xml:space="preserve">On ne doit pénétrer dans une citerne à cargaison, </w:t>
      </w:r>
      <w:r w:rsidRPr="001D3BD8">
        <w:rPr>
          <w:b/>
          <w:u w:val="single"/>
          <w:lang w:val="fr-FR"/>
        </w:rPr>
        <w:t>une citerne à restes de cargaison</w:t>
      </w:r>
      <w:r w:rsidRPr="001D3BD8">
        <w:rPr>
          <w:lang w:val="fr-FR"/>
        </w:rPr>
        <w:t xml:space="preserve">, une chambre des pompes à cargaison sous pont, un </w:t>
      </w:r>
      <w:proofErr w:type="spellStart"/>
      <w:r w:rsidRPr="001D3BD8">
        <w:rPr>
          <w:lang w:val="fr-FR"/>
        </w:rPr>
        <w:t>cofferdam</w:t>
      </w:r>
      <w:proofErr w:type="spellEnd"/>
      <w:r w:rsidRPr="001D3BD8">
        <w:rPr>
          <w:lang w:val="fr-FR"/>
        </w:rPr>
        <w:t xml:space="preserve">, un espace de double coque, un double fond </w:t>
      </w:r>
      <w:r w:rsidRPr="001D3BD8">
        <w:rPr>
          <w:strike/>
          <w:lang w:val="fr-FR"/>
        </w:rPr>
        <w:t>ou</w:t>
      </w:r>
      <w:r w:rsidRPr="001D3BD8">
        <w:rPr>
          <w:b/>
          <w:u w:val="single"/>
          <w:lang w:val="fr-FR"/>
        </w:rPr>
        <w:t>,</w:t>
      </w:r>
      <w:r w:rsidRPr="001D3BD8">
        <w:rPr>
          <w:lang w:val="fr-FR"/>
        </w:rPr>
        <w:t xml:space="preserve"> un espace de cale </w:t>
      </w:r>
      <w:r w:rsidRPr="001D3BD8">
        <w:rPr>
          <w:b/>
          <w:u w:val="single"/>
          <w:lang w:val="fr-FR"/>
        </w:rPr>
        <w:t>ou un autre espace confiné</w:t>
      </w:r>
      <w:r w:rsidRPr="001D3BD8">
        <w:rPr>
          <w:lang w:val="fr-FR"/>
        </w:rPr>
        <w:t> :</w:t>
      </w:r>
    </w:p>
    <w:p w:rsidR="003022F8" w:rsidRPr="001D3BD8" w:rsidRDefault="003022F8" w:rsidP="00791BA7">
      <w:pPr>
        <w:pStyle w:val="Bullet1G"/>
        <w:numPr>
          <w:ilvl w:val="0"/>
          <w:numId w:val="14"/>
        </w:numPr>
        <w:kinsoku/>
        <w:overflowPunct/>
        <w:autoSpaceDE/>
        <w:autoSpaceDN/>
        <w:adjustRightInd/>
        <w:snapToGrid/>
        <w:spacing w:line="240" w:lineRule="exact"/>
        <w:ind w:left="2427"/>
        <w:rPr>
          <w:strike/>
          <w:lang w:val="fr-FR"/>
        </w:rPr>
      </w:pPr>
      <w:proofErr w:type="gramStart"/>
      <w:r w:rsidRPr="001D3BD8">
        <w:rPr>
          <w:strike/>
          <w:lang w:val="fr-FR"/>
        </w:rPr>
        <w:t>que</w:t>
      </w:r>
      <w:proofErr w:type="gramEnd"/>
      <w:r w:rsidRPr="001D3BD8">
        <w:rPr>
          <w:strike/>
          <w:lang w:val="fr-FR"/>
        </w:rPr>
        <w:t xml:space="preserve"> si la concentration en oxygène est suffisante et s’il n’y a pas de concentration mesurable de substances dangereuses ;</w:t>
      </w:r>
    </w:p>
    <w:p w:rsidR="003022F8" w:rsidRPr="001D3BD8" w:rsidRDefault="00BF1977" w:rsidP="00791BA7">
      <w:pPr>
        <w:pStyle w:val="Bullet1G"/>
        <w:numPr>
          <w:ilvl w:val="0"/>
          <w:numId w:val="14"/>
        </w:numPr>
        <w:kinsoku/>
        <w:overflowPunct/>
        <w:autoSpaceDE/>
        <w:autoSpaceDN/>
        <w:adjustRightInd/>
        <w:snapToGrid/>
        <w:spacing w:line="240" w:lineRule="exact"/>
        <w:ind w:left="2427"/>
        <w:rPr>
          <w:b/>
          <w:u w:val="single"/>
          <w:lang w:val="fr-FR"/>
        </w:rPr>
      </w:pPr>
      <w:r>
        <w:rPr>
          <w:b/>
          <w:u w:val="single"/>
          <w:lang w:val="fr-FR"/>
        </w:rPr>
        <w:t>Q</w:t>
      </w:r>
      <w:r w:rsidR="003022F8" w:rsidRPr="001D3BD8">
        <w:rPr>
          <w:b/>
          <w:u w:val="single"/>
          <w:lang w:val="fr-FR"/>
        </w:rPr>
        <w:t xml:space="preserve">ue si la concentration de gaz et de vapeurs inflammables provenant de la cargaison dans les citernes à cargaison, les citernes à restes de cargaison, les chambres à pompes à cargaison sous pont, les </w:t>
      </w:r>
      <w:proofErr w:type="spellStart"/>
      <w:r w:rsidR="003022F8" w:rsidRPr="001D3BD8">
        <w:rPr>
          <w:b/>
          <w:u w:val="single"/>
          <w:lang w:val="fr-FR"/>
        </w:rPr>
        <w:t>cofferdams</w:t>
      </w:r>
      <w:proofErr w:type="spellEnd"/>
      <w:r w:rsidR="003022F8" w:rsidRPr="001D3BD8">
        <w:rPr>
          <w:b/>
          <w:u w:val="single"/>
          <w:lang w:val="fr-FR"/>
        </w:rPr>
        <w:t>, les espaces de double coque, les doubles fonds, les espaces de cale ou tout autre espace confiné est inférieure à 10 % de la LIE, la concentration de gaz et de vapeurs toxiques provenant de la cargaison est inférieure aux niveaux d’exposition nationaux admis et la teneur en oxygène est comprise entre 20 et 23,5 % en volume ;</w:t>
      </w:r>
    </w:p>
    <w:p w:rsidR="003022F8" w:rsidRPr="001D3BD8" w:rsidRDefault="003022F8" w:rsidP="00765B9E">
      <w:pPr>
        <w:pStyle w:val="SingleTxtG"/>
        <w:spacing w:line="240" w:lineRule="exact"/>
        <w:ind w:left="1690" w:firstLine="567"/>
        <w:rPr>
          <w:lang w:val="fr-FR"/>
        </w:rPr>
      </w:pPr>
      <w:proofErr w:type="gramStart"/>
      <w:r w:rsidRPr="001D3BD8">
        <w:rPr>
          <w:lang w:val="fr-FR"/>
        </w:rPr>
        <w:t>ou</w:t>
      </w:r>
      <w:proofErr w:type="gramEnd"/>
    </w:p>
    <w:p w:rsidR="003022F8" w:rsidRPr="001D3BD8" w:rsidRDefault="00BF1977" w:rsidP="00765B9E">
      <w:pPr>
        <w:pStyle w:val="Bullet1G"/>
        <w:numPr>
          <w:ilvl w:val="0"/>
          <w:numId w:val="14"/>
        </w:numPr>
        <w:kinsoku/>
        <w:overflowPunct/>
        <w:autoSpaceDE/>
        <w:autoSpaceDN/>
        <w:adjustRightInd/>
        <w:snapToGrid/>
        <w:spacing w:line="240" w:lineRule="exact"/>
        <w:ind w:left="2427"/>
        <w:rPr>
          <w:lang w:val="fr-FR"/>
        </w:rPr>
      </w:pPr>
      <w:r>
        <w:rPr>
          <w:b/>
          <w:u w:val="single"/>
          <w:lang w:val="fr-FR"/>
        </w:rPr>
        <w:t>S</w:t>
      </w:r>
      <w:r w:rsidR="003022F8" w:rsidRPr="001D3BD8">
        <w:rPr>
          <w:b/>
          <w:u w:val="single"/>
          <w:lang w:val="fr-FR"/>
        </w:rPr>
        <w:t xml:space="preserve">i la concentration de gaz et de vapeurs inflammables provenant de la cargaison dans les citernes à cargaison, les citernes à restes de cargaison, les chambres à pompes à cargaison sous pont, les </w:t>
      </w:r>
      <w:proofErr w:type="spellStart"/>
      <w:r w:rsidR="003022F8" w:rsidRPr="001D3BD8">
        <w:rPr>
          <w:b/>
          <w:u w:val="single"/>
          <w:lang w:val="fr-FR"/>
        </w:rPr>
        <w:t>cofferdams</w:t>
      </w:r>
      <w:proofErr w:type="spellEnd"/>
      <w:r w:rsidR="003022F8" w:rsidRPr="001D3BD8">
        <w:rPr>
          <w:b/>
          <w:u w:val="single"/>
          <w:lang w:val="fr-FR"/>
        </w:rPr>
        <w:t>, les espaces de double coque, les doubles fonds, les espaces de cale ou tout autre esp</w:t>
      </w:r>
      <w:r w:rsidR="00AC4FC2">
        <w:rPr>
          <w:b/>
          <w:u w:val="single"/>
          <w:lang w:val="fr-FR"/>
        </w:rPr>
        <w:t>ace confiné est inférieure à 10 </w:t>
      </w:r>
      <w:r w:rsidR="003022F8" w:rsidRPr="001D3BD8">
        <w:rPr>
          <w:b/>
          <w:u w:val="single"/>
          <w:lang w:val="fr-FR"/>
        </w:rPr>
        <w:t xml:space="preserve">% de la LIE, et </w:t>
      </w:r>
      <w:r w:rsidR="003022F8" w:rsidRPr="001D3BD8">
        <w:rPr>
          <w:lang w:val="fr-FR"/>
        </w:rPr>
        <w:t>si la personne qui y pénètre porte un appareil respiratoire autonome et les autres équipements de protection et de secours nécessaires et si elle est assurée par une corde. L’entrée dans ces espaces n’est autorisée que si cette opération est surveillée par une deuxième personne ayant à sa disposition le même équipement de protection. Deux autres personnes capables de prêter assistance en cas d’urgence doivent être sur le bateau à portée de voix. Il suffira cependant d’une seule autre personne si un treuil de sauvetage est installé.</w:t>
      </w:r>
    </w:p>
    <w:p w:rsidR="003022F8" w:rsidRPr="001D3BD8" w:rsidRDefault="003022F8" w:rsidP="00765B9E">
      <w:pPr>
        <w:pStyle w:val="SingleTxtG"/>
        <w:spacing w:line="240" w:lineRule="exact"/>
        <w:ind w:left="2427"/>
        <w:rPr>
          <w:b/>
          <w:u w:val="single"/>
          <w:lang w:val="fr-FR"/>
        </w:rPr>
      </w:pPr>
      <w:r w:rsidRPr="001D3BD8">
        <w:rPr>
          <w:b/>
          <w:u w:val="single"/>
          <w:lang w:val="fr-FR"/>
        </w:rPr>
        <w:t xml:space="preserve">En cas d’urgence ou d’incident mécanique, l’entrée </w:t>
      </w:r>
      <w:proofErr w:type="gramStart"/>
      <w:r w:rsidRPr="001D3BD8">
        <w:rPr>
          <w:b/>
          <w:u w:val="single"/>
          <w:lang w:val="fr-FR"/>
        </w:rPr>
        <w:t>dans  une</w:t>
      </w:r>
      <w:proofErr w:type="gramEnd"/>
      <w:r w:rsidRPr="001D3BD8">
        <w:rPr>
          <w:b/>
          <w:u w:val="single"/>
          <w:lang w:val="fr-FR"/>
        </w:rPr>
        <w:t xml:space="preserve"> citerne est autorisée si la concentration de gaz provenant de la cargaison est comprise entre 10 et 50 % de la LIE. L’appareil respiratoire (autonome) utilisé doit être conçu pour éviter la production d’étincelles. </w:t>
      </w:r>
    </w:p>
    <w:p w:rsidR="003022F8" w:rsidRPr="001D3BD8" w:rsidRDefault="003022F8" w:rsidP="00765B9E">
      <w:pPr>
        <w:pStyle w:val="SingleTxtG"/>
        <w:spacing w:line="240" w:lineRule="exact"/>
        <w:ind w:left="2427"/>
        <w:rPr>
          <w:b/>
          <w:u w:val="single"/>
          <w:lang w:val="fr-FR"/>
        </w:rPr>
      </w:pPr>
      <w:r w:rsidRPr="001D3BD8">
        <w:rPr>
          <w:b/>
          <w:u w:val="single"/>
          <w:lang w:val="fr-FR"/>
        </w:rPr>
        <w:t xml:space="preserve">Par dérogation au 1.1.4.6, les dispositions nationales plus strictes concernant l’accès aux citernes à cargaison l’emportent sur l’ADN. </w:t>
      </w:r>
    </w:p>
    <w:p w:rsidR="003022F8" w:rsidRPr="001D3BD8" w:rsidRDefault="003022F8" w:rsidP="0095646A">
      <w:pPr>
        <w:pStyle w:val="SingleTxtG"/>
        <w:ind w:left="2268" w:hanging="1134"/>
        <w:jc w:val="left"/>
        <w:rPr>
          <w:lang w:val="fr-FR"/>
        </w:rPr>
      </w:pPr>
      <w:r w:rsidRPr="001D3BD8">
        <w:rPr>
          <w:rStyle w:val="SingleTxtGChar"/>
          <w:lang w:val="fr-FR"/>
        </w:rPr>
        <w:t>7.2.3.7</w:t>
      </w:r>
      <w:r w:rsidRPr="001D3BD8">
        <w:rPr>
          <w:lang w:val="fr-FR"/>
        </w:rPr>
        <w:tab/>
      </w:r>
      <w:r w:rsidRPr="001D3BD8">
        <w:rPr>
          <w:rStyle w:val="SingleTxtGChar"/>
          <w:lang w:val="fr-FR"/>
        </w:rPr>
        <w:t xml:space="preserve">Dégazage des citernes à cargaison vides </w:t>
      </w:r>
      <w:r w:rsidRPr="001D3BD8">
        <w:rPr>
          <w:rStyle w:val="SingleTxtGChar"/>
          <w:b/>
          <w:u w:val="single"/>
          <w:lang w:val="fr-FR"/>
        </w:rPr>
        <w:t>ou déchargées</w:t>
      </w:r>
      <w:r w:rsidRPr="001D3BD8">
        <w:rPr>
          <w:rStyle w:val="SingleTxtGChar"/>
          <w:lang w:val="fr-FR"/>
        </w:rPr>
        <w:t xml:space="preserve"> </w:t>
      </w:r>
      <w:r w:rsidRPr="001D3BD8">
        <w:rPr>
          <w:rStyle w:val="SingleTxtGChar"/>
          <w:b/>
          <w:u w:val="single"/>
          <w:lang w:val="fr-FR"/>
        </w:rPr>
        <w:t>et des tuyauteries de chargement et de déchargement</w:t>
      </w:r>
    </w:p>
    <w:p w:rsidR="003022F8" w:rsidRPr="001D3BD8" w:rsidRDefault="003022F8" w:rsidP="00493472">
      <w:pPr>
        <w:pStyle w:val="SingleTxtG"/>
        <w:keepLines/>
        <w:ind w:left="2268" w:hanging="1134"/>
        <w:rPr>
          <w:lang w:val="fr-FR"/>
        </w:rPr>
      </w:pPr>
      <w:r w:rsidRPr="001D3BD8">
        <w:rPr>
          <w:rStyle w:val="SingleTxtGChar"/>
          <w:lang w:val="fr-FR"/>
        </w:rPr>
        <w:t>7.2.3.7.0</w:t>
      </w:r>
      <w:r w:rsidRPr="001D3BD8">
        <w:rPr>
          <w:lang w:val="fr-FR"/>
        </w:rPr>
        <w:tab/>
      </w:r>
      <w:r w:rsidRPr="001D3BD8">
        <w:rPr>
          <w:rStyle w:val="SingleTxtGChar"/>
          <w:lang w:val="fr-FR"/>
        </w:rPr>
        <w:t xml:space="preserve">Le dégazage de citernes à cargaison vides ou déchargées </w:t>
      </w:r>
      <w:r w:rsidRPr="001D3BD8">
        <w:rPr>
          <w:rStyle w:val="SingleTxtGChar"/>
          <w:b/>
          <w:u w:val="single"/>
          <w:lang w:val="fr-FR"/>
        </w:rPr>
        <w:t>et des tuyauteries de chargement et de déchargement dans l’atmosphère ou dans des stations de réception</w:t>
      </w:r>
      <w:r w:rsidRPr="001D3BD8">
        <w:rPr>
          <w:rStyle w:val="SingleTxtGChar"/>
          <w:lang w:val="fr-FR"/>
        </w:rPr>
        <w:t xml:space="preserve"> est autorisé sous les conditions ci-dessous, mais uniquement s’il n’est pas interdit sur la base </w:t>
      </w:r>
      <w:r w:rsidRPr="001D3BD8">
        <w:rPr>
          <w:rStyle w:val="SingleTxtGChar"/>
          <w:strike/>
          <w:lang w:val="fr-FR"/>
        </w:rPr>
        <w:t>de</w:t>
      </w:r>
      <w:r w:rsidRPr="001D3BD8">
        <w:rPr>
          <w:rStyle w:val="SingleTxtGChar"/>
          <w:lang w:val="fr-FR"/>
        </w:rPr>
        <w:t xml:space="preserve"> </w:t>
      </w:r>
      <w:r w:rsidRPr="001D3BD8">
        <w:rPr>
          <w:rStyle w:val="SingleTxtGChar"/>
          <w:b/>
          <w:u w:val="single"/>
          <w:lang w:val="fr-FR"/>
        </w:rPr>
        <w:t>d’autres</w:t>
      </w:r>
      <w:r w:rsidRPr="001D3BD8">
        <w:rPr>
          <w:rStyle w:val="SingleTxtGChar"/>
          <w:lang w:val="fr-FR"/>
        </w:rPr>
        <w:t xml:space="preserve"> prescriptions </w:t>
      </w:r>
      <w:r w:rsidRPr="001D3BD8">
        <w:rPr>
          <w:rStyle w:val="SingleTxtGChar"/>
          <w:b/>
          <w:u w:val="single"/>
          <w:lang w:val="fr-FR"/>
        </w:rPr>
        <w:t>légales</w:t>
      </w:r>
      <w:r w:rsidRPr="001D3BD8">
        <w:rPr>
          <w:rStyle w:val="SingleTxtGChar"/>
          <w:lang w:val="fr-FR"/>
        </w:rPr>
        <w:t xml:space="preserve"> </w:t>
      </w:r>
      <w:r w:rsidRPr="001D3BD8">
        <w:rPr>
          <w:rStyle w:val="SingleTxtGChar"/>
          <w:strike/>
          <w:lang w:val="fr-FR"/>
        </w:rPr>
        <w:t>de droit internationales ou nationales</w:t>
      </w:r>
      <w:r w:rsidRPr="001D3BD8">
        <w:rPr>
          <w:rStyle w:val="SingleTxtGChar"/>
          <w:lang w:val="fr-FR"/>
        </w:rPr>
        <w:t>.</w:t>
      </w:r>
    </w:p>
    <w:p w:rsidR="003022F8" w:rsidRPr="001D3BD8" w:rsidRDefault="003022F8" w:rsidP="0095646A">
      <w:pPr>
        <w:pStyle w:val="SingleTxtG"/>
        <w:ind w:left="2268" w:hanging="1134"/>
        <w:jc w:val="left"/>
        <w:rPr>
          <w:b/>
          <w:u w:val="single"/>
          <w:lang w:val="fr-FR"/>
        </w:rPr>
      </w:pPr>
      <w:r w:rsidRPr="001D3BD8">
        <w:rPr>
          <w:rStyle w:val="SingleTxtGChar"/>
          <w:b/>
          <w:u w:val="single"/>
          <w:lang w:val="fr-FR"/>
        </w:rPr>
        <w:t>7.2.3.7.1</w:t>
      </w:r>
      <w:r w:rsidRPr="001D3BD8">
        <w:rPr>
          <w:b/>
          <w:lang w:val="fr-FR"/>
        </w:rPr>
        <w:tab/>
      </w:r>
      <w:r w:rsidRPr="001D3BD8">
        <w:rPr>
          <w:rStyle w:val="SingleTxtGChar"/>
          <w:b/>
          <w:u w:val="single"/>
          <w:lang w:val="fr-FR"/>
        </w:rPr>
        <w:t>Dégazage des citernes à cargaison vides ou déchargées et des tuyauteries</w:t>
      </w:r>
      <w:r w:rsidRPr="001D3BD8">
        <w:rPr>
          <w:rStyle w:val="SingleTxtGChar"/>
          <w:u w:val="single"/>
          <w:lang w:val="fr-FR"/>
        </w:rPr>
        <w:t xml:space="preserve"> </w:t>
      </w:r>
      <w:r w:rsidRPr="001D3BD8">
        <w:rPr>
          <w:rStyle w:val="SingleTxtGChar"/>
          <w:b/>
          <w:u w:val="single"/>
          <w:lang w:val="fr-FR"/>
        </w:rPr>
        <w:t>de chargement et de déchargement dans l’atmosphère</w:t>
      </w:r>
    </w:p>
    <w:p w:rsidR="003022F8" w:rsidRPr="001D3BD8" w:rsidRDefault="003022F8" w:rsidP="0095646A">
      <w:pPr>
        <w:pStyle w:val="SingleTxtG"/>
        <w:keepNext/>
        <w:ind w:left="2268" w:hanging="1134"/>
        <w:rPr>
          <w:b/>
          <w:u w:val="single"/>
          <w:lang w:val="fr-FR"/>
        </w:rPr>
      </w:pPr>
      <w:r w:rsidRPr="001D3BD8">
        <w:rPr>
          <w:lang w:val="fr-FR"/>
        </w:rPr>
        <w:t>7.2.3.7.</w:t>
      </w:r>
      <w:r w:rsidRPr="001D3BD8">
        <w:rPr>
          <w:b/>
          <w:u w:val="single"/>
          <w:lang w:val="fr-FR"/>
        </w:rPr>
        <w:t>1.</w:t>
      </w:r>
      <w:r w:rsidRPr="001D3BD8">
        <w:rPr>
          <w:lang w:val="fr-FR"/>
        </w:rPr>
        <w:t>1</w:t>
      </w:r>
      <w:r w:rsidRPr="001D3BD8">
        <w:rPr>
          <w:lang w:val="fr-FR"/>
        </w:rPr>
        <w:tab/>
        <w:t>Les citernes à cargaison vides ou déchargées ayant contenu précédemment des matières dangereuses </w:t>
      </w:r>
      <w:r w:rsidRPr="001D3BD8">
        <w:rPr>
          <w:b/>
          <w:u w:val="single"/>
          <w:lang w:val="fr-FR"/>
        </w:rPr>
        <w:t>:</w:t>
      </w:r>
    </w:p>
    <w:p w:rsidR="003022F8" w:rsidRPr="001D3BD8" w:rsidRDefault="009A1118" w:rsidP="006B1B9E">
      <w:pPr>
        <w:pStyle w:val="SingleTxtG"/>
        <w:ind w:left="2438" w:hanging="170"/>
        <w:rPr>
          <w:lang w:val="fr-FR"/>
        </w:rPr>
      </w:pPr>
      <w:r w:rsidRPr="009A1118">
        <w:rPr>
          <w:rStyle w:val="SingleTxtGChar"/>
          <w:b/>
          <w:u w:val="single"/>
          <w:lang w:val="fr-FR"/>
        </w:rPr>
        <w:t>•</w:t>
      </w:r>
      <w:r w:rsidR="006B1B9E" w:rsidRPr="009A1118">
        <w:rPr>
          <w:b/>
          <w:lang w:val="fr-FR"/>
        </w:rPr>
        <w:tab/>
      </w:r>
      <w:r>
        <w:rPr>
          <w:lang w:val="fr-FR"/>
        </w:rPr>
        <w:t>D</w:t>
      </w:r>
      <w:r w:rsidR="003022F8" w:rsidRPr="001D3BD8">
        <w:rPr>
          <w:lang w:val="fr-FR"/>
        </w:rPr>
        <w:t>e la classe 2 ou de la classe 3, avec le code de classification comprenant la lettre « T » à la colonne (3 b) du tableau C du chapitre 3.2</w:t>
      </w:r>
      <w:r w:rsidR="006B1B9E">
        <w:rPr>
          <w:lang w:val="fr-FR"/>
        </w:rPr>
        <w:t> ;</w:t>
      </w:r>
    </w:p>
    <w:p w:rsidR="003022F8" w:rsidRPr="001D3BD8" w:rsidRDefault="009A1118" w:rsidP="006B1B9E">
      <w:pPr>
        <w:pStyle w:val="SingleTxtG"/>
        <w:ind w:left="2438" w:hanging="170"/>
        <w:rPr>
          <w:lang w:val="fr-FR"/>
        </w:rPr>
      </w:pPr>
      <w:r w:rsidRPr="009A1118">
        <w:rPr>
          <w:rStyle w:val="SingleTxtGChar"/>
          <w:b/>
          <w:u w:val="single"/>
          <w:lang w:val="fr-FR"/>
        </w:rPr>
        <w:t>•</w:t>
      </w:r>
      <w:r w:rsidR="006B1B9E">
        <w:rPr>
          <w:lang w:val="fr-FR"/>
        </w:rPr>
        <w:tab/>
      </w:r>
      <w:r>
        <w:rPr>
          <w:lang w:val="fr-FR"/>
        </w:rPr>
        <w:t>D</w:t>
      </w:r>
      <w:r w:rsidR="003022F8" w:rsidRPr="001D3BD8">
        <w:rPr>
          <w:lang w:val="fr-FR"/>
        </w:rPr>
        <w:t>e la classe 6.1</w:t>
      </w:r>
      <w:r w:rsidR="006B1B9E">
        <w:rPr>
          <w:lang w:val="fr-FR"/>
        </w:rPr>
        <w:t> </w:t>
      </w:r>
      <w:r w:rsidR="006B1B9E">
        <w:rPr>
          <w:b/>
          <w:u w:val="single"/>
          <w:lang w:val="fr-FR"/>
        </w:rPr>
        <w:t>;</w:t>
      </w:r>
      <w:r w:rsidR="003022F8" w:rsidRPr="001D3BD8">
        <w:rPr>
          <w:lang w:val="fr-FR"/>
        </w:rPr>
        <w:t xml:space="preserve"> </w:t>
      </w:r>
      <w:proofErr w:type="gramStart"/>
      <w:r w:rsidR="003022F8" w:rsidRPr="001D3BD8">
        <w:rPr>
          <w:lang w:val="fr-FR"/>
        </w:rPr>
        <w:t>ou</w:t>
      </w:r>
      <w:proofErr w:type="gramEnd"/>
    </w:p>
    <w:p w:rsidR="003022F8" w:rsidRPr="001D3BD8" w:rsidRDefault="009A1118" w:rsidP="006B1B9E">
      <w:pPr>
        <w:pStyle w:val="SingleTxtG"/>
        <w:ind w:left="2438" w:hanging="170"/>
        <w:rPr>
          <w:lang w:val="fr-FR"/>
        </w:rPr>
      </w:pPr>
      <w:r w:rsidRPr="009A1118">
        <w:rPr>
          <w:rStyle w:val="SingleTxtGChar"/>
          <w:b/>
          <w:u w:val="single"/>
          <w:lang w:val="fr-FR"/>
        </w:rPr>
        <w:t>•</w:t>
      </w:r>
      <w:r w:rsidR="006B1B9E">
        <w:rPr>
          <w:lang w:val="fr-FR"/>
        </w:rPr>
        <w:tab/>
      </w:r>
      <w:r>
        <w:rPr>
          <w:lang w:val="fr-FR"/>
        </w:rPr>
        <w:t>D</w:t>
      </w:r>
      <w:r w:rsidR="003022F8" w:rsidRPr="001D3BD8">
        <w:rPr>
          <w:lang w:val="fr-FR"/>
        </w:rPr>
        <w:t>u groupe d’emballage I de la classe 8</w:t>
      </w:r>
      <w:r w:rsidR="006B1B9E">
        <w:rPr>
          <w:lang w:val="fr-FR"/>
        </w:rPr>
        <w:t> ;</w:t>
      </w:r>
    </w:p>
    <w:p w:rsidR="003022F8" w:rsidRPr="001D3BD8" w:rsidRDefault="003022F8" w:rsidP="003022F8">
      <w:pPr>
        <w:pStyle w:val="SingleTxtG"/>
        <w:spacing w:before="120" w:after="240" w:line="240" w:lineRule="exact"/>
        <w:ind w:left="2251" w:firstLine="6"/>
        <w:rPr>
          <w:lang w:val="fr-FR"/>
        </w:rPr>
      </w:pPr>
      <w:proofErr w:type="gramStart"/>
      <w:r w:rsidRPr="001D3BD8">
        <w:rPr>
          <w:lang w:val="fr-FR"/>
        </w:rPr>
        <w:t>ne</w:t>
      </w:r>
      <w:proofErr w:type="gramEnd"/>
      <w:r w:rsidRPr="001D3BD8">
        <w:rPr>
          <w:lang w:val="fr-FR"/>
        </w:rPr>
        <w:t xml:space="preserve"> peuvent être dégazées que par </w:t>
      </w:r>
      <w:r w:rsidRPr="001D3BD8">
        <w:rPr>
          <w:strike/>
          <w:lang w:val="fr-FR"/>
        </w:rPr>
        <w:t>les personnes compétentes</w:t>
      </w:r>
      <w:r w:rsidRPr="001D3BD8">
        <w:rPr>
          <w:lang w:val="fr-FR"/>
        </w:rPr>
        <w:t xml:space="preserve"> </w:t>
      </w:r>
      <w:r w:rsidRPr="001D3BD8">
        <w:rPr>
          <w:b/>
          <w:u w:val="single"/>
          <w:lang w:val="fr-FR"/>
        </w:rPr>
        <w:t>un expert</w:t>
      </w:r>
      <w:r w:rsidRPr="001D3BD8">
        <w:rPr>
          <w:lang w:val="fr-FR"/>
        </w:rPr>
        <w:t xml:space="preserve"> conformément à l’alinéa 8.2.1.2 </w:t>
      </w:r>
      <w:r w:rsidRPr="001D3BD8">
        <w:rPr>
          <w:strike/>
          <w:lang w:val="fr-FR"/>
        </w:rPr>
        <w:t>ou par des entreprises agréées à cet effet par l’autorité compétente</w:t>
      </w:r>
      <w:r w:rsidRPr="001D3BD8">
        <w:rPr>
          <w:lang w:val="fr-FR"/>
        </w:rPr>
        <w:t xml:space="preserve">. Le dégazage ne peut être effectué qu’en des emplacements agréés par l’autorité compétente. </w:t>
      </w:r>
    </w:p>
    <w:p w:rsidR="003022F8" w:rsidRPr="001D3BD8" w:rsidRDefault="003022F8" w:rsidP="00D2419D">
      <w:pPr>
        <w:pStyle w:val="SingleTxtG"/>
        <w:ind w:left="2268" w:hanging="1134"/>
        <w:rPr>
          <w:lang w:val="fr-FR"/>
        </w:rPr>
      </w:pPr>
      <w:r w:rsidRPr="001D3BD8">
        <w:rPr>
          <w:rStyle w:val="SingleTxtGChar"/>
          <w:lang w:val="fr-FR"/>
        </w:rPr>
        <w:t>7.2.3.7.</w:t>
      </w:r>
      <w:r w:rsidRPr="001D3BD8">
        <w:rPr>
          <w:rStyle w:val="SingleTxtGChar"/>
          <w:b/>
          <w:lang w:val="fr-FR"/>
        </w:rPr>
        <w:t>1.2</w:t>
      </w:r>
      <w:r w:rsidRPr="001D3BD8">
        <w:rPr>
          <w:rStyle w:val="SingleTxtGChar"/>
          <w:strike/>
          <w:lang w:val="fr-FR"/>
        </w:rPr>
        <w:t>3</w:t>
      </w:r>
      <w:r w:rsidRPr="001D3BD8">
        <w:rPr>
          <w:bCs/>
          <w:lang w:val="fr-FR"/>
        </w:rPr>
        <w:tab/>
      </w:r>
      <w:r w:rsidRPr="001D3BD8">
        <w:rPr>
          <w:lang w:val="fr-FR"/>
        </w:rPr>
        <w:t>Si le dégazage de citernes à cargaison ayant contenu précédemment des matières dangereuses énumérées au 7.2.3.7.1</w:t>
      </w:r>
      <w:r w:rsidRPr="001D3BD8">
        <w:rPr>
          <w:b/>
          <w:u w:val="single"/>
          <w:lang w:val="fr-FR"/>
        </w:rPr>
        <w:t>.1</w:t>
      </w:r>
      <w:r w:rsidRPr="001D3BD8">
        <w:rPr>
          <w:lang w:val="fr-FR"/>
        </w:rPr>
        <w:t xml:space="preserve"> </w:t>
      </w:r>
      <w:r w:rsidRPr="008D5BA2">
        <w:rPr>
          <w:lang w:val="fr-FR"/>
        </w:rPr>
        <w:t>ci-dessus</w:t>
      </w:r>
      <w:r w:rsidRPr="001D3BD8">
        <w:rPr>
          <w:lang w:val="fr-FR"/>
        </w:rPr>
        <w:t xml:space="preserve"> n’est pas possible aux endroits </w:t>
      </w:r>
      <w:r w:rsidRPr="001D3BD8">
        <w:rPr>
          <w:strike/>
          <w:lang w:val="fr-FR"/>
        </w:rPr>
        <w:t>désignés ou</w:t>
      </w:r>
      <w:r w:rsidRPr="001D3BD8">
        <w:rPr>
          <w:lang w:val="fr-FR"/>
        </w:rPr>
        <w:t xml:space="preserve"> agréés par l’autorité compétente, il peut être effectué pendant que le bateau fait route, à condition : </w:t>
      </w:r>
    </w:p>
    <w:p w:rsidR="003022F8" w:rsidRPr="001D3BD8" w:rsidRDefault="00BF1977" w:rsidP="00CC03F3">
      <w:pPr>
        <w:pStyle w:val="Bullet2G"/>
        <w:ind w:left="2438"/>
        <w:rPr>
          <w:lang w:val="fr-FR"/>
        </w:rPr>
      </w:pPr>
      <w:r>
        <w:rPr>
          <w:lang w:val="fr-FR"/>
        </w:rPr>
        <w:t>Q</w:t>
      </w:r>
      <w:r w:rsidR="003022F8" w:rsidRPr="001D3BD8">
        <w:rPr>
          <w:lang w:val="fr-FR"/>
        </w:rPr>
        <w:t xml:space="preserve">ue les prescriptions du </w:t>
      </w:r>
      <w:r w:rsidR="003022F8" w:rsidRPr="001D3BD8">
        <w:rPr>
          <w:b/>
          <w:u w:val="single"/>
          <w:lang w:val="fr-FR"/>
        </w:rPr>
        <w:t xml:space="preserve">premier paragraphe du </w:t>
      </w:r>
      <w:r w:rsidR="003022F8" w:rsidRPr="001D3BD8">
        <w:rPr>
          <w:lang w:val="fr-FR"/>
        </w:rPr>
        <w:t>7.2.3.7.</w:t>
      </w:r>
      <w:r w:rsidR="003022F8" w:rsidRPr="001D3BD8">
        <w:rPr>
          <w:b/>
          <w:u w:val="single"/>
          <w:lang w:val="fr-FR"/>
        </w:rPr>
        <w:t>1.3</w:t>
      </w:r>
      <w:r w:rsidR="003022F8" w:rsidRPr="001D3BD8">
        <w:rPr>
          <w:strike/>
          <w:lang w:val="fr-FR"/>
        </w:rPr>
        <w:t>2</w:t>
      </w:r>
      <w:r w:rsidR="003022F8" w:rsidRPr="001D3BD8">
        <w:rPr>
          <w:lang w:val="fr-FR"/>
        </w:rPr>
        <w:t xml:space="preserve"> soient respectées ; la concentration de </w:t>
      </w:r>
      <w:r w:rsidR="003022F8" w:rsidRPr="001D3BD8">
        <w:rPr>
          <w:strike/>
          <w:lang w:val="fr-FR"/>
        </w:rPr>
        <w:t>matières dangereuses</w:t>
      </w:r>
      <w:r w:rsidR="003022F8" w:rsidRPr="001D3BD8">
        <w:rPr>
          <w:lang w:val="fr-FR"/>
        </w:rPr>
        <w:t xml:space="preserve"> </w:t>
      </w:r>
      <w:r w:rsidR="003022F8" w:rsidRPr="001D3BD8">
        <w:rPr>
          <w:b/>
          <w:u w:val="single"/>
          <w:lang w:val="fr-FR"/>
        </w:rPr>
        <w:t>gaz et de vapeurs inflammables provenant de la cargaison</w:t>
      </w:r>
      <w:r w:rsidR="003022F8" w:rsidRPr="001D3BD8">
        <w:rPr>
          <w:lang w:val="fr-FR"/>
        </w:rPr>
        <w:t xml:space="preserve"> dans le mélange à l’orifice de sortie ne</w:t>
      </w:r>
      <w:r w:rsidR="00CC03F3">
        <w:rPr>
          <w:lang w:val="fr-FR"/>
        </w:rPr>
        <w:t xml:space="preserve"> doit toutefois pas dépasser 10 </w:t>
      </w:r>
      <w:r w:rsidR="003022F8" w:rsidRPr="001D3BD8">
        <w:rPr>
          <w:lang w:val="fr-FR"/>
        </w:rPr>
        <w:t xml:space="preserve">% de la </w:t>
      </w:r>
      <w:r w:rsidR="003022F8" w:rsidRPr="001D3BD8">
        <w:rPr>
          <w:strike/>
          <w:lang w:val="fr-FR"/>
        </w:rPr>
        <w:t>limite inférieure d’explosivité</w:t>
      </w:r>
      <w:r w:rsidR="003022F8" w:rsidRPr="001D3BD8">
        <w:rPr>
          <w:lang w:val="fr-FR"/>
        </w:rPr>
        <w:t xml:space="preserve"> </w:t>
      </w:r>
      <w:r w:rsidR="003022F8" w:rsidRPr="001D3BD8">
        <w:rPr>
          <w:b/>
          <w:u w:val="single"/>
          <w:lang w:val="fr-FR"/>
        </w:rPr>
        <w:t>LIE</w:t>
      </w:r>
      <w:r w:rsidR="003022F8" w:rsidRPr="001D3BD8">
        <w:rPr>
          <w:lang w:val="fr-FR"/>
        </w:rPr>
        <w:t> ;</w:t>
      </w:r>
    </w:p>
    <w:p w:rsidR="003022F8" w:rsidRPr="001D3BD8" w:rsidRDefault="003022F8" w:rsidP="00CC03F3">
      <w:pPr>
        <w:pStyle w:val="Bullet2G"/>
        <w:ind w:left="2438"/>
        <w:rPr>
          <w:lang w:val="fr-FR"/>
        </w:rPr>
      </w:pPr>
      <w:r w:rsidRPr="001D3BD8">
        <w:rPr>
          <w:lang w:val="fr-FR"/>
        </w:rPr>
        <w:t xml:space="preserve"> </w:t>
      </w:r>
      <w:proofErr w:type="gramStart"/>
      <w:r w:rsidRPr="001D3BD8">
        <w:rPr>
          <w:strike/>
          <w:lang w:val="fr-FR"/>
        </w:rPr>
        <w:t>qu’il</w:t>
      </w:r>
      <w:proofErr w:type="gramEnd"/>
      <w:r w:rsidRPr="001D3BD8">
        <w:rPr>
          <w:strike/>
          <w:lang w:val="fr-FR"/>
        </w:rPr>
        <w:t xml:space="preserve"> n’y ait pas de risques pour</w:t>
      </w:r>
      <w:r w:rsidRPr="001D3BD8">
        <w:rPr>
          <w:lang w:val="fr-FR"/>
        </w:rPr>
        <w:t xml:space="preserve"> </w:t>
      </w:r>
      <w:r w:rsidR="00BF1977">
        <w:rPr>
          <w:b/>
          <w:u w:val="single"/>
          <w:lang w:val="fr-FR"/>
        </w:rPr>
        <w:t>Q</w:t>
      </w:r>
      <w:r w:rsidRPr="001D3BD8">
        <w:rPr>
          <w:b/>
          <w:u w:val="single"/>
          <w:lang w:val="fr-FR"/>
        </w:rPr>
        <w:t>ue</w:t>
      </w:r>
      <w:r w:rsidRPr="001D3BD8">
        <w:rPr>
          <w:lang w:val="fr-FR"/>
        </w:rPr>
        <w:t xml:space="preserve"> l’équipage </w:t>
      </w:r>
      <w:r w:rsidRPr="001D3BD8">
        <w:rPr>
          <w:b/>
          <w:u w:val="single"/>
          <w:lang w:val="fr-FR"/>
        </w:rPr>
        <w:t>ne soit pas exposé à une concentration de gaz et de vapeurs supérieure aux niveaux d’exposition nationaux admis</w:t>
      </w:r>
      <w:r w:rsidRPr="001D3BD8">
        <w:rPr>
          <w:u w:val="single"/>
          <w:lang w:val="fr-FR"/>
        </w:rPr>
        <w:t> </w:t>
      </w:r>
      <w:r w:rsidRPr="001D3BD8">
        <w:rPr>
          <w:lang w:val="fr-FR"/>
        </w:rPr>
        <w:t xml:space="preserve">; </w:t>
      </w:r>
    </w:p>
    <w:p w:rsidR="003022F8" w:rsidRPr="001D3BD8" w:rsidRDefault="003022F8" w:rsidP="00CC03F3">
      <w:pPr>
        <w:pStyle w:val="SingleTxtG"/>
        <w:ind w:left="2268"/>
        <w:rPr>
          <w:lang w:val="fr-FR"/>
        </w:rPr>
      </w:pPr>
      <w:r w:rsidRPr="001D3BD8">
        <w:rPr>
          <w:lang w:val="fr-FR"/>
        </w:rPr>
        <w:t>(…)</w:t>
      </w:r>
    </w:p>
    <w:p w:rsidR="003022F8" w:rsidRPr="001D3BD8" w:rsidRDefault="003022F8" w:rsidP="00D2419D">
      <w:pPr>
        <w:pStyle w:val="SingleTxtG"/>
        <w:ind w:left="2268" w:hanging="1134"/>
        <w:rPr>
          <w:bCs/>
          <w:lang w:val="fr-FR"/>
        </w:rPr>
      </w:pPr>
      <w:r w:rsidRPr="001D3BD8">
        <w:rPr>
          <w:lang w:val="fr-FR"/>
        </w:rPr>
        <w:t>7.2.3.7.</w:t>
      </w:r>
      <w:r w:rsidRPr="001D3BD8">
        <w:rPr>
          <w:b/>
          <w:u w:val="single"/>
          <w:lang w:val="fr-FR"/>
        </w:rPr>
        <w:t>1.3</w:t>
      </w:r>
      <w:r w:rsidRPr="001D3BD8">
        <w:rPr>
          <w:strike/>
          <w:lang w:val="fr-FR"/>
        </w:rPr>
        <w:t>2</w:t>
      </w:r>
      <w:r w:rsidRPr="001D3BD8">
        <w:rPr>
          <w:lang w:val="fr-FR"/>
        </w:rPr>
        <w:tab/>
      </w:r>
      <w:r w:rsidRPr="001D3BD8">
        <w:rPr>
          <w:bCs/>
          <w:lang w:val="fr-FR"/>
        </w:rPr>
        <w:t>Le dégazage des citernes à cargaison vides ou déchargées ayant contenu des matières dangereuses autres que celles indiquées au 7.2.3.7.1</w:t>
      </w:r>
      <w:r w:rsidRPr="001D3BD8">
        <w:rPr>
          <w:b/>
          <w:bCs/>
          <w:u w:val="single"/>
          <w:lang w:val="fr-FR"/>
        </w:rPr>
        <w:t>.1</w:t>
      </w:r>
      <w:r w:rsidRPr="001D3BD8">
        <w:rPr>
          <w:bCs/>
          <w:lang w:val="fr-FR"/>
        </w:rPr>
        <w:t xml:space="preserve"> </w:t>
      </w:r>
      <w:r w:rsidRPr="001D3BD8">
        <w:rPr>
          <w:bCs/>
          <w:strike/>
          <w:lang w:val="fr-FR"/>
        </w:rPr>
        <w:t>ci</w:t>
      </w:r>
      <w:r w:rsidRPr="001D3BD8">
        <w:rPr>
          <w:bCs/>
          <w:strike/>
          <w:lang w:val="fr-FR"/>
        </w:rPr>
        <w:noBreakHyphen/>
        <w:t>dessus</w:t>
      </w:r>
      <w:r w:rsidRPr="001D3BD8">
        <w:rPr>
          <w:b/>
          <w:u w:val="single"/>
          <w:lang w:val="fr-FR"/>
        </w:rPr>
        <w:t>, lorsque la concentration de gaz provenant de la cargaison est supérieure ou égale à 10 % de la LIE,</w:t>
      </w:r>
      <w:r w:rsidRPr="001D3BD8">
        <w:rPr>
          <w:lang w:val="fr-FR"/>
        </w:rPr>
        <w:t xml:space="preserve"> </w:t>
      </w:r>
      <w:r w:rsidRPr="001D3BD8">
        <w:rPr>
          <w:bCs/>
          <w:lang w:val="fr-FR"/>
        </w:rPr>
        <w:t xml:space="preserve">peut être effectué en cours de route, ou durant un stationnement en des emplacements agréés par l’autorité compétente, au moyen de dispositifs de ventilation appropriés, les couvercles des citernes à cargaison étant fermés et la sortie du mélange de gaz et d’air se faisant par des coupe-flammes résistant à un feu continu </w:t>
      </w:r>
      <w:r w:rsidR="00BF1977">
        <w:rPr>
          <w:b/>
          <w:bCs/>
          <w:u w:val="single"/>
          <w:lang w:val="fr-FR"/>
        </w:rPr>
        <w:t>(groupe</w:t>
      </w:r>
      <w:r w:rsidRPr="001D3BD8">
        <w:rPr>
          <w:b/>
          <w:bCs/>
          <w:u w:val="single"/>
          <w:lang w:val="fr-FR"/>
        </w:rPr>
        <w:t xml:space="preserve"> sous-groupe d’explosion conformément à la colonne (16) du tableau C du 3.2.3.2)</w:t>
      </w:r>
      <w:r w:rsidRPr="001D3BD8">
        <w:rPr>
          <w:bCs/>
          <w:lang w:val="fr-FR"/>
        </w:rPr>
        <w:t xml:space="preserve">. </w:t>
      </w:r>
      <w:r w:rsidRPr="001D3BD8">
        <w:rPr>
          <w:bCs/>
          <w:strike/>
          <w:lang w:val="fr-FR"/>
        </w:rPr>
        <w:t>Dans les conditions normales d’exploitation</w:t>
      </w:r>
      <w:r w:rsidRPr="001D3BD8">
        <w:rPr>
          <w:bCs/>
          <w:lang w:val="fr-FR"/>
        </w:rPr>
        <w:t xml:space="preserve"> </w:t>
      </w:r>
      <w:proofErr w:type="spellStart"/>
      <w:r w:rsidRPr="001D3BD8">
        <w:rPr>
          <w:bCs/>
          <w:strike/>
          <w:lang w:val="fr-FR"/>
        </w:rPr>
        <w:t>l</w:t>
      </w:r>
      <w:r w:rsidRPr="001D3BD8">
        <w:rPr>
          <w:b/>
          <w:bCs/>
          <w:u w:val="single"/>
          <w:lang w:val="fr-FR"/>
        </w:rPr>
        <w:t>L</w:t>
      </w:r>
      <w:r w:rsidRPr="001D3BD8">
        <w:rPr>
          <w:bCs/>
          <w:lang w:val="fr-FR"/>
        </w:rPr>
        <w:t>a</w:t>
      </w:r>
      <w:proofErr w:type="spellEnd"/>
      <w:r w:rsidRPr="001D3BD8">
        <w:rPr>
          <w:bCs/>
          <w:lang w:val="fr-FR"/>
        </w:rPr>
        <w:t xml:space="preserve"> concentration de gaz dans le mélange à l’orifice de sortie doit être inférieure à 50 % de la </w:t>
      </w:r>
      <w:r w:rsidRPr="001D3BD8">
        <w:rPr>
          <w:b/>
          <w:bCs/>
          <w:u w:val="single"/>
          <w:lang w:val="fr-FR"/>
        </w:rPr>
        <w:t>LIE</w:t>
      </w:r>
      <w:r w:rsidRPr="001D3BD8">
        <w:rPr>
          <w:bCs/>
          <w:lang w:val="fr-FR"/>
        </w:rPr>
        <w:t xml:space="preserve"> </w:t>
      </w:r>
      <w:r w:rsidRPr="001D3BD8">
        <w:rPr>
          <w:bCs/>
          <w:strike/>
          <w:lang w:val="fr-FR"/>
        </w:rPr>
        <w:t>limite inférieure d’explosivité</w:t>
      </w:r>
      <w:r w:rsidRPr="001D3BD8">
        <w:rPr>
          <w:bCs/>
          <w:lang w:val="fr-FR"/>
        </w:rPr>
        <w:t>. Les dispositifs de ventilation appropriés ne peuvent être utilisés pour le dégazage par aspiration qu’avec un coupe-flammes monté</w:t>
      </w:r>
      <w:r w:rsidR="00BF1977">
        <w:rPr>
          <w:bCs/>
          <w:lang w:val="fr-FR"/>
        </w:rPr>
        <w:t> </w:t>
      </w:r>
      <w:r w:rsidRPr="001D3BD8">
        <w:rPr>
          <w:bCs/>
          <w:lang w:val="fr-FR"/>
        </w:rPr>
        <w:t xml:space="preserve">immédiatement devant le ventilateur, du côté de l’aspiration </w:t>
      </w:r>
      <w:r w:rsidR="00BF1977">
        <w:rPr>
          <w:b/>
          <w:bCs/>
          <w:u w:val="single"/>
          <w:lang w:val="fr-FR"/>
        </w:rPr>
        <w:t>(groupe/</w:t>
      </w:r>
      <w:r w:rsidRPr="001D3BD8">
        <w:rPr>
          <w:b/>
          <w:bCs/>
          <w:u w:val="single"/>
          <w:lang w:val="fr-FR"/>
        </w:rPr>
        <w:t>sous</w:t>
      </w:r>
      <w:r w:rsidR="00BF1977">
        <w:rPr>
          <w:b/>
          <w:bCs/>
          <w:u w:val="single"/>
          <w:lang w:val="fr-FR"/>
        </w:rPr>
        <w:noBreakHyphen/>
      </w:r>
      <w:r w:rsidRPr="001D3BD8">
        <w:rPr>
          <w:b/>
          <w:bCs/>
          <w:u w:val="single"/>
          <w:lang w:val="fr-FR"/>
        </w:rPr>
        <w:t>groupe d’explosion conformément à la colonne (16) du tableau C du 3.2.3.2)</w:t>
      </w:r>
      <w:r w:rsidRPr="001D3BD8">
        <w:rPr>
          <w:bCs/>
          <w:lang w:val="fr-FR"/>
        </w:rPr>
        <w:t xml:space="preserve">. La concentration de gaz doit être mesurée chaque heure pendant les deux premières heures après le début du dégazage, le dispositif de ventilation par refoulement ou par aspiration étant en marche, par un expert visé au </w:t>
      </w:r>
      <w:r w:rsidRPr="001D3BD8">
        <w:rPr>
          <w:b/>
          <w:bCs/>
          <w:u w:val="single"/>
          <w:lang w:val="fr-FR"/>
        </w:rPr>
        <w:t>8.2.1.2</w:t>
      </w:r>
      <w:r w:rsidRPr="001D3BD8">
        <w:rPr>
          <w:bCs/>
          <w:lang w:val="fr-FR"/>
        </w:rPr>
        <w:t xml:space="preserve"> </w:t>
      </w:r>
      <w:r w:rsidRPr="001D3BD8">
        <w:rPr>
          <w:bCs/>
          <w:strike/>
          <w:lang w:val="fr-FR"/>
        </w:rPr>
        <w:t>7.2.3.15</w:t>
      </w:r>
      <w:r w:rsidRPr="001D3BD8">
        <w:rPr>
          <w:bCs/>
          <w:lang w:val="fr-FR"/>
        </w:rPr>
        <w:t>. Les résultats des mesures doivent être consignés par écrit.</w:t>
      </w:r>
    </w:p>
    <w:p w:rsidR="003022F8" w:rsidRPr="001D3BD8" w:rsidRDefault="003022F8" w:rsidP="003022F8">
      <w:pPr>
        <w:pStyle w:val="SingleTxtG"/>
        <w:spacing w:before="120" w:after="240" w:line="240" w:lineRule="exact"/>
        <w:ind w:left="2251"/>
        <w:rPr>
          <w:bCs/>
          <w:lang w:val="fr-FR"/>
        </w:rPr>
      </w:pPr>
      <w:r w:rsidRPr="001D3BD8">
        <w:rPr>
          <w:bCs/>
          <w:lang w:val="fr-FR"/>
        </w:rPr>
        <w:t>Le dégazage est toutefois interdit dans les zones d’écluses, y compris leurs garages</w:t>
      </w:r>
      <w:r w:rsidRPr="001D3BD8">
        <w:rPr>
          <w:b/>
          <w:bCs/>
          <w:u w:val="single"/>
          <w:lang w:val="fr-FR"/>
        </w:rPr>
        <w:t>, sous les ponts ou dans des zones à forte densité de population</w:t>
      </w:r>
      <w:r w:rsidRPr="001D3BD8">
        <w:rPr>
          <w:bCs/>
          <w:lang w:val="fr-FR"/>
        </w:rPr>
        <w:t>.</w:t>
      </w:r>
    </w:p>
    <w:p w:rsidR="003022F8" w:rsidRPr="00D97E64" w:rsidRDefault="003022F8" w:rsidP="003022F8">
      <w:pPr>
        <w:suppressAutoHyphens w:val="0"/>
        <w:spacing w:before="40" w:after="240" w:line="240" w:lineRule="exact"/>
        <w:ind w:left="2251" w:right="1134"/>
        <w:jc w:val="both"/>
        <w:rPr>
          <w:lang w:val="fr-FR"/>
        </w:rPr>
      </w:pPr>
      <w:r w:rsidRPr="00D97E64">
        <w:rPr>
          <w:b/>
          <w:u w:val="single"/>
          <w:lang w:val="fr-FR"/>
        </w:rPr>
        <w:t>Le dégazage de citernes à cargaison vides ou déchargées ayant contenu des matières dangereuses autres que celles visées au 7.2.3.7.1.1 et présentant une concentration de gaz et de vapeurs provenant de la cargaison inférieure à 10 % de la LIE est autorisé, et l</w:t>
      </w:r>
      <w:r>
        <w:rPr>
          <w:b/>
          <w:u w:val="single"/>
          <w:lang w:val="fr-FR"/>
        </w:rPr>
        <w:t>’</w:t>
      </w:r>
      <w:r w:rsidRPr="00D97E64">
        <w:rPr>
          <w:b/>
          <w:u w:val="single"/>
          <w:lang w:val="fr-FR"/>
        </w:rPr>
        <w:t>ouverture d</w:t>
      </w:r>
      <w:r>
        <w:rPr>
          <w:b/>
          <w:u w:val="single"/>
          <w:lang w:val="fr-FR"/>
        </w:rPr>
        <w:t>’</w:t>
      </w:r>
      <w:r w:rsidRPr="00D97E64">
        <w:rPr>
          <w:b/>
          <w:u w:val="single"/>
          <w:lang w:val="fr-FR"/>
        </w:rPr>
        <w:t>autres orifices de la citerne à cargaison est autorisée pour autant que l</w:t>
      </w:r>
      <w:r>
        <w:rPr>
          <w:b/>
          <w:u w:val="single"/>
          <w:lang w:val="fr-FR"/>
        </w:rPr>
        <w:t>’</w:t>
      </w:r>
      <w:r w:rsidRPr="00D97E64">
        <w:rPr>
          <w:b/>
          <w:u w:val="single"/>
          <w:lang w:val="fr-FR"/>
        </w:rPr>
        <w:t>équipage ne soit pas exposé à une concentration de gaz et de vapeurs supérieure aux niveaux d</w:t>
      </w:r>
      <w:r>
        <w:rPr>
          <w:b/>
          <w:u w:val="single"/>
          <w:lang w:val="fr-FR"/>
        </w:rPr>
        <w:t>’</w:t>
      </w:r>
      <w:r w:rsidRPr="00D97E64">
        <w:rPr>
          <w:b/>
          <w:u w:val="single"/>
          <w:lang w:val="fr-FR"/>
        </w:rPr>
        <w:t>exposition nationaux admis. En outre, l</w:t>
      </w:r>
      <w:r>
        <w:rPr>
          <w:b/>
          <w:u w:val="single"/>
          <w:lang w:val="fr-FR"/>
        </w:rPr>
        <w:t>’</w:t>
      </w:r>
      <w:r w:rsidRPr="00D97E64">
        <w:rPr>
          <w:b/>
          <w:u w:val="single"/>
          <w:lang w:val="fr-FR"/>
        </w:rPr>
        <w:t>utilisation d</w:t>
      </w:r>
      <w:r>
        <w:rPr>
          <w:b/>
          <w:u w:val="single"/>
          <w:lang w:val="fr-FR"/>
        </w:rPr>
        <w:t>’</w:t>
      </w:r>
      <w:r w:rsidRPr="00D97E64">
        <w:rPr>
          <w:b/>
          <w:u w:val="single"/>
          <w:lang w:val="fr-FR"/>
        </w:rPr>
        <w:t>un coupe-flammes n</w:t>
      </w:r>
      <w:r>
        <w:rPr>
          <w:b/>
          <w:u w:val="single"/>
          <w:lang w:val="fr-FR"/>
        </w:rPr>
        <w:t>’</w:t>
      </w:r>
      <w:r w:rsidRPr="00D97E64">
        <w:rPr>
          <w:b/>
          <w:u w:val="single"/>
          <w:lang w:val="fr-FR"/>
        </w:rPr>
        <w:t>est pas obligatoire.</w:t>
      </w:r>
      <w:r w:rsidRPr="00D97E64">
        <w:rPr>
          <w:lang w:val="fr-FR"/>
        </w:rPr>
        <w:t xml:space="preserve"> </w:t>
      </w:r>
    </w:p>
    <w:p w:rsidR="003022F8" w:rsidRPr="00D97E64" w:rsidRDefault="003022F8" w:rsidP="003022F8">
      <w:pPr>
        <w:pStyle w:val="SingleTxtG"/>
        <w:spacing w:before="120" w:after="240" w:line="240" w:lineRule="exact"/>
        <w:ind w:left="2251"/>
        <w:rPr>
          <w:b/>
          <w:bCs/>
          <w:szCs w:val="18"/>
          <w:u w:val="single"/>
          <w:lang w:val="fr-FR"/>
        </w:rPr>
      </w:pPr>
      <w:r w:rsidRPr="00D97E64">
        <w:rPr>
          <w:b/>
          <w:bCs/>
          <w:szCs w:val="18"/>
          <w:u w:val="single"/>
          <w:lang w:val="fr-FR"/>
        </w:rPr>
        <w:t>Le dégazage est toutefois interdit dans les zones d</w:t>
      </w:r>
      <w:r>
        <w:rPr>
          <w:b/>
          <w:bCs/>
          <w:szCs w:val="18"/>
          <w:u w:val="single"/>
          <w:lang w:val="fr-FR"/>
        </w:rPr>
        <w:t>’</w:t>
      </w:r>
      <w:r w:rsidRPr="00D97E64">
        <w:rPr>
          <w:b/>
          <w:bCs/>
          <w:szCs w:val="18"/>
          <w:u w:val="single"/>
          <w:lang w:val="fr-FR"/>
        </w:rPr>
        <w:t>écluses, y compris leurs garages, sous les ponts ou dans des zones à forte densité de population.</w:t>
      </w:r>
    </w:p>
    <w:p w:rsidR="003022F8" w:rsidRPr="00D97E64" w:rsidRDefault="003022F8" w:rsidP="00D2419D">
      <w:pPr>
        <w:pStyle w:val="SingleTxtG"/>
        <w:ind w:left="2268" w:hanging="1134"/>
        <w:rPr>
          <w:szCs w:val="18"/>
          <w:lang w:val="fr-FR"/>
        </w:rPr>
      </w:pPr>
      <w:r w:rsidRPr="00D97E64">
        <w:rPr>
          <w:szCs w:val="18"/>
          <w:lang w:val="fr-FR"/>
        </w:rPr>
        <w:t>7.2.3.7.</w:t>
      </w:r>
      <w:r w:rsidRPr="00D97E64">
        <w:rPr>
          <w:b/>
          <w:szCs w:val="18"/>
          <w:u w:val="single"/>
          <w:lang w:val="fr-FR"/>
        </w:rPr>
        <w:t>1.</w:t>
      </w:r>
      <w:r w:rsidRPr="00D97E64">
        <w:rPr>
          <w:szCs w:val="18"/>
          <w:lang w:val="fr-FR"/>
        </w:rPr>
        <w:t>4</w:t>
      </w:r>
      <w:r w:rsidRPr="00D97E64">
        <w:rPr>
          <w:szCs w:val="18"/>
          <w:lang w:val="fr-FR"/>
        </w:rPr>
        <w:tab/>
      </w:r>
      <w:r w:rsidRPr="00D97E64">
        <w:rPr>
          <w:lang w:val="fr-FR"/>
        </w:rPr>
        <w:t>Les opérations de dégazage doivent être interrompues en cas d</w:t>
      </w:r>
      <w:r>
        <w:rPr>
          <w:lang w:val="fr-FR"/>
        </w:rPr>
        <w:t>’</w:t>
      </w:r>
      <w:r w:rsidRPr="00D97E64">
        <w:rPr>
          <w:lang w:val="fr-FR"/>
        </w:rPr>
        <w:t xml:space="preserve">orage ou lorsque, à cause de vents défavorables, des concentrations dangereuses de gaz </w:t>
      </w:r>
      <w:r w:rsidRPr="00D97E64">
        <w:rPr>
          <w:b/>
          <w:u w:val="single"/>
          <w:lang w:val="fr-FR"/>
        </w:rPr>
        <w:t>et de vapeurs inflammables ou toxiques</w:t>
      </w:r>
      <w:r w:rsidRPr="00D97E64">
        <w:rPr>
          <w:lang w:val="fr-FR"/>
        </w:rPr>
        <w:t xml:space="preserve"> sont à craindre en dehors de la zone de cargaison devant les logements, la timonerie ou </w:t>
      </w:r>
      <w:r>
        <w:rPr>
          <w:lang w:val="fr-FR"/>
        </w:rPr>
        <w:t>l</w:t>
      </w:r>
      <w:r w:rsidRPr="00D97E64">
        <w:rPr>
          <w:lang w:val="fr-FR"/>
        </w:rPr>
        <w:t>es locaux de service. L</w:t>
      </w:r>
      <w:r>
        <w:rPr>
          <w:lang w:val="fr-FR"/>
        </w:rPr>
        <w:t>’</w:t>
      </w:r>
      <w:r w:rsidRPr="00D97E64">
        <w:rPr>
          <w:lang w:val="fr-FR"/>
        </w:rPr>
        <w:t xml:space="preserve">état critique est atteint dès que, par des mesures au moyen </w:t>
      </w:r>
      <w:r w:rsidRPr="00D97E64">
        <w:rPr>
          <w:strike/>
          <w:lang w:val="fr-FR"/>
        </w:rPr>
        <w:t>d</w:t>
      </w:r>
      <w:r>
        <w:rPr>
          <w:strike/>
          <w:lang w:val="fr-FR"/>
        </w:rPr>
        <w:t>’</w:t>
      </w:r>
      <w:r w:rsidRPr="00D97E64">
        <w:rPr>
          <w:strike/>
          <w:lang w:val="fr-FR"/>
        </w:rPr>
        <w:t>instruments</w:t>
      </w:r>
      <w:r w:rsidRPr="00D97E64">
        <w:rPr>
          <w:lang w:val="fr-FR"/>
        </w:rPr>
        <w:t xml:space="preserve"> </w:t>
      </w:r>
      <w:r w:rsidRPr="00D97E64">
        <w:rPr>
          <w:b/>
          <w:u w:val="single"/>
          <w:lang w:val="fr-FR"/>
        </w:rPr>
        <w:t>de dispositifs de mesure</w:t>
      </w:r>
      <w:r w:rsidRPr="00D97E64">
        <w:rPr>
          <w:lang w:val="fr-FR"/>
        </w:rPr>
        <w:t xml:space="preserve"> portables, des concentrations de </w:t>
      </w:r>
      <w:r w:rsidRPr="00D97E64">
        <w:rPr>
          <w:b/>
          <w:u w:val="single"/>
          <w:lang w:val="fr-FR"/>
        </w:rPr>
        <w:t xml:space="preserve">gaz et de vapeurs inflammables provenant </w:t>
      </w:r>
      <w:proofErr w:type="gramStart"/>
      <w:r w:rsidRPr="00D97E64">
        <w:rPr>
          <w:b/>
          <w:u w:val="single"/>
          <w:lang w:val="fr-FR"/>
        </w:rPr>
        <w:t>de la cargaison</w:t>
      </w:r>
      <w:r w:rsidRPr="00D97E64">
        <w:rPr>
          <w:lang w:val="fr-FR"/>
        </w:rPr>
        <w:t xml:space="preserve"> supérieures</w:t>
      </w:r>
      <w:proofErr w:type="gramEnd"/>
      <w:r w:rsidRPr="00D97E64">
        <w:rPr>
          <w:lang w:val="fr-FR"/>
        </w:rPr>
        <w:t xml:space="preserve"> à 20 % de la </w:t>
      </w:r>
      <w:r w:rsidRPr="00D97E64">
        <w:rPr>
          <w:strike/>
          <w:lang w:val="fr-FR"/>
        </w:rPr>
        <w:t>limite inférieure d</w:t>
      </w:r>
      <w:r>
        <w:rPr>
          <w:strike/>
          <w:lang w:val="fr-FR"/>
        </w:rPr>
        <w:t>’</w:t>
      </w:r>
      <w:r w:rsidRPr="00D97E64">
        <w:rPr>
          <w:strike/>
          <w:lang w:val="fr-FR"/>
        </w:rPr>
        <w:t>explosivité</w:t>
      </w:r>
      <w:r w:rsidRPr="00D97E64">
        <w:rPr>
          <w:lang w:val="fr-FR"/>
        </w:rPr>
        <w:t xml:space="preserve"> </w:t>
      </w:r>
      <w:r w:rsidRPr="00D97E64">
        <w:rPr>
          <w:b/>
          <w:u w:val="single"/>
          <w:lang w:val="fr-FR"/>
        </w:rPr>
        <w:t>LIE</w:t>
      </w:r>
      <w:r w:rsidRPr="00D97E64">
        <w:rPr>
          <w:b/>
          <w:lang w:val="fr-FR"/>
        </w:rPr>
        <w:t xml:space="preserve"> </w:t>
      </w:r>
      <w:r w:rsidRPr="00D97E64">
        <w:rPr>
          <w:b/>
          <w:u w:val="single"/>
          <w:lang w:val="fr-FR"/>
        </w:rPr>
        <w:t>ou des concentrations de gaz et de vapeurs toxiques supérieures aux niveaux d</w:t>
      </w:r>
      <w:r>
        <w:rPr>
          <w:b/>
          <w:u w:val="single"/>
          <w:lang w:val="fr-FR"/>
        </w:rPr>
        <w:t>’</w:t>
      </w:r>
      <w:r w:rsidRPr="00D97E64">
        <w:rPr>
          <w:b/>
          <w:u w:val="single"/>
          <w:lang w:val="fr-FR"/>
        </w:rPr>
        <w:t xml:space="preserve">exposition nationaux admis </w:t>
      </w:r>
      <w:r w:rsidRPr="00D97E64">
        <w:rPr>
          <w:lang w:val="fr-FR"/>
        </w:rPr>
        <w:t>ont été constatées dans ces zones.</w:t>
      </w:r>
    </w:p>
    <w:p w:rsidR="003022F8" w:rsidRPr="00D97E64" w:rsidRDefault="003022F8" w:rsidP="003022F8">
      <w:pPr>
        <w:pStyle w:val="SingleTxtG"/>
        <w:spacing w:before="120" w:after="240" w:line="240" w:lineRule="exact"/>
        <w:ind w:left="2251" w:hanging="1117"/>
        <w:rPr>
          <w:b/>
          <w:bCs/>
          <w:szCs w:val="18"/>
          <w:u w:val="single"/>
          <w:lang w:val="fr-FR"/>
        </w:rPr>
      </w:pPr>
      <w:r w:rsidRPr="00D97E64">
        <w:rPr>
          <w:szCs w:val="18"/>
          <w:lang w:val="fr-FR"/>
        </w:rPr>
        <w:t>7.2.3.7.</w:t>
      </w:r>
      <w:r w:rsidRPr="00D97E64">
        <w:rPr>
          <w:b/>
          <w:szCs w:val="18"/>
          <w:u w:val="single"/>
          <w:lang w:val="fr-FR"/>
        </w:rPr>
        <w:t>1.</w:t>
      </w:r>
      <w:r w:rsidRPr="00D97E64">
        <w:rPr>
          <w:szCs w:val="18"/>
          <w:lang w:val="fr-FR"/>
        </w:rPr>
        <w:t>5</w:t>
      </w:r>
      <w:r w:rsidRPr="00D97E64">
        <w:rPr>
          <w:szCs w:val="18"/>
          <w:lang w:val="fr-FR"/>
        </w:rPr>
        <w:tab/>
      </w:r>
      <w:r w:rsidRPr="00D97E64">
        <w:rPr>
          <w:lang w:val="fr-FR"/>
        </w:rPr>
        <w:t xml:space="preserve">La signalisation prescrite </w:t>
      </w:r>
      <w:r w:rsidRPr="00D97E64">
        <w:rPr>
          <w:b/>
          <w:u w:val="single"/>
          <w:lang w:val="fr-FR"/>
        </w:rPr>
        <w:t>au 7.2.5.0.1</w:t>
      </w:r>
      <w:r w:rsidRPr="00D97E64">
        <w:rPr>
          <w:lang w:val="fr-FR"/>
        </w:rPr>
        <w:t xml:space="preserve"> </w:t>
      </w:r>
      <w:r w:rsidRPr="00D97E64">
        <w:rPr>
          <w:strike/>
          <w:lang w:val="fr-FR"/>
        </w:rPr>
        <w:t>à la colonne (19) du tableau C du chapitre 3.2</w:t>
      </w:r>
      <w:r w:rsidRPr="00D97E64">
        <w:rPr>
          <w:lang w:val="fr-FR"/>
        </w:rPr>
        <w:t xml:space="preserve"> peut être retirée </w:t>
      </w:r>
      <w:r w:rsidRPr="00D97E64">
        <w:rPr>
          <w:strike/>
          <w:lang w:val="fr-FR"/>
        </w:rPr>
        <w:t>par le</w:t>
      </w:r>
      <w:r w:rsidRPr="00D97E64">
        <w:rPr>
          <w:lang w:val="fr-FR"/>
        </w:rPr>
        <w:t xml:space="preserve"> </w:t>
      </w:r>
      <w:r w:rsidRPr="00D97E64">
        <w:rPr>
          <w:b/>
          <w:u w:val="single"/>
          <w:lang w:val="fr-FR"/>
        </w:rPr>
        <w:t>sur ordre du</w:t>
      </w:r>
      <w:r w:rsidRPr="00D97E64">
        <w:rPr>
          <w:lang w:val="fr-FR"/>
        </w:rPr>
        <w:t xml:space="preserve"> conducteur lorsque, après dégazage des citernes à cargaison, il a été constaté au moyen des appareils visés à la colonne (18) du tableau C du chapitre 3.2 que les citernes à cargaison ne contiennent plus de gaz </w:t>
      </w:r>
      <w:r w:rsidRPr="00D97E64">
        <w:rPr>
          <w:b/>
          <w:u w:val="single"/>
          <w:lang w:val="fr-FR"/>
        </w:rPr>
        <w:t>et de vapeurs</w:t>
      </w:r>
      <w:r w:rsidRPr="00D97E64">
        <w:rPr>
          <w:lang w:val="fr-FR"/>
        </w:rPr>
        <w:t xml:space="preserve"> inflammables à une concentration supérieure à 20 % de la </w:t>
      </w:r>
      <w:r w:rsidRPr="00D97E64">
        <w:rPr>
          <w:strike/>
          <w:lang w:val="fr-FR"/>
        </w:rPr>
        <w:t>limite inférieure d</w:t>
      </w:r>
      <w:r>
        <w:rPr>
          <w:strike/>
          <w:lang w:val="fr-FR"/>
        </w:rPr>
        <w:t>’</w:t>
      </w:r>
      <w:r w:rsidRPr="00D97E64">
        <w:rPr>
          <w:strike/>
          <w:lang w:val="fr-FR"/>
        </w:rPr>
        <w:t>explosivité</w:t>
      </w:r>
      <w:r w:rsidRPr="00D97E64">
        <w:rPr>
          <w:lang w:val="fr-FR"/>
        </w:rPr>
        <w:t xml:space="preserve"> </w:t>
      </w:r>
      <w:r w:rsidRPr="00D97E64">
        <w:rPr>
          <w:b/>
          <w:u w:val="single"/>
          <w:lang w:val="fr-FR"/>
        </w:rPr>
        <w:t>LIE</w:t>
      </w:r>
      <w:r w:rsidRPr="00D97E64">
        <w:rPr>
          <w:lang w:val="fr-FR"/>
        </w:rPr>
        <w:t xml:space="preserve"> ni </w:t>
      </w:r>
      <w:r w:rsidRPr="00D97E64">
        <w:rPr>
          <w:strike/>
          <w:lang w:val="fr-FR"/>
        </w:rPr>
        <w:t>de</w:t>
      </w:r>
      <w:r w:rsidRPr="00D97E64">
        <w:rPr>
          <w:lang w:val="fr-FR"/>
        </w:rPr>
        <w:t xml:space="preserve"> </w:t>
      </w:r>
      <w:r w:rsidRPr="00D97E64">
        <w:rPr>
          <w:b/>
          <w:u w:val="single"/>
          <w:lang w:val="fr-FR"/>
        </w:rPr>
        <w:t>une</w:t>
      </w:r>
      <w:r w:rsidRPr="00D97E64">
        <w:rPr>
          <w:lang w:val="fr-FR"/>
        </w:rPr>
        <w:t xml:space="preserve"> concentration </w:t>
      </w:r>
      <w:r w:rsidRPr="00D97E64">
        <w:rPr>
          <w:strike/>
          <w:lang w:val="fr-FR"/>
        </w:rPr>
        <w:t>significative</w:t>
      </w:r>
      <w:r w:rsidRPr="00D97E64">
        <w:rPr>
          <w:lang w:val="fr-FR"/>
        </w:rPr>
        <w:t xml:space="preserve"> de gaz et </w:t>
      </w:r>
      <w:r w:rsidRPr="00D97E64">
        <w:rPr>
          <w:b/>
          <w:u w:val="single"/>
          <w:lang w:val="fr-FR"/>
        </w:rPr>
        <w:t>de vapeurs</w:t>
      </w:r>
      <w:r w:rsidRPr="00D97E64">
        <w:rPr>
          <w:lang w:val="fr-FR"/>
        </w:rPr>
        <w:t xml:space="preserve"> toxiques </w:t>
      </w:r>
      <w:r w:rsidRPr="00D97E64">
        <w:rPr>
          <w:b/>
          <w:u w:val="single"/>
          <w:lang w:val="fr-FR"/>
        </w:rPr>
        <w:t>supérieure aux niveaux d</w:t>
      </w:r>
      <w:r>
        <w:rPr>
          <w:b/>
          <w:u w:val="single"/>
          <w:lang w:val="fr-FR"/>
        </w:rPr>
        <w:t>’</w:t>
      </w:r>
      <w:r w:rsidRPr="00D97E64">
        <w:rPr>
          <w:b/>
          <w:u w:val="single"/>
          <w:lang w:val="fr-FR"/>
        </w:rPr>
        <w:t>exposition nationaux admis</w:t>
      </w:r>
      <w:r w:rsidRPr="00D97E64">
        <w:rPr>
          <w:lang w:val="fr-FR"/>
        </w:rPr>
        <w:t xml:space="preserve">. </w:t>
      </w:r>
      <w:r w:rsidRPr="00D97E64">
        <w:rPr>
          <w:b/>
          <w:bCs/>
          <w:u w:val="single"/>
          <w:lang w:val="fr-FR"/>
        </w:rPr>
        <w:t>Les résultats des mesures doivent être consignés par écrit.</w:t>
      </w:r>
    </w:p>
    <w:p w:rsidR="003022F8" w:rsidRPr="00D97E64" w:rsidRDefault="003022F8" w:rsidP="00D2419D">
      <w:pPr>
        <w:pStyle w:val="SingleTxtG"/>
        <w:ind w:left="2268" w:hanging="1134"/>
        <w:rPr>
          <w:szCs w:val="18"/>
          <w:lang w:val="fr-FR"/>
        </w:rPr>
      </w:pPr>
      <w:r w:rsidRPr="00D97E64">
        <w:rPr>
          <w:lang w:val="fr-FR"/>
        </w:rPr>
        <w:t>7.2.3.7.</w:t>
      </w:r>
      <w:r w:rsidRPr="00D97E64">
        <w:rPr>
          <w:b/>
          <w:u w:val="single"/>
          <w:lang w:val="fr-FR"/>
        </w:rPr>
        <w:t>1.</w:t>
      </w:r>
      <w:r w:rsidRPr="00D97E64">
        <w:rPr>
          <w:lang w:val="fr-FR"/>
        </w:rPr>
        <w:t>6</w:t>
      </w:r>
      <w:r w:rsidRPr="00D97E64">
        <w:rPr>
          <w:lang w:val="fr-FR"/>
        </w:rPr>
        <w:tab/>
        <w:t xml:space="preserve">Avant de prendre les mesures qui pourraient entraîner les dangers décrits dans la section 8.3.5, il convient de </w:t>
      </w:r>
      <w:r w:rsidRPr="00D97E64">
        <w:rPr>
          <w:strike/>
          <w:lang w:val="fr-FR"/>
        </w:rPr>
        <w:t>nettoyer et de</w:t>
      </w:r>
      <w:r w:rsidRPr="00D97E64">
        <w:rPr>
          <w:lang w:val="fr-FR"/>
        </w:rPr>
        <w:t xml:space="preserve"> dégazer </w:t>
      </w:r>
      <w:r w:rsidRPr="00D97E64">
        <w:rPr>
          <w:b/>
          <w:u w:val="single"/>
          <w:lang w:val="fr-FR"/>
        </w:rPr>
        <w:t>toutes</w:t>
      </w:r>
      <w:r w:rsidRPr="00D97E64">
        <w:rPr>
          <w:lang w:val="fr-FR"/>
        </w:rPr>
        <w:t xml:space="preserve"> les citernes à cargaison et les tuyauteries de la zone de cargaison. </w:t>
      </w:r>
      <w:r w:rsidRPr="00D97E64">
        <w:rPr>
          <w:strike/>
          <w:lang w:val="fr-FR"/>
        </w:rPr>
        <w:t>Le résultat du dégazage</w:t>
      </w:r>
      <w:r w:rsidRPr="00D97E64">
        <w:rPr>
          <w:lang w:val="fr-FR"/>
        </w:rPr>
        <w:t xml:space="preserve"> </w:t>
      </w:r>
      <w:r w:rsidRPr="00D97E64">
        <w:rPr>
          <w:b/>
          <w:u w:val="single"/>
          <w:lang w:val="fr-FR"/>
        </w:rPr>
        <w:t>Cette opération</w:t>
      </w:r>
      <w:r w:rsidRPr="00D97E64">
        <w:rPr>
          <w:lang w:val="fr-FR"/>
        </w:rPr>
        <w:t xml:space="preserve"> doit être consigné</w:t>
      </w:r>
      <w:r w:rsidRPr="005C7424">
        <w:rPr>
          <w:b/>
          <w:lang w:val="fr-FR"/>
        </w:rPr>
        <w:t>e</w:t>
      </w:r>
      <w:r w:rsidRPr="00D97E64">
        <w:rPr>
          <w:lang w:val="fr-FR"/>
        </w:rPr>
        <w:t xml:space="preserve"> dans un certificat attestant l</w:t>
      </w:r>
      <w:r>
        <w:rPr>
          <w:lang w:val="fr-FR"/>
        </w:rPr>
        <w:t>’</w:t>
      </w:r>
      <w:r w:rsidRPr="00D97E64">
        <w:rPr>
          <w:lang w:val="fr-FR"/>
        </w:rPr>
        <w:t>absence de gaz</w:t>
      </w:r>
      <w:r w:rsidRPr="00D97E64">
        <w:rPr>
          <w:b/>
          <w:u w:val="single"/>
          <w:lang w:val="fr-FR"/>
        </w:rPr>
        <w:t>, en cours de validité le jour où les travaux commencent</w:t>
      </w:r>
      <w:r w:rsidRPr="00D97E64">
        <w:rPr>
          <w:lang w:val="fr-FR"/>
        </w:rPr>
        <w:t>. La condition d</w:t>
      </w:r>
      <w:r>
        <w:rPr>
          <w:lang w:val="fr-FR"/>
        </w:rPr>
        <w:t>’</w:t>
      </w:r>
      <w:r w:rsidRPr="00D97E64">
        <w:rPr>
          <w:lang w:val="fr-FR"/>
        </w:rPr>
        <w:t>absence de gaz ne peut être déclarée et certifiée que par une personne agréée par l</w:t>
      </w:r>
      <w:r>
        <w:rPr>
          <w:lang w:val="fr-FR"/>
        </w:rPr>
        <w:t>’</w:t>
      </w:r>
      <w:r w:rsidRPr="00D97E64">
        <w:rPr>
          <w:lang w:val="fr-FR"/>
        </w:rPr>
        <w:t>autorité compétente.</w:t>
      </w:r>
      <w:r w:rsidRPr="00D97E64">
        <w:rPr>
          <w:szCs w:val="18"/>
          <w:lang w:val="fr-FR"/>
        </w:rPr>
        <w:t xml:space="preserve"> </w:t>
      </w:r>
    </w:p>
    <w:p w:rsidR="003022F8" w:rsidRPr="00D97E64" w:rsidRDefault="003022F8" w:rsidP="00D2419D">
      <w:pPr>
        <w:pStyle w:val="SingleTxtG"/>
        <w:ind w:left="2268" w:hanging="1134"/>
        <w:rPr>
          <w:b/>
          <w:szCs w:val="18"/>
          <w:u w:val="single"/>
          <w:lang w:val="fr-FR"/>
        </w:rPr>
      </w:pPr>
      <w:r w:rsidRPr="00D97E64">
        <w:rPr>
          <w:b/>
          <w:szCs w:val="18"/>
          <w:u w:val="single"/>
          <w:lang w:val="fr-FR"/>
        </w:rPr>
        <w:t>7.2.3.7.2</w:t>
      </w:r>
      <w:r w:rsidRPr="00D97E64">
        <w:rPr>
          <w:b/>
          <w:szCs w:val="18"/>
          <w:lang w:val="fr-FR"/>
        </w:rPr>
        <w:tab/>
      </w:r>
      <w:r w:rsidRPr="00D97E64">
        <w:rPr>
          <w:rStyle w:val="SingleTxtGChar"/>
          <w:b/>
          <w:u w:val="single"/>
          <w:lang w:val="fr-FR"/>
        </w:rPr>
        <w:t>Dégazage de</w:t>
      </w:r>
      <w:r>
        <w:rPr>
          <w:rStyle w:val="SingleTxtGChar"/>
          <w:b/>
          <w:u w:val="single"/>
          <w:lang w:val="fr-FR"/>
        </w:rPr>
        <w:t>s</w:t>
      </w:r>
      <w:r w:rsidRPr="00D97E64">
        <w:rPr>
          <w:rStyle w:val="SingleTxtGChar"/>
          <w:b/>
          <w:u w:val="single"/>
          <w:lang w:val="fr-FR"/>
        </w:rPr>
        <w:t xml:space="preserve"> citernes à cargaison vides ou déchargées et des </w:t>
      </w:r>
      <w:r w:rsidRPr="001F23B7">
        <w:rPr>
          <w:rStyle w:val="SingleTxtGChar"/>
          <w:b/>
          <w:u w:val="single"/>
          <w:lang w:val="fr-FR"/>
        </w:rPr>
        <w:t>tuyauteries de</w:t>
      </w:r>
      <w:r w:rsidRPr="00D97E64">
        <w:rPr>
          <w:rStyle w:val="SingleTxtGChar"/>
          <w:b/>
          <w:u w:val="single"/>
          <w:lang w:val="fr-FR"/>
        </w:rPr>
        <w:t xml:space="preserve"> chargement</w:t>
      </w:r>
      <w:r w:rsidRPr="00D97E64">
        <w:rPr>
          <w:rStyle w:val="SingleTxtGChar"/>
          <w:u w:val="single"/>
          <w:lang w:val="fr-FR"/>
        </w:rPr>
        <w:t xml:space="preserve"> </w:t>
      </w:r>
      <w:r w:rsidRPr="00D97E64">
        <w:rPr>
          <w:rStyle w:val="SingleTxtGChar"/>
          <w:b/>
          <w:u w:val="single"/>
          <w:lang w:val="fr-FR"/>
        </w:rPr>
        <w:t>et de déchargement dans des stations de réception</w:t>
      </w:r>
    </w:p>
    <w:p w:rsidR="003022F8" w:rsidRPr="00D97E64" w:rsidRDefault="003022F8" w:rsidP="00D2419D">
      <w:pPr>
        <w:pStyle w:val="SingleTxtG"/>
        <w:ind w:left="2268" w:hanging="1134"/>
        <w:rPr>
          <w:b/>
          <w:szCs w:val="18"/>
          <w:u w:val="single"/>
          <w:lang w:val="fr-FR"/>
        </w:rPr>
      </w:pPr>
      <w:r w:rsidRPr="00D97E64">
        <w:rPr>
          <w:b/>
          <w:szCs w:val="18"/>
          <w:u w:val="single"/>
          <w:lang w:val="fr-FR"/>
        </w:rPr>
        <w:t>7.2.3.7.2.1</w:t>
      </w:r>
      <w:r w:rsidRPr="00D97E64">
        <w:rPr>
          <w:b/>
          <w:szCs w:val="18"/>
          <w:lang w:val="fr-FR"/>
        </w:rPr>
        <w:tab/>
      </w:r>
      <w:r w:rsidRPr="00D97E64">
        <w:rPr>
          <w:b/>
          <w:szCs w:val="18"/>
          <w:u w:val="single"/>
          <w:lang w:val="fr-FR"/>
        </w:rPr>
        <w:t xml:space="preserve">Les citernes à cargaison vides ou déchargées ne peuvent être dégazées que par un expert conformément </w:t>
      </w:r>
      <w:r>
        <w:rPr>
          <w:b/>
          <w:szCs w:val="18"/>
          <w:u w:val="single"/>
          <w:lang w:val="fr-FR"/>
        </w:rPr>
        <w:t>au</w:t>
      </w:r>
      <w:r w:rsidRPr="00D97E64">
        <w:rPr>
          <w:b/>
          <w:szCs w:val="18"/>
          <w:u w:val="single"/>
          <w:lang w:val="fr-FR"/>
        </w:rPr>
        <w:t xml:space="preserve"> 8.2.1.2. Si la législation internationale ou nationale l</w:t>
      </w:r>
      <w:r>
        <w:rPr>
          <w:b/>
          <w:szCs w:val="18"/>
          <w:u w:val="single"/>
          <w:lang w:val="fr-FR"/>
        </w:rPr>
        <w:t>’</w:t>
      </w:r>
      <w:r w:rsidRPr="00D97E64">
        <w:rPr>
          <w:b/>
          <w:szCs w:val="18"/>
          <w:u w:val="single"/>
          <w:lang w:val="fr-FR"/>
        </w:rPr>
        <w:t>exige, le dégazage sera effectué seulement aux emp</w:t>
      </w:r>
      <w:r>
        <w:rPr>
          <w:b/>
          <w:szCs w:val="18"/>
          <w:u w:val="single"/>
          <w:lang w:val="fr-FR"/>
        </w:rPr>
        <w:t>l</w:t>
      </w:r>
      <w:r w:rsidRPr="00D97E64">
        <w:rPr>
          <w:b/>
          <w:szCs w:val="18"/>
          <w:u w:val="single"/>
          <w:lang w:val="fr-FR"/>
        </w:rPr>
        <w:t>acements agréés par l</w:t>
      </w:r>
      <w:r>
        <w:rPr>
          <w:b/>
          <w:szCs w:val="18"/>
          <w:u w:val="single"/>
          <w:lang w:val="fr-FR"/>
        </w:rPr>
        <w:t>’</w:t>
      </w:r>
      <w:r w:rsidRPr="00D97E64">
        <w:rPr>
          <w:b/>
          <w:szCs w:val="18"/>
          <w:u w:val="single"/>
          <w:lang w:val="fr-FR"/>
        </w:rPr>
        <w:t>autorité compétente. Le dégazage dans une station de réception mobile pendant que le bateau fait route est interdit. Le dégazage dans une station de réception mobile est interdit pendant qu</w:t>
      </w:r>
      <w:r>
        <w:rPr>
          <w:b/>
          <w:szCs w:val="18"/>
          <w:u w:val="single"/>
          <w:lang w:val="fr-FR"/>
        </w:rPr>
        <w:t>’</w:t>
      </w:r>
      <w:r w:rsidRPr="00D97E64">
        <w:rPr>
          <w:b/>
          <w:szCs w:val="18"/>
          <w:u w:val="single"/>
          <w:lang w:val="fr-FR"/>
        </w:rPr>
        <w:t xml:space="preserve">un autre bateau dégaze dans la même station. Le dégazage dans une station de réception mobile </w:t>
      </w:r>
      <w:r>
        <w:rPr>
          <w:b/>
          <w:szCs w:val="18"/>
          <w:u w:val="single"/>
          <w:lang w:val="fr-FR"/>
        </w:rPr>
        <w:t xml:space="preserve">montée </w:t>
      </w:r>
      <w:r w:rsidRPr="00D97E64">
        <w:rPr>
          <w:b/>
          <w:szCs w:val="18"/>
          <w:u w:val="single"/>
          <w:lang w:val="fr-FR"/>
        </w:rPr>
        <w:t>à bord est interdit.</w:t>
      </w:r>
    </w:p>
    <w:p w:rsidR="003022F8" w:rsidRPr="00D97E64" w:rsidRDefault="003022F8" w:rsidP="00D2419D">
      <w:pPr>
        <w:pStyle w:val="SingleTxtG"/>
        <w:ind w:left="2268" w:hanging="1134"/>
        <w:rPr>
          <w:b/>
          <w:szCs w:val="18"/>
          <w:u w:val="single"/>
          <w:lang w:val="fr-FR"/>
        </w:rPr>
      </w:pPr>
      <w:r w:rsidRPr="00D97E64">
        <w:rPr>
          <w:b/>
          <w:szCs w:val="18"/>
          <w:u w:val="single"/>
          <w:lang w:val="fr-FR"/>
        </w:rPr>
        <w:t>7.2.3.7.2.2</w:t>
      </w:r>
      <w:r w:rsidRPr="00D97E64">
        <w:rPr>
          <w:b/>
          <w:szCs w:val="18"/>
          <w:lang w:val="fr-FR"/>
        </w:rPr>
        <w:tab/>
      </w:r>
      <w:r w:rsidRPr="00D97E64">
        <w:rPr>
          <w:b/>
          <w:szCs w:val="18"/>
          <w:u w:val="single"/>
          <w:lang w:val="fr-FR"/>
        </w:rPr>
        <w:t xml:space="preserve">Avant </w:t>
      </w:r>
      <w:r>
        <w:rPr>
          <w:b/>
          <w:szCs w:val="18"/>
          <w:u w:val="single"/>
          <w:lang w:val="fr-FR"/>
        </w:rPr>
        <w:t>d’être dégazé</w:t>
      </w:r>
      <w:r w:rsidRPr="00D97E64">
        <w:rPr>
          <w:b/>
          <w:szCs w:val="18"/>
          <w:u w:val="single"/>
          <w:lang w:val="fr-FR"/>
        </w:rPr>
        <w:t>, le bateau doit être mis à la masse. Le conducteur du bateau dégazant</w:t>
      </w:r>
      <w:r>
        <w:rPr>
          <w:b/>
          <w:szCs w:val="18"/>
          <w:u w:val="single"/>
          <w:lang w:val="fr-FR"/>
        </w:rPr>
        <w:t>,</w:t>
      </w:r>
      <w:r w:rsidRPr="00D97E64">
        <w:rPr>
          <w:b/>
          <w:szCs w:val="18"/>
          <w:u w:val="single"/>
          <w:lang w:val="fr-FR"/>
        </w:rPr>
        <w:t xml:space="preserve"> ou l</w:t>
      </w:r>
      <w:r>
        <w:rPr>
          <w:b/>
          <w:szCs w:val="18"/>
          <w:u w:val="single"/>
          <w:lang w:val="fr-FR"/>
        </w:rPr>
        <w:t>’</w:t>
      </w:r>
      <w:r w:rsidRPr="00D97E64">
        <w:rPr>
          <w:b/>
          <w:szCs w:val="18"/>
          <w:u w:val="single"/>
          <w:lang w:val="fr-FR"/>
        </w:rPr>
        <w:t>expert au sens du 8.2.1.2 qu</w:t>
      </w:r>
      <w:r>
        <w:rPr>
          <w:b/>
          <w:szCs w:val="18"/>
          <w:u w:val="single"/>
          <w:lang w:val="fr-FR"/>
        </w:rPr>
        <w:t>’</w:t>
      </w:r>
      <w:r w:rsidRPr="00D97E64">
        <w:rPr>
          <w:b/>
          <w:szCs w:val="18"/>
          <w:u w:val="single"/>
          <w:lang w:val="fr-FR"/>
        </w:rPr>
        <w:t>il a mandaté</w:t>
      </w:r>
      <w:r>
        <w:rPr>
          <w:b/>
          <w:szCs w:val="18"/>
          <w:u w:val="single"/>
          <w:lang w:val="fr-FR"/>
        </w:rPr>
        <w:t>,</w:t>
      </w:r>
      <w:r w:rsidRPr="00D97E64">
        <w:rPr>
          <w:b/>
          <w:szCs w:val="18"/>
          <w:u w:val="single"/>
          <w:lang w:val="fr-FR"/>
        </w:rPr>
        <w:t xml:space="preserve"> et l</w:t>
      </w:r>
      <w:r>
        <w:rPr>
          <w:b/>
          <w:szCs w:val="18"/>
          <w:u w:val="single"/>
          <w:lang w:val="fr-FR"/>
        </w:rPr>
        <w:t>’</w:t>
      </w:r>
      <w:r w:rsidRPr="00D97E64">
        <w:rPr>
          <w:b/>
          <w:szCs w:val="18"/>
          <w:u w:val="single"/>
          <w:lang w:val="fr-FR"/>
        </w:rPr>
        <w:t xml:space="preserve">exploitant de la station de réception doivent avoir rempli et signé une liste de contrôle conformément </w:t>
      </w:r>
      <w:r>
        <w:rPr>
          <w:b/>
          <w:szCs w:val="18"/>
          <w:u w:val="single"/>
          <w:lang w:val="fr-FR"/>
        </w:rPr>
        <w:t>à la section</w:t>
      </w:r>
      <w:r w:rsidRPr="00D97E64">
        <w:rPr>
          <w:b/>
          <w:szCs w:val="18"/>
          <w:u w:val="single"/>
          <w:lang w:val="fr-FR"/>
        </w:rPr>
        <w:t xml:space="preserve"> 8.6.4 de l</w:t>
      </w:r>
      <w:r>
        <w:rPr>
          <w:b/>
          <w:szCs w:val="18"/>
          <w:u w:val="single"/>
          <w:lang w:val="fr-FR"/>
        </w:rPr>
        <w:t>’</w:t>
      </w:r>
      <w:r w:rsidRPr="00D97E64">
        <w:rPr>
          <w:b/>
          <w:szCs w:val="18"/>
          <w:u w:val="single"/>
          <w:lang w:val="fr-FR"/>
        </w:rPr>
        <w:t>ADN.</w:t>
      </w:r>
    </w:p>
    <w:p w:rsidR="003022F8" w:rsidRPr="00D97E64" w:rsidRDefault="003022F8" w:rsidP="00C565A2">
      <w:pPr>
        <w:pStyle w:val="SingleTxtG"/>
        <w:ind w:left="2268"/>
        <w:rPr>
          <w:b/>
          <w:szCs w:val="18"/>
          <w:u w:val="single"/>
          <w:lang w:val="fr-FR"/>
        </w:rPr>
      </w:pPr>
      <w:r w:rsidRPr="00D97E64">
        <w:rPr>
          <w:b/>
          <w:szCs w:val="18"/>
          <w:u w:val="single"/>
          <w:lang w:val="fr-FR"/>
        </w:rPr>
        <w:t>La liste de contrôle doit être imprimée au moins dans des langues comprises par le conducteur</w:t>
      </w:r>
      <w:r>
        <w:rPr>
          <w:b/>
          <w:szCs w:val="18"/>
          <w:u w:val="single"/>
          <w:lang w:val="fr-FR"/>
        </w:rPr>
        <w:t>,</w:t>
      </w:r>
      <w:r w:rsidRPr="00D97E64">
        <w:rPr>
          <w:b/>
          <w:szCs w:val="18"/>
          <w:u w:val="single"/>
          <w:lang w:val="fr-FR"/>
        </w:rPr>
        <w:t xml:space="preserve"> ou l</w:t>
      </w:r>
      <w:r>
        <w:rPr>
          <w:b/>
          <w:szCs w:val="18"/>
          <w:u w:val="single"/>
          <w:lang w:val="fr-FR"/>
        </w:rPr>
        <w:t>’</w:t>
      </w:r>
      <w:r w:rsidRPr="00D97E64">
        <w:rPr>
          <w:b/>
          <w:szCs w:val="18"/>
          <w:u w:val="single"/>
          <w:lang w:val="fr-FR"/>
        </w:rPr>
        <w:t>expert</w:t>
      </w:r>
      <w:r>
        <w:rPr>
          <w:b/>
          <w:szCs w:val="18"/>
          <w:u w:val="single"/>
          <w:lang w:val="fr-FR"/>
        </w:rPr>
        <w:t>,</w:t>
      </w:r>
      <w:r w:rsidRPr="00D97E64">
        <w:rPr>
          <w:b/>
          <w:szCs w:val="18"/>
          <w:u w:val="single"/>
          <w:lang w:val="fr-FR"/>
        </w:rPr>
        <w:t xml:space="preserve"> et l</w:t>
      </w:r>
      <w:r>
        <w:rPr>
          <w:b/>
          <w:szCs w:val="18"/>
          <w:u w:val="single"/>
          <w:lang w:val="fr-FR"/>
        </w:rPr>
        <w:t>’</w:t>
      </w:r>
      <w:r w:rsidRPr="00D97E64">
        <w:rPr>
          <w:b/>
          <w:szCs w:val="18"/>
          <w:u w:val="single"/>
          <w:lang w:val="fr-FR"/>
        </w:rPr>
        <w:t xml:space="preserve">exploitant de la station de réception. </w:t>
      </w:r>
    </w:p>
    <w:p w:rsidR="003022F8" w:rsidRPr="00D97E64" w:rsidRDefault="003022F8" w:rsidP="00C565A2">
      <w:pPr>
        <w:pStyle w:val="SingleTxtG"/>
        <w:ind w:left="2268"/>
        <w:rPr>
          <w:b/>
          <w:szCs w:val="18"/>
          <w:u w:val="single"/>
          <w:lang w:val="fr-FR"/>
        </w:rPr>
      </w:pPr>
      <w:r w:rsidRPr="00D97E64">
        <w:rPr>
          <w:b/>
          <w:szCs w:val="18"/>
          <w:u w:val="single"/>
          <w:lang w:val="fr-FR"/>
        </w:rPr>
        <w:t>Si toutes les questions ne peuvent recevoir de réponse positive, le dégazage dans une station de réception n</w:t>
      </w:r>
      <w:r>
        <w:rPr>
          <w:b/>
          <w:szCs w:val="18"/>
          <w:u w:val="single"/>
          <w:lang w:val="fr-FR"/>
        </w:rPr>
        <w:t>’</w:t>
      </w:r>
      <w:r w:rsidRPr="00D97E64">
        <w:rPr>
          <w:b/>
          <w:szCs w:val="18"/>
          <w:u w:val="single"/>
          <w:lang w:val="fr-FR"/>
        </w:rPr>
        <w:t>est autorisé qu</w:t>
      </w:r>
      <w:r>
        <w:rPr>
          <w:b/>
          <w:szCs w:val="18"/>
          <w:u w:val="single"/>
          <w:lang w:val="fr-FR"/>
        </w:rPr>
        <w:t>’</w:t>
      </w:r>
      <w:r w:rsidRPr="00D97E64">
        <w:rPr>
          <w:b/>
          <w:szCs w:val="18"/>
          <w:u w:val="single"/>
          <w:lang w:val="fr-FR"/>
        </w:rPr>
        <w:t>avec l</w:t>
      </w:r>
      <w:r>
        <w:rPr>
          <w:b/>
          <w:szCs w:val="18"/>
          <w:u w:val="single"/>
          <w:lang w:val="fr-FR"/>
        </w:rPr>
        <w:t>’</w:t>
      </w:r>
      <w:r w:rsidRPr="00D97E64">
        <w:rPr>
          <w:b/>
          <w:szCs w:val="18"/>
          <w:u w:val="single"/>
          <w:lang w:val="fr-FR"/>
        </w:rPr>
        <w:t>aval de l</w:t>
      </w:r>
      <w:r>
        <w:rPr>
          <w:b/>
          <w:szCs w:val="18"/>
          <w:u w:val="single"/>
          <w:lang w:val="fr-FR"/>
        </w:rPr>
        <w:t>’</w:t>
      </w:r>
      <w:r w:rsidRPr="00D97E64">
        <w:rPr>
          <w:b/>
          <w:szCs w:val="18"/>
          <w:u w:val="single"/>
          <w:lang w:val="fr-FR"/>
        </w:rPr>
        <w:t xml:space="preserve">autorité compétente. </w:t>
      </w:r>
    </w:p>
    <w:p w:rsidR="003022F8" w:rsidRPr="00D97E64" w:rsidRDefault="003022F8" w:rsidP="00D2419D">
      <w:pPr>
        <w:pStyle w:val="SingleTxtG"/>
        <w:ind w:left="2268" w:hanging="1134"/>
        <w:rPr>
          <w:b/>
          <w:szCs w:val="18"/>
          <w:u w:val="single"/>
          <w:lang w:val="fr-FR"/>
        </w:rPr>
      </w:pPr>
      <w:r w:rsidRPr="00D97E64">
        <w:rPr>
          <w:b/>
          <w:szCs w:val="18"/>
          <w:u w:val="single"/>
          <w:lang w:val="fr-FR"/>
        </w:rPr>
        <w:t>7.2.3.7.2.3</w:t>
      </w:r>
      <w:r w:rsidRPr="00D97E64">
        <w:rPr>
          <w:b/>
          <w:szCs w:val="18"/>
          <w:lang w:val="fr-FR"/>
        </w:rPr>
        <w:tab/>
      </w:r>
      <w:r w:rsidRPr="00D97E64">
        <w:rPr>
          <w:b/>
          <w:szCs w:val="18"/>
          <w:u w:val="single"/>
          <w:lang w:val="fr-FR"/>
        </w:rPr>
        <w:t>Le dégazage dans une station de réception peut être effectué à l</w:t>
      </w:r>
      <w:r>
        <w:rPr>
          <w:b/>
          <w:szCs w:val="18"/>
          <w:u w:val="single"/>
          <w:lang w:val="fr-FR"/>
        </w:rPr>
        <w:t>’</w:t>
      </w:r>
      <w:r w:rsidRPr="00D97E64">
        <w:rPr>
          <w:b/>
          <w:szCs w:val="18"/>
          <w:u w:val="single"/>
          <w:lang w:val="fr-FR"/>
        </w:rPr>
        <w:t xml:space="preserve">aide de </w:t>
      </w:r>
      <w:r>
        <w:rPr>
          <w:b/>
          <w:szCs w:val="18"/>
          <w:u w:val="single"/>
          <w:lang w:val="fr-FR"/>
        </w:rPr>
        <w:t xml:space="preserve">la </w:t>
      </w:r>
      <w:r w:rsidRPr="00D97E64">
        <w:rPr>
          <w:b/>
          <w:szCs w:val="18"/>
          <w:u w:val="single"/>
          <w:lang w:val="fr-FR"/>
        </w:rPr>
        <w:t xml:space="preserve">tuyauterie de chargement et de déchargement ou </w:t>
      </w:r>
      <w:r>
        <w:rPr>
          <w:b/>
          <w:szCs w:val="18"/>
          <w:u w:val="single"/>
          <w:lang w:val="fr-FR"/>
        </w:rPr>
        <w:t>de la</w:t>
      </w:r>
      <w:r w:rsidRPr="00D97E64">
        <w:rPr>
          <w:b/>
          <w:szCs w:val="18"/>
          <w:u w:val="single"/>
          <w:lang w:val="fr-FR"/>
        </w:rPr>
        <w:t xml:space="preserve"> c</w:t>
      </w:r>
      <w:r>
        <w:rPr>
          <w:b/>
          <w:szCs w:val="18"/>
          <w:u w:val="single"/>
          <w:lang w:val="fr-FR"/>
        </w:rPr>
        <w:t>onduite</w:t>
      </w:r>
      <w:r w:rsidRPr="00D97E64">
        <w:rPr>
          <w:b/>
          <w:szCs w:val="18"/>
          <w:u w:val="single"/>
          <w:lang w:val="fr-FR"/>
        </w:rPr>
        <w:t xml:space="preserve"> d</w:t>
      </w:r>
      <w:r>
        <w:rPr>
          <w:b/>
          <w:szCs w:val="18"/>
          <w:u w:val="single"/>
          <w:lang w:val="fr-FR"/>
        </w:rPr>
        <w:t>’</w:t>
      </w:r>
      <w:r w:rsidRPr="00D97E64">
        <w:rPr>
          <w:b/>
          <w:szCs w:val="18"/>
          <w:u w:val="single"/>
          <w:lang w:val="fr-FR"/>
        </w:rPr>
        <w:t>évacuation de gaz</w:t>
      </w:r>
      <w:r>
        <w:rPr>
          <w:b/>
          <w:szCs w:val="18"/>
          <w:u w:val="single"/>
          <w:lang w:val="fr-FR"/>
        </w:rPr>
        <w:t>,</w:t>
      </w:r>
      <w:r w:rsidRPr="00D97E64">
        <w:rPr>
          <w:b/>
          <w:szCs w:val="18"/>
          <w:u w:val="single"/>
          <w:lang w:val="fr-FR"/>
        </w:rPr>
        <w:t xml:space="preserve"> pour évacuer les gaz et les vapeurs des citernes à </w:t>
      </w:r>
      <w:proofErr w:type="gramStart"/>
      <w:r w:rsidRPr="00D97E64">
        <w:rPr>
          <w:b/>
          <w:szCs w:val="18"/>
          <w:u w:val="single"/>
          <w:lang w:val="fr-FR"/>
        </w:rPr>
        <w:t xml:space="preserve">cargaison,  </w:t>
      </w:r>
      <w:r>
        <w:rPr>
          <w:b/>
          <w:szCs w:val="18"/>
          <w:u w:val="single"/>
          <w:lang w:val="fr-FR"/>
        </w:rPr>
        <w:t>l’</w:t>
      </w:r>
      <w:r w:rsidRPr="00D97E64">
        <w:rPr>
          <w:b/>
          <w:szCs w:val="18"/>
          <w:u w:val="single"/>
          <w:lang w:val="fr-FR"/>
        </w:rPr>
        <w:t>autre</w:t>
      </w:r>
      <w:proofErr w:type="gramEnd"/>
      <w:r w:rsidRPr="00D97E64">
        <w:rPr>
          <w:b/>
          <w:szCs w:val="18"/>
          <w:u w:val="single"/>
          <w:lang w:val="fr-FR"/>
        </w:rPr>
        <w:t xml:space="preserve"> tuyauterie servant à prévenir tout dépassement de la </w:t>
      </w:r>
      <w:r>
        <w:rPr>
          <w:b/>
          <w:szCs w:val="18"/>
          <w:u w:val="single"/>
          <w:lang w:val="fr-FR"/>
        </w:rPr>
        <w:t>sur</w:t>
      </w:r>
      <w:r w:rsidRPr="00D97E64">
        <w:rPr>
          <w:b/>
          <w:szCs w:val="18"/>
          <w:u w:val="single"/>
          <w:lang w:val="fr-FR"/>
        </w:rPr>
        <w:t>pression ou dépression maximale admissible des citernes.</w:t>
      </w:r>
    </w:p>
    <w:p w:rsidR="00C565A2" w:rsidRDefault="003022F8" w:rsidP="008D5BA2">
      <w:pPr>
        <w:pStyle w:val="SingleTxtG"/>
        <w:ind w:left="2268"/>
        <w:rPr>
          <w:b/>
          <w:szCs w:val="18"/>
          <w:u w:val="single"/>
          <w:lang w:val="fr-FR"/>
        </w:rPr>
      </w:pPr>
      <w:r w:rsidRPr="00D97E64">
        <w:rPr>
          <w:b/>
          <w:szCs w:val="18"/>
          <w:u w:val="single"/>
          <w:lang w:val="fr-FR"/>
        </w:rPr>
        <w:t>Les tuyauteries doivent faire partie d</w:t>
      </w:r>
      <w:r>
        <w:rPr>
          <w:b/>
          <w:szCs w:val="18"/>
          <w:u w:val="single"/>
          <w:lang w:val="fr-FR"/>
        </w:rPr>
        <w:t>’</w:t>
      </w:r>
      <w:r w:rsidRPr="00D97E64">
        <w:rPr>
          <w:b/>
          <w:szCs w:val="18"/>
          <w:u w:val="single"/>
          <w:lang w:val="fr-FR"/>
        </w:rPr>
        <w:t>un système fermé</w:t>
      </w:r>
      <w:r>
        <w:rPr>
          <w:b/>
          <w:szCs w:val="18"/>
          <w:u w:val="single"/>
          <w:lang w:val="fr-FR"/>
        </w:rPr>
        <w:t>,</w:t>
      </w:r>
      <w:r w:rsidRPr="00D97E64">
        <w:rPr>
          <w:b/>
          <w:szCs w:val="18"/>
          <w:u w:val="single"/>
          <w:lang w:val="fr-FR"/>
        </w:rPr>
        <w:t xml:space="preserve"> ou, si elles sont utilisées pour prévenir tout dépassement de la dépression maximale admissible dans les citernes à cargaison, être équipées </w:t>
      </w:r>
      <w:proofErr w:type="gramStart"/>
      <w:r w:rsidRPr="00D97E64">
        <w:rPr>
          <w:b/>
          <w:szCs w:val="18"/>
          <w:u w:val="single"/>
          <w:lang w:val="fr-FR"/>
        </w:rPr>
        <w:t>d</w:t>
      </w:r>
      <w:r>
        <w:rPr>
          <w:b/>
          <w:szCs w:val="18"/>
          <w:u w:val="single"/>
          <w:lang w:val="fr-FR"/>
        </w:rPr>
        <w:t>’</w:t>
      </w:r>
      <w:r w:rsidRPr="00D97E64">
        <w:rPr>
          <w:b/>
          <w:szCs w:val="18"/>
          <w:u w:val="single"/>
          <w:lang w:val="fr-FR"/>
        </w:rPr>
        <w:t>un</w:t>
      </w:r>
      <w:r>
        <w:rPr>
          <w:b/>
          <w:szCs w:val="18"/>
          <w:u w:val="single"/>
          <w:lang w:val="fr-FR"/>
        </w:rPr>
        <w:t>e</w:t>
      </w:r>
      <w:r w:rsidRPr="00D97E64">
        <w:rPr>
          <w:b/>
          <w:szCs w:val="18"/>
          <w:u w:val="single"/>
          <w:lang w:val="fr-FR"/>
        </w:rPr>
        <w:t xml:space="preserve">  </w:t>
      </w:r>
      <w:r>
        <w:rPr>
          <w:b/>
          <w:szCs w:val="18"/>
          <w:u w:val="single"/>
          <w:lang w:val="fr-FR"/>
        </w:rPr>
        <w:t>soupape</w:t>
      </w:r>
      <w:proofErr w:type="gramEnd"/>
      <w:r>
        <w:rPr>
          <w:b/>
          <w:szCs w:val="18"/>
          <w:u w:val="single"/>
          <w:lang w:val="fr-FR"/>
        </w:rPr>
        <w:t xml:space="preserve"> </w:t>
      </w:r>
      <w:r w:rsidRPr="00D97E64">
        <w:rPr>
          <w:b/>
          <w:szCs w:val="18"/>
          <w:u w:val="single"/>
          <w:lang w:val="fr-FR"/>
        </w:rPr>
        <w:t xml:space="preserve">basse pression à ressort fixe ou </w:t>
      </w:r>
      <w:r>
        <w:rPr>
          <w:b/>
          <w:szCs w:val="18"/>
          <w:u w:val="single"/>
          <w:lang w:val="fr-FR"/>
        </w:rPr>
        <w:t xml:space="preserve"> mobile</w:t>
      </w:r>
      <w:r w:rsidRPr="00D97E64">
        <w:rPr>
          <w:b/>
          <w:szCs w:val="18"/>
          <w:u w:val="single"/>
          <w:lang w:val="fr-FR"/>
        </w:rPr>
        <w:t xml:space="preserve"> muni</w:t>
      </w:r>
      <w:r>
        <w:rPr>
          <w:b/>
          <w:szCs w:val="18"/>
          <w:u w:val="single"/>
          <w:lang w:val="fr-FR"/>
        </w:rPr>
        <w:t>e</w:t>
      </w:r>
      <w:r w:rsidRPr="00D97E64">
        <w:rPr>
          <w:b/>
          <w:szCs w:val="18"/>
          <w:u w:val="single"/>
          <w:lang w:val="fr-FR"/>
        </w:rPr>
        <w:t xml:space="preserve"> d</w:t>
      </w:r>
      <w:r>
        <w:rPr>
          <w:b/>
          <w:szCs w:val="18"/>
          <w:u w:val="single"/>
          <w:lang w:val="fr-FR"/>
        </w:rPr>
        <w:t>’</w:t>
      </w:r>
      <w:r w:rsidRPr="00D97E64">
        <w:rPr>
          <w:b/>
          <w:szCs w:val="18"/>
          <w:u w:val="single"/>
          <w:lang w:val="fr-FR"/>
        </w:rPr>
        <w:t>un coupe-flamme</w:t>
      </w:r>
      <w:r>
        <w:rPr>
          <w:b/>
          <w:szCs w:val="18"/>
          <w:u w:val="single"/>
          <w:lang w:val="fr-FR"/>
        </w:rPr>
        <w:t>s</w:t>
      </w:r>
      <w:r w:rsidRPr="00D97E64">
        <w:rPr>
          <w:b/>
          <w:szCs w:val="18"/>
          <w:u w:val="single"/>
          <w:lang w:val="fr-FR"/>
        </w:rPr>
        <w:t xml:space="preserve"> (groupe / sous-groupe d</w:t>
      </w:r>
      <w:r>
        <w:rPr>
          <w:b/>
          <w:szCs w:val="18"/>
          <w:u w:val="single"/>
          <w:lang w:val="fr-FR"/>
        </w:rPr>
        <w:t>’</w:t>
      </w:r>
      <w:r w:rsidRPr="00D97E64">
        <w:rPr>
          <w:b/>
          <w:szCs w:val="18"/>
          <w:u w:val="single"/>
          <w:lang w:val="fr-FR"/>
        </w:rPr>
        <w:t>explosion conformément</w:t>
      </w:r>
      <w:r>
        <w:rPr>
          <w:b/>
          <w:szCs w:val="18"/>
          <w:u w:val="single"/>
          <w:lang w:val="fr-FR"/>
        </w:rPr>
        <w:t xml:space="preserve"> à la colonne (16) du tableau C du</w:t>
      </w:r>
      <w:r w:rsidRPr="00D97E64">
        <w:rPr>
          <w:b/>
          <w:szCs w:val="18"/>
          <w:u w:val="single"/>
          <w:lang w:val="fr-FR"/>
        </w:rPr>
        <w:t xml:space="preserve"> </w:t>
      </w:r>
      <w:r>
        <w:rPr>
          <w:b/>
          <w:szCs w:val="18"/>
          <w:u w:val="single"/>
          <w:lang w:val="fr-FR"/>
        </w:rPr>
        <w:t>3.2.3.2</w:t>
      </w:r>
      <w:r w:rsidRPr="00D97E64">
        <w:rPr>
          <w:b/>
          <w:szCs w:val="18"/>
          <w:u w:val="single"/>
          <w:lang w:val="fr-FR"/>
        </w:rPr>
        <w:t xml:space="preserve">) si la protection contre les explosions est exigée (3.2.3.2, tableau C, colonne (17)). </w:t>
      </w:r>
      <w:proofErr w:type="gramStart"/>
      <w:r w:rsidRPr="00D97E64">
        <w:rPr>
          <w:b/>
          <w:szCs w:val="18"/>
          <w:u w:val="single"/>
          <w:lang w:val="fr-FR"/>
        </w:rPr>
        <w:t>Ce</w:t>
      </w:r>
      <w:r>
        <w:rPr>
          <w:b/>
          <w:szCs w:val="18"/>
          <w:u w:val="single"/>
          <w:lang w:val="fr-FR"/>
        </w:rPr>
        <w:t>tte</w:t>
      </w:r>
      <w:r w:rsidRPr="00D97E64">
        <w:rPr>
          <w:b/>
          <w:szCs w:val="18"/>
          <w:u w:val="single"/>
          <w:lang w:val="fr-FR"/>
        </w:rPr>
        <w:t xml:space="preserve">  </w:t>
      </w:r>
      <w:r>
        <w:rPr>
          <w:b/>
          <w:szCs w:val="18"/>
          <w:u w:val="single"/>
          <w:lang w:val="fr-FR"/>
        </w:rPr>
        <w:t>soupape</w:t>
      </w:r>
      <w:proofErr w:type="gramEnd"/>
      <w:r>
        <w:rPr>
          <w:b/>
          <w:szCs w:val="18"/>
          <w:u w:val="single"/>
          <w:lang w:val="fr-FR"/>
        </w:rPr>
        <w:t xml:space="preserve"> </w:t>
      </w:r>
      <w:r w:rsidRPr="00D97E64">
        <w:rPr>
          <w:b/>
          <w:szCs w:val="18"/>
          <w:u w:val="single"/>
          <w:lang w:val="fr-FR"/>
        </w:rPr>
        <w:t xml:space="preserve">basse pression doit être </w:t>
      </w:r>
      <w:r>
        <w:rPr>
          <w:b/>
          <w:szCs w:val="18"/>
          <w:u w:val="single"/>
          <w:lang w:val="fr-FR"/>
        </w:rPr>
        <w:t>montée</w:t>
      </w:r>
      <w:r w:rsidRPr="00D97E64">
        <w:rPr>
          <w:b/>
          <w:szCs w:val="18"/>
          <w:u w:val="single"/>
          <w:lang w:val="fr-FR"/>
        </w:rPr>
        <w:t xml:space="preserve"> de manière que,</w:t>
      </w:r>
      <w:r>
        <w:rPr>
          <w:b/>
          <w:szCs w:val="18"/>
          <w:u w:val="single"/>
          <w:lang w:val="fr-FR"/>
        </w:rPr>
        <w:t xml:space="preserve"> dans des conditions </w:t>
      </w:r>
      <w:r w:rsidRPr="00D97E64">
        <w:rPr>
          <w:b/>
          <w:szCs w:val="18"/>
          <w:u w:val="single"/>
          <w:lang w:val="fr-FR"/>
        </w:rPr>
        <w:t>normales</w:t>
      </w:r>
      <w:r>
        <w:rPr>
          <w:b/>
          <w:szCs w:val="18"/>
          <w:u w:val="single"/>
          <w:lang w:val="fr-FR"/>
        </w:rPr>
        <w:t xml:space="preserve"> d’exploitation</w:t>
      </w:r>
      <w:r w:rsidRPr="00D97E64">
        <w:rPr>
          <w:b/>
          <w:szCs w:val="18"/>
          <w:u w:val="single"/>
          <w:lang w:val="fr-FR"/>
        </w:rPr>
        <w:t xml:space="preserve">, la soupape de dépression ne soit pas activée. </w:t>
      </w:r>
      <w:proofErr w:type="gramStart"/>
      <w:r w:rsidRPr="00D97E64">
        <w:rPr>
          <w:b/>
          <w:szCs w:val="18"/>
          <w:u w:val="single"/>
          <w:lang w:val="fr-FR"/>
        </w:rPr>
        <w:t>Un</w:t>
      </w:r>
      <w:r>
        <w:rPr>
          <w:b/>
          <w:szCs w:val="18"/>
          <w:u w:val="single"/>
          <w:lang w:val="fr-FR"/>
        </w:rPr>
        <w:t>e</w:t>
      </w:r>
      <w:r w:rsidRPr="00D97E64">
        <w:rPr>
          <w:b/>
          <w:szCs w:val="18"/>
          <w:u w:val="single"/>
          <w:lang w:val="fr-FR"/>
        </w:rPr>
        <w:t xml:space="preserve">  </w:t>
      </w:r>
      <w:r>
        <w:rPr>
          <w:b/>
          <w:szCs w:val="18"/>
          <w:u w:val="single"/>
          <w:lang w:val="fr-FR"/>
        </w:rPr>
        <w:t>soupape</w:t>
      </w:r>
      <w:proofErr w:type="gramEnd"/>
      <w:r>
        <w:rPr>
          <w:b/>
          <w:szCs w:val="18"/>
          <w:u w:val="single"/>
          <w:lang w:val="fr-FR"/>
        </w:rPr>
        <w:t xml:space="preserve"> </w:t>
      </w:r>
      <w:r w:rsidRPr="00D97E64">
        <w:rPr>
          <w:b/>
          <w:szCs w:val="18"/>
          <w:u w:val="single"/>
          <w:lang w:val="fr-FR"/>
        </w:rPr>
        <w:t>fixe ou l</w:t>
      </w:r>
      <w:r>
        <w:rPr>
          <w:b/>
          <w:szCs w:val="18"/>
          <w:u w:val="single"/>
          <w:lang w:val="fr-FR"/>
        </w:rPr>
        <w:t>’</w:t>
      </w:r>
      <w:r w:rsidRPr="00D97E64">
        <w:rPr>
          <w:b/>
          <w:szCs w:val="18"/>
          <w:u w:val="single"/>
          <w:lang w:val="fr-FR"/>
        </w:rPr>
        <w:t>orifice  auquel est raccordé un</w:t>
      </w:r>
      <w:r>
        <w:rPr>
          <w:b/>
          <w:szCs w:val="18"/>
          <w:u w:val="single"/>
          <w:lang w:val="fr-FR"/>
        </w:rPr>
        <w:t>e</w:t>
      </w:r>
      <w:r w:rsidRPr="00D97E64">
        <w:rPr>
          <w:b/>
          <w:szCs w:val="18"/>
          <w:u w:val="single"/>
          <w:lang w:val="fr-FR"/>
        </w:rPr>
        <w:t xml:space="preserve">  </w:t>
      </w:r>
      <w:r>
        <w:rPr>
          <w:b/>
          <w:szCs w:val="18"/>
          <w:u w:val="single"/>
          <w:lang w:val="fr-FR"/>
        </w:rPr>
        <w:t xml:space="preserve">soupape  mobile </w:t>
      </w:r>
      <w:r w:rsidRPr="00D97E64">
        <w:rPr>
          <w:b/>
          <w:szCs w:val="18"/>
          <w:u w:val="single"/>
          <w:lang w:val="fr-FR"/>
        </w:rPr>
        <w:t>doit rester obturé</w:t>
      </w:r>
      <w:r>
        <w:rPr>
          <w:b/>
          <w:szCs w:val="18"/>
          <w:u w:val="single"/>
          <w:lang w:val="fr-FR"/>
        </w:rPr>
        <w:t>(e)</w:t>
      </w:r>
      <w:r w:rsidRPr="00D97E64">
        <w:rPr>
          <w:b/>
          <w:szCs w:val="18"/>
          <w:u w:val="single"/>
          <w:lang w:val="fr-FR"/>
        </w:rPr>
        <w:t xml:space="preserve"> par une bride borgne lorsque le bateau n</w:t>
      </w:r>
      <w:r>
        <w:rPr>
          <w:b/>
          <w:szCs w:val="18"/>
          <w:u w:val="single"/>
          <w:lang w:val="fr-FR"/>
        </w:rPr>
        <w:t>’</w:t>
      </w:r>
      <w:r w:rsidRPr="00D97E64">
        <w:rPr>
          <w:b/>
          <w:szCs w:val="18"/>
          <w:u w:val="single"/>
          <w:lang w:val="fr-FR"/>
        </w:rPr>
        <w:t>est pas en cours de dégazage dans une station de réception.</w:t>
      </w:r>
    </w:p>
    <w:p w:rsidR="003022F8" w:rsidRPr="00D97E64" w:rsidRDefault="003022F8" w:rsidP="008D5BA2">
      <w:pPr>
        <w:pStyle w:val="SingleTxtG"/>
        <w:ind w:left="2268"/>
        <w:rPr>
          <w:b/>
          <w:szCs w:val="18"/>
          <w:u w:val="single"/>
          <w:lang w:val="fr-FR"/>
        </w:rPr>
      </w:pPr>
      <w:r w:rsidRPr="00D97E64">
        <w:rPr>
          <w:b/>
          <w:szCs w:val="18"/>
          <w:u w:val="single"/>
          <w:lang w:val="fr-FR"/>
        </w:rPr>
        <w:t xml:space="preserve">Toutes les tuyauteries </w:t>
      </w:r>
      <w:r>
        <w:rPr>
          <w:b/>
          <w:szCs w:val="18"/>
          <w:u w:val="single"/>
          <w:lang w:val="fr-FR"/>
        </w:rPr>
        <w:t>entre</w:t>
      </w:r>
      <w:r w:rsidRPr="00D97E64">
        <w:rPr>
          <w:b/>
          <w:szCs w:val="18"/>
          <w:u w:val="single"/>
          <w:lang w:val="fr-FR"/>
        </w:rPr>
        <w:t xml:space="preserve"> le bateau dégazant </w:t>
      </w:r>
      <w:r>
        <w:rPr>
          <w:b/>
          <w:szCs w:val="18"/>
          <w:u w:val="single"/>
          <w:lang w:val="fr-FR"/>
        </w:rPr>
        <w:t>et</w:t>
      </w:r>
      <w:r w:rsidRPr="00D97E64">
        <w:rPr>
          <w:b/>
          <w:szCs w:val="18"/>
          <w:u w:val="single"/>
          <w:lang w:val="fr-FR"/>
        </w:rPr>
        <w:t xml:space="preserve"> la station de réception doivent être équipées de coupe-flammes </w:t>
      </w:r>
      <w:r>
        <w:rPr>
          <w:b/>
          <w:szCs w:val="18"/>
          <w:u w:val="single"/>
          <w:lang w:val="fr-FR"/>
        </w:rPr>
        <w:t>appropriés</w:t>
      </w:r>
      <w:r w:rsidRPr="00D97E64">
        <w:rPr>
          <w:b/>
          <w:szCs w:val="18"/>
          <w:u w:val="single"/>
          <w:lang w:val="fr-FR"/>
        </w:rPr>
        <w:t xml:space="preserve"> (groupe / sous-groupe d</w:t>
      </w:r>
      <w:r>
        <w:rPr>
          <w:b/>
          <w:szCs w:val="18"/>
          <w:u w:val="single"/>
          <w:lang w:val="fr-FR"/>
        </w:rPr>
        <w:t>’</w:t>
      </w:r>
      <w:r w:rsidRPr="00D97E64">
        <w:rPr>
          <w:b/>
          <w:szCs w:val="18"/>
          <w:u w:val="single"/>
          <w:lang w:val="fr-FR"/>
        </w:rPr>
        <w:t>explosion conformément</w:t>
      </w:r>
      <w:r>
        <w:rPr>
          <w:b/>
          <w:szCs w:val="18"/>
          <w:u w:val="single"/>
          <w:lang w:val="fr-FR"/>
        </w:rPr>
        <w:t xml:space="preserve"> à la colonne (16) du tableau C du</w:t>
      </w:r>
      <w:r w:rsidRPr="00D97E64">
        <w:rPr>
          <w:b/>
          <w:szCs w:val="18"/>
          <w:u w:val="single"/>
          <w:lang w:val="fr-FR"/>
        </w:rPr>
        <w:t xml:space="preserve"> </w:t>
      </w:r>
      <w:r>
        <w:rPr>
          <w:b/>
          <w:szCs w:val="18"/>
          <w:u w:val="single"/>
          <w:lang w:val="fr-FR"/>
        </w:rPr>
        <w:t>3.2.3.2</w:t>
      </w:r>
      <w:r w:rsidRPr="00D97E64">
        <w:rPr>
          <w:b/>
          <w:szCs w:val="18"/>
          <w:u w:val="single"/>
          <w:lang w:val="fr-FR"/>
        </w:rPr>
        <w:t>) si la protection contre les explosions est exigée (3.2.3.2, tableau C, colonne (17)).</w:t>
      </w:r>
    </w:p>
    <w:p w:rsidR="003022F8" w:rsidRPr="00D97E64" w:rsidRDefault="003022F8" w:rsidP="00D2419D">
      <w:pPr>
        <w:pStyle w:val="SingleTxtG"/>
        <w:ind w:left="2268" w:hanging="1134"/>
        <w:rPr>
          <w:b/>
          <w:szCs w:val="18"/>
          <w:u w:val="single"/>
          <w:lang w:val="fr-FR"/>
        </w:rPr>
      </w:pPr>
      <w:r w:rsidRPr="00D97E64">
        <w:rPr>
          <w:b/>
          <w:szCs w:val="18"/>
          <w:u w:val="single"/>
          <w:lang w:val="fr-FR"/>
        </w:rPr>
        <w:t>7.2.3.7.2.4</w:t>
      </w:r>
      <w:r w:rsidRPr="00D97E64">
        <w:rPr>
          <w:szCs w:val="18"/>
          <w:lang w:val="fr-FR"/>
        </w:rPr>
        <w:tab/>
      </w:r>
      <w:r w:rsidRPr="00D97E64">
        <w:rPr>
          <w:b/>
          <w:szCs w:val="18"/>
          <w:u w:val="single"/>
          <w:lang w:val="fr-FR"/>
        </w:rPr>
        <w:t>Il doit être possible d</w:t>
      </w:r>
      <w:r>
        <w:rPr>
          <w:b/>
          <w:szCs w:val="18"/>
          <w:u w:val="single"/>
          <w:lang w:val="fr-FR"/>
        </w:rPr>
        <w:t>’</w:t>
      </w:r>
      <w:r w:rsidRPr="00D97E64">
        <w:rPr>
          <w:b/>
          <w:szCs w:val="18"/>
          <w:u w:val="single"/>
          <w:lang w:val="fr-FR"/>
        </w:rPr>
        <w:t>interrompre les opérations de dégazage en actionnant des interrupteurs électriques situés en deux points sur le bateau (à l</w:t>
      </w:r>
      <w:r>
        <w:rPr>
          <w:b/>
          <w:szCs w:val="18"/>
          <w:u w:val="single"/>
          <w:lang w:val="fr-FR"/>
        </w:rPr>
        <w:t>’</w:t>
      </w:r>
      <w:r w:rsidRPr="00D97E64">
        <w:rPr>
          <w:b/>
          <w:szCs w:val="18"/>
          <w:u w:val="single"/>
          <w:lang w:val="fr-FR"/>
        </w:rPr>
        <w:t>avant et à l</w:t>
      </w:r>
      <w:r>
        <w:rPr>
          <w:b/>
          <w:szCs w:val="18"/>
          <w:u w:val="single"/>
          <w:lang w:val="fr-FR"/>
        </w:rPr>
        <w:t>’</w:t>
      </w:r>
      <w:r w:rsidRPr="00D97E64">
        <w:rPr>
          <w:b/>
          <w:szCs w:val="18"/>
          <w:u w:val="single"/>
          <w:lang w:val="fr-FR"/>
        </w:rPr>
        <w:t>arrière) et en deux points de la station de réception (respectivement sur l</w:t>
      </w:r>
      <w:r>
        <w:rPr>
          <w:b/>
          <w:szCs w:val="18"/>
          <w:u w:val="single"/>
          <w:lang w:val="fr-FR"/>
        </w:rPr>
        <w:t>’</w:t>
      </w:r>
      <w:r w:rsidRPr="00D97E64">
        <w:rPr>
          <w:b/>
          <w:szCs w:val="18"/>
          <w:u w:val="single"/>
          <w:lang w:val="fr-FR"/>
        </w:rPr>
        <w:t>appontement et à l</w:t>
      </w:r>
      <w:r>
        <w:rPr>
          <w:b/>
          <w:szCs w:val="18"/>
          <w:u w:val="single"/>
          <w:lang w:val="fr-FR"/>
        </w:rPr>
        <w:t>’</w:t>
      </w:r>
      <w:r w:rsidRPr="00D97E64">
        <w:rPr>
          <w:b/>
          <w:szCs w:val="18"/>
          <w:u w:val="single"/>
          <w:lang w:val="fr-FR"/>
        </w:rPr>
        <w:t>endroit depuis lequel la station de réception est commandée). L</w:t>
      </w:r>
      <w:r>
        <w:rPr>
          <w:b/>
          <w:szCs w:val="18"/>
          <w:u w:val="single"/>
          <w:lang w:val="fr-FR"/>
        </w:rPr>
        <w:t>’</w:t>
      </w:r>
      <w:r w:rsidRPr="00D97E64">
        <w:rPr>
          <w:b/>
          <w:szCs w:val="18"/>
          <w:u w:val="single"/>
          <w:lang w:val="fr-FR"/>
        </w:rPr>
        <w:t>interruption du dégazage doit se faire au moyen d</w:t>
      </w:r>
      <w:r>
        <w:rPr>
          <w:b/>
          <w:szCs w:val="18"/>
          <w:u w:val="single"/>
          <w:lang w:val="fr-FR"/>
        </w:rPr>
        <w:t>’</w:t>
      </w:r>
      <w:r w:rsidRPr="00D97E64">
        <w:rPr>
          <w:b/>
          <w:szCs w:val="18"/>
          <w:u w:val="single"/>
          <w:lang w:val="fr-FR"/>
        </w:rPr>
        <w:t xml:space="preserve">une vanne à fermeture rapide montée directement sur la conduite entre le bateau dégazant et la station de réception. Le système de coupure doit être conçu selon le principe </w:t>
      </w:r>
      <w:r w:rsidRPr="00C565A2">
        <w:rPr>
          <w:b/>
          <w:szCs w:val="18"/>
          <w:u w:val="single"/>
          <w:lang w:val="fr-FR"/>
        </w:rPr>
        <w:t>du circuit fermé</w:t>
      </w:r>
      <w:r w:rsidRPr="00D97E64">
        <w:rPr>
          <w:b/>
          <w:szCs w:val="18"/>
          <w:u w:val="single"/>
          <w:lang w:val="fr-FR"/>
        </w:rPr>
        <w:t xml:space="preserve"> et peut être incorporé au système d</w:t>
      </w:r>
      <w:r>
        <w:rPr>
          <w:b/>
          <w:szCs w:val="18"/>
          <w:u w:val="single"/>
          <w:lang w:val="fr-FR"/>
        </w:rPr>
        <w:t>’</w:t>
      </w:r>
      <w:r w:rsidRPr="00D97E64">
        <w:rPr>
          <w:b/>
          <w:szCs w:val="18"/>
          <w:u w:val="single"/>
          <w:lang w:val="fr-FR"/>
        </w:rPr>
        <w:t>arrêt d</w:t>
      </w:r>
      <w:r>
        <w:rPr>
          <w:b/>
          <w:szCs w:val="18"/>
          <w:u w:val="single"/>
          <w:lang w:val="fr-FR"/>
        </w:rPr>
        <w:t>’</w:t>
      </w:r>
      <w:r w:rsidRPr="00D97E64">
        <w:rPr>
          <w:b/>
          <w:szCs w:val="18"/>
          <w:u w:val="single"/>
          <w:lang w:val="fr-FR"/>
        </w:rPr>
        <w:t>urgence des pompes à cargaison et des dispositifs permettant d</w:t>
      </w:r>
      <w:r>
        <w:rPr>
          <w:b/>
          <w:szCs w:val="18"/>
          <w:u w:val="single"/>
          <w:lang w:val="fr-FR"/>
        </w:rPr>
        <w:t>’</w:t>
      </w:r>
      <w:r w:rsidRPr="00D97E64">
        <w:rPr>
          <w:b/>
          <w:szCs w:val="18"/>
          <w:u w:val="single"/>
          <w:lang w:val="fr-FR"/>
        </w:rPr>
        <w:t xml:space="preserve">éviter un </w:t>
      </w:r>
      <w:proofErr w:type="spellStart"/>
      <w:r w:rsidRPr="00D97E64">
        <w:rPr>
          <w:b/>
          <w:szCs w:val="18"/>
          <w:u w:val="single"/>
          <w:lang w:val="fr-FR"/>
        </w:rPr>
        <w:t>surremplissage</w:t>
      </w:r>
      <w:proofErr w:type="spellEnd"/>
      <w:r>
        <w:rPr>
          <w:b/>
          <w:szCs w:val="18"/>
          <w:u w:val="single"/>
          <w:lang w:val="fr-FR"/>
        </w:rPr>
        <w:t>,</w:t>
      </w:r>
      <w:r w:rsidRPr="00D97E64">
        <w:rPr>
          <w:b/>
          <w:szCs w:val="18"/>
          <w:u w:val="single"/>
          <w:lang w:val="fr-FR"/>
        </w:rPr>
        <w:t xml:space="preserve"> visé au 9.</w:t>
      </w:r>
      <w:proofErr w:type="gramStart"/>
      <w:r w:rsidRPr="00D97E64">
        <w:rPr>
          <w:b/>
          <w:szCs w:val="18"/>
          <w:u w:val="single"/>
          <w:lang w:val="fr-FR"/>
        </w:rPr>
        <w:t>3.X.</w:t>
      </w:r>
      <w:proofErr w:type="gramEnd"/>
      <w:r w:rsidRPr="00D97E64">
        <w:rPr>
          <w:b/>
          <w:szCs w:val="18"/>
          <w:u w:val="single"/>
          <w:lang w:val="fr-FR"/>
        </w:rPr>
        <w:t>21.5.</w:t>
      </w:r>
    </w:p>
    <w:p w:rsidR="003022F8" w:rsidRPr="00D97E64" w:rsidRDefault="003022F8" w:rsidP="00C565A2">
      <w:pPr>
        <w:pStyle w:val="SingleTxtG"/>
        <w:ind w:left="2268"/>
        <w:rPr>
          <w:b/>
          <w:szCs w:val="18"/>
          <w:u w:val="single"/>
          <w:lang w:val="fr-FR"/>
        </w:rPr>
      </w:pPr>
      <w:r w:rsidRPr="00D97E64">
        <w:rPr>
          <w:b/>
          <w:u w:val="single"/>
          <w:lang w:val="fr-FR"/>
        </w:rPr>
        <w:t>Les opérations de dégazage doivent être interrompues en cas d</w:t>
      </w:r>
      <w:r>
        <w:rPr>
          <w:b/>
          <w:u w:val="single"/>
          <w:lang w:val="fr-FR"/>
        </w:rPr>
        <w:t>’</w:t>
      </w:r>
      <w:r w:rsidRPr="00D97E64">
        <w:rPr>
          <w:b/>
          <w:u w:val="single"/>
          <w:lang w:val="fr-FR"/>
        </w:rPr>
        <w:t>orage.</w:t>
      </w:r>
    </w:p>
    <w:p w:rsidR="003022F8" w:rsidRPr="00D97E64" w:rsidRDefault="003022F8" w:rsidP="00D2419D">
      <w:pPr>
        <w:pStyle w:val="SingleTxtG"/>
        <w:ind w:left="2268" w:hanging="1134"/>
        <w:rPr>
          <w:b/>
          <w:szCs w:val="18"/>
          <w:u w:val="single"/>
          <w:lang w:val="fr-FR"/>
        </w:rPr>
      </w:pPr>
      <w:r w:rsidRPr="00D97E64">
        <w:rPr>
          <w:b/>
          <w:szCs w:val="18"/>
          <w:u w:val="single"/>
          <w:lang w:val="fr-FR"/>
        </w:rPr>
        <w:t>7.2.3.7.2.5</w:t>
      </w:r>
      <w:r w:rsidRPr="00D97E64">
        <w:rPr>
          <w:b/>
          <w:szCs w:val="18"/>
          <w:lang w:val="fr-FR"/>
        </w:rPr>
        <w:tab/>
      </w:r>
      <w:r w:rsidRPr="00D97E64">
        <w:rPr>
          <w:b/>
          <w:u w:val="single"/>
          <w:lang w:val="fr-FR"/>
        </w:rPr>
        <w:t>La signalisation prescrite à la colonne (19) du tableau C du chapitre 3.2 peut être retirée sur ordre du conducteur lorsque, après dégazage des citernes à cargaison, il a été constaté, au moyen des appareils visés à la colonne (18) du tableau C du chapitre 3.2, que les citernes à cargaison ne contiennent plus de gaz et de vapeurs inflammables à une concentration supérieure à 20 % de la LIE</w:t>
      </w:r>
      <w:r>
        <w:rPr>
          <w:b/>
          <w:u w:val="single"/>
          <w:lang w:val="fr-FR"/>
        </w:rPr>
        <w:t>,</w:t>
      </w:r>
      <w:r w:rsidRPr="00D97E64">
        <w:rPr>
          <w:b/>
          <w:u w:val="single"/>
          <w:lang w:val="fr-FR"/>
        </w:rPr>
        <w:t xml:space="preserve"> ni une concentration de gaz et de vapeurs toxiques supérieure aux niveaux d</w:t>
      </w:r>
      <w:r>
        <w:rPr>
          <w:b/>
          <w:u w:val="single"/>
          <w:lang w:val="fr-FR"/>
        </w:rPr>
        <w:t>’</w:t>
      </w:r>
      <w:r w:rsidRPr="00D97E64">
        <w:rPr>
          <w:b/>
          <w:u w:val="single"/>
          <w:lang w:val="fr-FR"/>
        </w:rPr>
        <w:t xml:space="preserve">exposition nationaux admis. </w:t>
      </w:r>
      <w:r w:rsidRPr="00D97E64">
        <w:rPr>
          <w:b/>
          <w:bCs/>
          <w:u w:val="single"/>
          <w:lang w:val="fr-FR"/>
        </w:rPr>
        <w:t>Les résultats des mesures doivent être consignés par écrit.</w:t>
      </w:r>
    </w:p>
    <w:p w:rsidR="003022F8" w:rsidRPr="00D97E64" w:rsidRDefault="003022F8" w:rsidP="00D2419D">
      <w:pPr>
        <w:pStyle w:val="SingleTxtG"/>
        <w:ind w:left="2268" w:hanging="1134"/>
        <w:rPr>
          <w:b/>
          <w:szCs w:val="18"/>
          <w:u w:val="single"/>
          <w:lang w:val="fr-FR"/>
        </w:rPr>
      </w:pPr>
      <w:r w:rsidRPr="00D97E64">
        <w:rPr>
          <w:b/>
          <w:szCs w:val="18"/>
          <w:u w:val="single"/>
          <w:lang w:val="fr-FR"/>
        </w:rPr>
        <w:t>7.2.3.7.2.6</w:t>
      </w:r>
      <w:r w:rsidRPr="00D97E64">
        <w:rPr>
          <w:b/>
          <w:szCs w:val="18"/>
          <w:lang w:val="fr-FR"/>
        </w:rPr>
        <w:tab/>
      </w:r>
      <w:r w:rsidRPr="00D97E64">
        <w:rPr>
          <w:b/>
          <w:u w:val="single"/>
          <w:lang w:val="fr-FR"/>
        </w:rPr>
        <w:t>Avant de prendre les mesures qui pourraient entraîner les dangers décrits dans la section 8.3.5, il convient de dégazer toutes les citernes à cargaison et les tuyauteries de la zone de cargaison. Cette opération doit être consignée dans un certificat attestant l</w:t>
      </w:r>
      <w:r>
        <w:rPr>
          <w:b/>
          <w:u w:val="single"/>
          <w:lang w:val="fr-FR"/>
        </w:rPr>
        <w:t>’</w:t>
      </w:r>
      <w:r w:rsidRPr="00D97E64">
        <w:rPr>
          <w:b/>
          <w:u w:val="single"/>
          <w:lang w:val="fr-FR"/>
        </w:rPr>
        <w:t>absence de gaz, en cours de validité le jour où les travaux commencent. La condition d</w:t>
      </w:r>
      <w:r>
        <w:rPr>
          <w:b/>
          <w:u w:val="single"/>
          <w:lang w:val="fr-FR"/>
        </w:rPr>
        <w:t>’</w:t>
      </w:r>
      <w:r w:rsidRPr="00D97E64">
        <w:rPr>
          <w:b/>
          <w:u w:val="single"/>
          <w:lang w:val="fr-FR"/>
        </w:rPr>
        <w:t>absence de gaz ne peut être déclarée et certifiée que par une personne agréée par l</w:t>
      </w:r>
      <w:r>
        <w:rPr>
          <w:b/>
          <w:u w:val="single"/>
          <w:lang w:val="fr-FR"/>
        </w:rPr>
        <w:t>’</w:t>
      </w:r>
      <w:r w:rsidRPr="00D97E64">
        <w:rPr>
          <w:b/>
          <w:u w:val="single"/>
          <w:lang w:val="fr-FR"/>
        </w:rPr>
        <w:t>autorité compétente.</w:t>
      </w:r>
    </w:p>
    <w:p w:rsidR="003022F8" w:rsidRPr="00D97E64" w:rsidRDefault="003022F8" w:rsidP="00D2419D">
      <w:pPr>
        <w:pStyle w:val="SingleTxtG"/>
        <w:ind w:left="2268" w:hanging="1134"/>
        <w:rPr>
          <w:lang w:val="fr-FR"/>
        </w:rPr>
      </w:pPr>
      <w:r w:rsidRPr="00D97E64">
        <w:rPr>
          <w:szCs w:val="18"/>
          <w:lang w:val="fr-FR"/>
        </w:rPr>
        <w:t>7.2.3.12.2</w:t>
      </w:r>
      <w:r w:rsidRPr="00D97E64">
        <w:rPr>
          <w:szCs w:val="18"/>
          <w:lang w:val="fr-FR"/>
        </w:rPr>
        <w:tab/>
      </w:r>
      <w:r w:rsidRPr="00D97E64">
        <w:rPr>
          <w:lang w:val="fr-FR"/>
        </w:rPr>
        <w:t>Modification sans objet en français.</w:t>
      </w:r>
    </w:p>
    <w:p w:rsidR="003022F8" w:rsidRPr="00D97E64" w:rsidRDefault="003022F8" w:rsidP="0059593B">
      <w:pPr>
        <w:pStyle w:val="SingleTxtG"/>
        <w:keepNext/>
        <w:ind w:left="2268" w:hanging="1134"/>
        <w:jc w:val="left"/>
        <w:rPr>
          <w:szCs w:val="18"/>
          <w:lang w:val="fr-FR"/>
        </w:rPr>
      </w:pPr>
      <w:r w:rsidRPr="00D97E64">
        <w:rPr>
          <w:szCs w:val="18"/>
          <w:lang w:val="fr-FR"/>
        </w:rPr>
        <w:t>7.2.4</w:t>
      </w:r>
      <w:r w:rsidRPr="00D97E64">
        <w:rPr>
          <w:szCs w:val="18"/>
          <w:lang w:val="fr-FR"/>
        </w:rPr>
        <w:tab/>
        <w:t xml:space="preserve">Prescriptions supplémentaires relatives au chargement, au transport, </w:t>
      </w:r>
      <w:r w:rsidR="00BF1977">
        <w:rPr>
          <w:szCs w:val="18"/>
          <w:lang w:val="fr-FR"/>
        </w:rPr>
        <w:br/>
      </w:r>
      <w:r w:rsidRPr="00D97E64">
        <w:rPr>
          <w:szCs w:val="18"/>
          <w:lang w:val="fr-FR"/>
        </w:rPr>
        <w:t>au déchargement et à la manutention de la cargaison</w:t>
      </w:r>
    </w:p>
    <w:p w:rsidR="003022F8" w:rsidRPr="00D97E64" w:rsidRDefault="003022F8" w:rsidP="00D2419D">
      <w:pPr>
        <w:pStyle w:val="SingleTxtG"/>
        <w:ind w:left="2268" w:hanging="1134"/>
        <w:rPr>
          <w:szCs w:val="18"/>
          <w:lang w:val="fr-FR"/>
        </w:rPr>
      </w:pPr>
      <w:r w:rsidRPr="00D97E64">
        <w:rPr>
          <w:szCs w:val="18"/>
          <w:lang w:val="fr-FR"/>
        </w:rPr>
        <w:t>7.2.4.2.2</w:t>
      </w:r>
      <w:r w:rsidRPr="00D97E64">
        <w:rPr>
          <w:szCs w:val="18"/>
          <w:lang w:val="fr-FR"/>
        </w:rPr>
        <w:tab/>
        <w:t>Modification sans objet en français</w:t>
      </w:r>
      <w:r>
        <w:rPr>
          <w:szCs w:val="18"/>
          <w:lang w:val="fr-FR"/>
        </w:rPr>
        <w:t>.</w:t>
      </w:r>
    </w:p>
    <w:p w:rsidR="003022F8" w:rsidRPr="00D97E64" w:rsidRDefault="003022F8" w:rsidP="00D2419D">
      <w:pPr>
        <w:pStyle w:val="SingleTxtG"/>
        <w:ind w:left="2268" w:hanging="1134"/>
        <w:rPr>
          <w:szCs w:val="18"/>
          <w:lang w:val="fr-FR"/>
        </w:rPr>
      </w:pPr>
      <w:r w:rsidRPr="00D97E64">
        <w:rPr>
          <w:szCs w:val="18"/>
          <w:lang w:val="fr-FR"/>
        </w:rPr>
        <w:t>7.2.4.2.3</w:t>
      </w:r>
      <w:r w:rsidRPr="00D97E64">
        <w:rPr>
          <w:szCs w:val="18"/>
          <w:lang w:val="fr-FR"/>
        </w:rPr>
        <w:tab/>
        <w:t>Modification sans objet en français</w:t>
      </w:r>
      <w:r>
        <w:rPr>
          <w:szCs w:val="18"/>
          <w:lang w:val="fr-FR"/>
        </w:rPr>
        <w:t>.</w:t>
      </w:r>
      <w:r w:rsidRPr="00D97E64">
        <w:rPr>
          <w:szCs w:val="18"/>
          <w:lang w:val="fr-FR"/>
        </w:rPr>
        <w:t xml:space="preserve"> </w:t>
      </w:r>
    </w:p>
    <w:p w:rsidR="003022F8" w:rsidRPr="00D97E64" w:rsidRDefault="003022F8" w:rsidP="00D2419D">
      <w:pPr>
        <w:pStyle w:val="SingleTxtG"/>
        <w:ind w:left="2268" w:hanging="1134"/>
        <w:rPr>
          <w:szCs w:val="18"/>
          <w:lang w:val="fr-FR"/>
        </w:rPr>
      </w:pPr>
      <w:r w:rsidRPr="00D97E64">
        <w:rPr>
          <w:szCs w:val="18"/>
          <w:lang w:val="fr-FR"/>
        </w:rPr>
        <w:t>7.2.4.7.1</w:t>
      </w:r>
      <w:r w:rsidRPr="00D97E64">
        <w:rPr>
          <w:szCs w:val="18"/>
          <w:lang w:val="fr-FR"/>
        </w:rPr>
        <w:tab/>
        <w:t>Le chargement</w:t>
      </w:r>
      <w:r w:rsidRPr="00D97E64">
        <w:rPr>
          <w:strike/>
          <w:szCs w:val="18"/>
          <w:lang w:val="fr-FR"/>
        </w:rPr>
        <w:t>,</w:t>
      </w:r>
      <w:r w:rsidRPr="00D97E64">
        <w:rPr>
          <w:szCs w:val="18"/>
          <w:lang w:val="fr-FR"/>
        </w:rPr>
        <w:t xml:space="preserve"> </w:t>
      </w:r>
      <w:r w:rsidR="006E0CB2">
        <w:rPr>
          <w:b/>
          <w:szCs w:val="18"/>
          <w:u w:val="single"/>
          <w:lang w:val="fr-FR"/>
        </w:rPr>
        <w:t>ou</w:t>
      </w:r>
      <w:r w:rsidRPr="00D97E64">
        <w:rPr>
          <w:szCs w:val="18"/>
          <w:lang w:val="fr-FR"/>
        </w:rPr>
        <w:t xml:space="preserve"> le déchargement </w:t>
      </w:r>
      <w:r w:rsidRPr="00D97E64">
        <w:rPr>
          <w:strike/>
          <w:szCs w:val="18"/>
          <w:lang w:val="fr-FR"/>
        </w:rPr>
        <w:t>et le dégazage</w:t>
      </w:r>
      <w:r w:rsidRPr="00D97E64">
        <w:rPr>
          <w:szCs w:val="18"/>
          <w:lang w:val="fr-FR"/>
        </w:rPr>
        <w:t xml:space="preserve"> des </w:t>
      </w:r>
      <w:r w:rsidRPr="0059593B">
        <w:rPr>
          <w:szCs w:val="18"/>
          <w:lang w:val="fr-FR"/>
        </w:rPr>
        <w:t>bateaux-</w:t>
      </w:r>
      <w:r w:rsidRPr="00D97E64">
        <w:rPr>
          <w:szCs w:val="18"/>
          <w:lang w:val="fr-FR"/>
        </w:rPr>
        <w:t>citernes ne doivent avoir lieu qu</w:t>
      </w:r>
      <w:r>
        <w:rPr>
          <w:szCs w:val="18"/>
          <w:lang w:val="fr-FR"/>
        </w:rPr>
        <w:t>’</w:t>
      </w:r>
      <w:r w:rsidRPr="00D97E64">
        <w:rPr>
          <w:szCs w:val="18"/>
          <w:lang w:val="fr-FR"/>
        </w:rPr>
        <w:t>aux emplacements désignés ou agréés à cette fin par l</w:t>
      </w:r>
      <w:r>
        <w:rPr>
          <w:szCs w:val="18"/>
          <w:lang w:val="fr-FR"/>
        </w:rPr>
        <w:t>’</w:t>
      </w:r>
      <w:r w:rsidRPr="00D97E64">
        <w:rPr>
          <w:szCs w:val="18"/>
          <w:lang w:val="fr-FR"/>
        </w:rPr>
        <w:t>autorité compétente.</w:t>
      </w:r>
    </w:p>
    <w:p w:rsidR="003022F8" w:rsidRPr="00D97E64" w:rsidRDefault="003022F8" w:rsidP="00D2419D">
      <w:pPr>
        <w:pStyle w:val="SingleTxtG"/>
        <w:ind w:left="2268" w:hanging="1134"/>
        <w:rPr>
          <w:szCs w:val="18"/>
          <w:lang w:val="fr-FR"/>
        </w:rPr>
      </w:pPr>
      <w:r w:rsidRPr="00D97E64">
        <w:rPr>
          <w:szCs w:val="18"/>
          <w:lang w:val="fr-FR"/>
        </w:rPr>
        <w:t>7.2.4.12</w:t>
      </w:r>
      <w:r w:rsidRPr="00D97E64">
        <w:rPr>
          <w:szCs w:val="18"/>
          <w:lang w:val="fr-FR"/>
        </w:rPr>
        <w:tab/>
        <w:t>Modification sans objet en français</w:t>
      </w:r>
      <w:r>
        <w:rPr>
          <w:szCs w:val="18"/>
          <w:lang w:val="fr-FR"/>
        </w:rPr>
        <w:t>.</w:t>
      </w:r>
    </w:p>
    <w:p w:rsidR="003022F8" w:rsidRPr="00D97E64" w:rsidRDefault="003022F8" w:rsidP="00D2419D">
      <w:pPr>
        <w:pStyle w:val="SingleTxtG"/>
        <w:ind w:left="2268" w:hanging="1134"/>
        <w:rPr>
          <w:szCs w:val="18"/>
          <w:lang w:val="fr-FR"/>
        </w:rPr>
      </w:pPr>
      <w:r w:rsidRPr="00D97E64">
        <w:rPr>
          <w:szCs w:val="18"/>
          <w:lang w:val="fr-FR"/>
        </w:rPr>
        <w:t>7.2.4.15.3</w:t>
      </w:r>
      <w:r w:rsidRPr="00D97E64">
        <w:rPr>
          <w:szCs w:val="18"/>
          <w:lang w:val="fr-FR"/>
        </w:rPr>
        <w:tab/>
        <w:t>Modification sans objet en français</w:t>
      </w:r>
      <w:r>
        <w:rPr>
          <w:szCs w:val="18"/>
          <w:lang w:val="fr-FR"/>
        </w:rPr>
        <w:t>.</w:t>
      </w:r>
    </w:p>
    <w:p w:rsidR="003022F8" w:rsidRPr="00D97E64" w:rsidRDefault="003022F8" w:rsidP="00D2419D">
      <w:pPr>
        <w:pStyle w:val="SingleTxtG"/>
        <w:ind w:left="2268" w:hanging="1134"/>
        <w:rPr>
          <w:szCs w:val="18"/>
          <w:lang w:val="fr-FR"/>
        </w:rPr>
      </w:pPr>
      <w:r w:rsidRPr="00D97E64">
        <w:rPr>
          <w:szCs w:val="18"/>
          <w:lang w:val="fr-FR"/>
        </w:rPr>
        <w:t>7.2.4.16.3</w:t>
      </w:r>
      <w:r w:rsidRPr="00D97E64">
        <w:rPr>
          <w:szCs w:val="18"/>
          <w:lang w:val="fr-FR"/>
        </w:rPr>
        <w:tab/>
        <w:t>Modification sans objet en français</w:t>
      </w:r>
      <w:r>
        <w:rPr>
          <w:szCs w:val="18"/>
          <w:lang w:val="fr-FR"/>
        </w:rPr>
        <w:t>.</w:t>
      </w:r>
    </w:p>
    <w:p w:rsidR="003022F8" w:rsidRPr="00D97E64" w:rsidRDefault="003022F8" w:rsidP="00D2419D">
      <w:pPr>
        <w:pStyle w:val="SingleTxtG"/>
        <w:ind w:left="2268" w:hanging="1134"/>
        <w:rPr>
          <w:szCs w:val="18"/>
          <w:lang w:val="fr-FR"/>
        </w:rPr>
      </w:pPr>
      <w:r w:rsidRPr="00D97E64">
        <w:rPr>
          <w:szCs w:val="18"/>
          <w:lang w:val="fr-FR"/>
        </w:rPr>
        <w:t>7.2.4.16.7</w:t>
      </w:r>
      <w:r w:rsidRPr="00D97E64">
        <w:rPr>
          <w:szCs w:val="18"/>
          <w:lang w:val="fr-FR"/>
        </w:rPr>
        <w:tab/>
        <w:t>Modification sans objet en français</w:t>
      </w:r>
      <w:r>
        <w:rPr>
          <w:szCs w:val="18"/>
          <w:lang w:val="fr-FR"/>
        </w:rPr>
        <w:t>.</w:t>
      </w:r>
    </w:p>
    <w:p w:rsidR="003022F8" w:rsidRPr="00D97E64" w:rsidRDefault="003022F8" w:rsidP="00D2419D">
      <w:pPr>
        <w:pStyle w:val="SingleTxtG"/>
        <w:ind w:left="2268" w:hanging="1134"/>
        <w:rPr>
          <w:szCs w:val="18"/>
          <w:lang w:val="fr-FR"/>
        </w:rPr>
      </w:pPr>
      <w:r w:rsidRPr="00D97E64">
        <w:rPr>
          <w:szCs w:val="18"/>
          <w:lang w:val="fr-FR"/>
        </w:rPr>
        <w:t>7.2.4.17.1</w:t>
      </w:r>
      <w:r w:rsidRPr="00D97E64">
        <w:rPr>
          <w:szCs w:val="18"/>
          <w:lang w:val="fr-FR"/>
        </w:rPr>
        <w:tab/>
        <w:t>Modification sans objet en français</w:t>
      </w:r>
      <w:r>
        <w:rPr>
          <w:szCs w:val="18"/>
          <w:lang w:val="fr-FR"/>
        </w:rPr>
        <w:t>.</w:t>
      </w:r>
    </w:p>
    <w:p w:rsidR="003022F8" w:rsidRPr="00D97E64" w:rsidRDefault="003022F8" w:rsidP="00D2419D">
      <w:pPr>
        <w:pStyle w:val="SingleTxtG"/>
        <w:ind w:left="2268" w:hanging="1134"/>
        <w:rPr>
          <w:szCs w:val="18"/>
          <w:lang w:val="fr-FR"/>
        </w:rPr>
      </w:pPr>
      <w:r w:rsidRPr="00D97E64">
        <w:rPr>
          <w:szCs w:val="18"/>
          <w:lang w:val="fr-FR"/>
        </w:rPr>
        <w:t>7.2.4.17.2</w:t>
      </w:r>
      <w:r w:rsidRPr="00D97E64">
        <w:rPr>
          <w:szCs w:val="18"/>
          <w:lang w:val="fr-FR"/>
        </w:rPr>
        <w:tab/>
        <w:t>Modification sans objet en français</w:t>
      </w:r>
      <w:r>
        <w:rPr>
          <w:szCs w:val="18"/>
          <w:lang w:val="fr-FR"/>
        </w:rPr>
        <w:t>.</w:t>
      </w:r>
    </w:p>
    <w:p w:rsidR="003022F8" w:rsidRPr="00D97E64" w:rsidRDefault="003022F8" w:rsidP="00D2419D">
      <w:pPr>
        <w:pStyle w:val="SingleTxtG"/>
        <w:ind w:left="2268" w:hanging="1134"/>
        <w:rPr>
          <w:strike/>
          <w:szCs w:val="18"/>
          <w:lang w:val="fr-FR"/>
        </w:rPr>
      </w:pPr>
      <w:r w:rsidRPr="00D97E64">
        <w:rPr>
          <w:szCs w:val="18"/>
          <w:lang w:val="fr-FR"/>
        </w:rPr>
        <w:t>7.2.4.25.3</w:t>
      </w:r>
      <w:r w:rsidRPr="00D97E64">
        <w:rPr>
          <w:szCs w:val="18"/>
          <w:lang w:val="fr-FR"/>
        </w:rPr>
        <w:tab/>
      </w:r>
      <w:r w:rsidRPr="00D97E64">
        <w:rPr>
          <w:b/>
          <w:i/>
          <w:szCs w:val="18"/>
          <w:u w:val="single"/>
          <w:lang w:val="fr-FR"/>
        </w:rPr>
        <w:t>(Réservé)</w:t>
      </w:r>
      <w:r w:rsidRPr="00D97E64">
        <w:rPr>
          <w:szCs w:val="18"/>
          <w:lang w:val="fr-FR"/>
        </w:rPr>
        <w:t xml:space="preserve"> </w:t>
      </w:r>
      <w:r w:rsidRPr="00D97E64">
        <w:rPr>
          <w:strike/>
          <w:szCs w:val="18"/>
          <w:lang w:val="fr-FR"/>
        </w:rPr>
        <w:t>Les dispositifs de coupure des tuyauteries à cargaison ne doivent être ouverts que pendant et autant que nécessaire pour les opérations de chargement, de déchargement ou de dégazage.</w:t>
      </w:r>
    </w:p>
    <w:p w:rsidR="003022F8" w:rsidRPr="00D97E64" w:rsidRDefault="003022F8" w:rsidP="001742C8">
      <w:pPr>
        <w:pStyle w:val="SingleTxtG"/>
        <w:keepNext/>
        <w:ind w:left="2268" w:hanging="1134"/>
        <w:jc w:val="left"/>
        <w:rPr>
          <w:szCs w:val="18"/>
          <w:lang w:val="fr-FR"/>
        </w:rPr>
      </w:pPr>
      <w:r w:rsidRPr="00D97E64">
        <w:rPr>
          <w:szCs w:val="18"/>
          <w:lang w:val="fr-FR"/>
        </w:rPr>
        <w:t>7.2.5</w:t>
      </w:r>
      <w:r w:rsidRPr="00D97E64">
        <w:rPr>
          <w:szCs w:val="18"/>
          <w:lang w:val="fr-FR"/>
        </w:rPr>
        <w:tab/>
        <w:t xml:space="preserve">Prescriptions </w:t>
      </w:r>
      <w:r w:rsidRPr="001742C8">
        <w:rPr>
          <w:szCs w:val="18"/>
          <w:lang w:val="fr-FR"/>
        </w:rPr>
        <w:t xml:space="preserve">supplémentaires </w:t>
      </w:r>
      <w:r w:rsidRPr="00D97E64">
        <w:rPr>
          <w:szCs w:val="18"/>
          <w:lang w:val="fr-FR"/>
        </w:rPr>
        <w:t>relatives à la navigation du bateau</w:t>
      </w:r>
    </w:p>
    <w:p w:rsidR="003022F8" w:rsidRPr="00D97E64" w:rsidRDefault="001742C8" w:rsidP="00D2419D">
      <w:pPr>
        <w:pStyle w:val="SingleTxtG"/>
        <w:ind w:left="2268" w:hanging="1134"/>
        <w:rPr>
          <w:szCs w:val="18"/>
          <w:lang w:val="fr-FR"/>
        </w:rPr>
      </w:pPr>
      <w:r>
        <w:rPr>
          <w:szCs w:val="18"/>
          <w:lang w:val="fr-FR"/>
        </w:rPr>
        <w:t>7.2.5.0.1</w:t>
      </w:r>
      <w:r>
        <w:rPr>
          <w:szCs w:val="18"/>
          <w:lang w:val="fr-FR"/>
        </w:rPr>
        <w:tab/>
      </w:r>
      <w:r w:rsidR="003022F8">
        <w:rPr>
          <w:szCs w:val="18"/>
          <w:lang w:val="fr-FR"/>
        </w:rPr>
        <w:t xml:space="preserve">Les bateaux transportant les </w:t>
      </w:r>
      <w:r w:rsidR="003022F8" w:rsidRPr="00D97E64">
        <w:rPr>
          <w:szCs w:val="18"/>
          <w:lang w:val="fr-FR"/>
        </w:rPr>
        <w:t>matières énumérées au tableau C du chapitre 3.2 doivent montrer les cônes bleus ou feux bleus en nombre indiqué dans la colonne (19) dudit tableau et conformes au CEVNI. Lorsqu</w:t>
      </w:r>
      <w:r w:rsidR="003022F8">
        <w:rPr>
          <w:szCs w:val="18"/>
          <w:lang w:val="fr-FR"/>
        </w:rPr>
        <w:t>’</w:t>
      </w:r>
      <w:r w:rsidR="003022F8" w:rsidRPr="00D97E64">
        <w:rPr>
          <w:szCs w:val="18"/>
          <w:lang w:val="fr-FR"/>
        </w:rPr>
        <w:t>en raison de la cargaison transportée aucune signalisation avec des cônes ou des feux bleus n</w:t>
      </w:r>
      <w:r w:rsidR="003022F8">
        <w:rPr>
          <w:szCs w:val="18"/>
          <w:lang w:val="fr-FR"/>
        </w:rPr>
        <w:t>’</w:t>
      </w:r>
      <w:r w:rsidR="003022F8" w:rsidRPr="00D97E64">
        <w:rPr>
          <w:szCs w:val="18"/>
          <w:lang w:val="fr-FR"/>
        </w:rPr>
        <w:t>est prescrite</w:t>
      </w:r>
      <w:r w:rsidR="003022F8">
        <w:rPr>
          <w:szCs w:val="18"/>
          <w:lang w:val="fr-FR"/>
        </w:rPr>
        <w:t>,</w:t>
      </w:r>
      <w:r w:rsidR="003022F8" w:rsidRPr="00D97E64">
        <w:rPr>
          <w:szCs w:val="18"/>
          <w:lang w:val="fr-FR"/>
        </w:rPr>
        <w:t xml:space="preserve"> mais que la concentration de gaz </w:t>
      </w:r>
      <w:r w:rsidR="003022F8" w:rsidRPr="00D97E64">
        <w:rPr>
          <w:b/>
          <w:szCs w:val="18"/>
          <w:u w:val="single"/>
          <w:lang w:val="fr-FR"/>
        </w:rPr>
        <w:t>et de vapeurs</w:t>
      </w:r>
      <w:r w:rsidR="003022F8" w:rsidRPr="00D97E64">
        <w:rPr>
          <w:szCs w:val="18"/>
          <w:lang w:val="fr-FR"/>
        </w:rPr>
        <w:t xml:space="preserve"> inflammables </w:t>
      </w:r>
      <w:r w:rsidR="003022F8" w:rsidRPr="00D97E64">
        <w:rPr>
          <w:b/>
          <w:szCs w:val="18"/>
          <w:u w:val="single"/>
          <w:lang w:val="fr-FR"/>
        </w:rPr>
        <w:t>ou toxiques</w:t>
      </w:r>
      <w:r w:rsidR="003022F8" w:rsidRPr="00D97E64">
        <w:rPr>
          <w:szCs w:val="18"/>
          <w:lang w:val="fr-FR"/>
        </w:rPr>
        <w:t xml:space="preserve"> dans les citernes à cargaison, </w:t>
      </w:r>
      <w:r w:rsidR="003022F8" w:rsidRPr="00D97E64">
        <w:rPr>
          <w:b/>
          <w:szCs w:val="18"/>
          <w:u w:val="single"/>
          <w:lang w:val="fr-FR"/>
        </w:rPr>
        <w:t>provenant de la dernière cargaison pour laquelle une telle signalisation était exigée</w:t>
      </w:r>
      <w:r w:rsidR="003022F8" w:rsidRPr="00D97E64">
        <w:rPr>
          <w:szCs w:val="18"/>
          <w:lang w:val="fr-FR"/>
        </w:rPr>
        <w:t xml:space="preserve">, est supérieure  </w:t>
      </w:r>
      <w:r w:rsidR="003022F8">
        <w:rPr>
          <w:szCs w:val="18"/>
          <w:lang w:val="fr-FR"/>
        </w:rPr>
        <w:t xml:space="preserve">à </w:t>
      </w:r>
      <w:r w:rsidR="003022F8" w:rsidRPr="00D97E64">
        <w:rPr>
          <w:szCs w:val="18"/>
          <w:lang w:val="fr-FR"/>
        </w:rPr>
        <w:t xml:space="preserve">20 % de la </w:t>
      </w:r>
      <w:r w:rsidR="003022F8" w:rsidRPr="00D97E64">
        <w:rPr>
          <w:strike/>
          <w:szCs w:val="18"/>
          <w:lang w:val="fr-FR"/>
        </w:rPr>
        <w:t>limite inférieure d</w:t>
      </w:r>
      <w:r w:rsidR="003022F8">
        <w:rPr>
          <w:strike/>
          <w:szCs w:val="18"/>
          <w:lang w:val="fr-FR"/>
        </w:rPr>
        <w:t>’</w:t>
      </w:r>
      <w:r w:rsidR="003022F8" w:rsidRPr="00D97E64">
        <w:rPr>
          <w:strike/>
          <w:szCs w:val="18"/>
          <w:lang w:val="fr-FR"/>
        </w:rPr>
        <w:t>explosion</w:t>
      </w:r>
      <w:r w:rsidR="003022F8" w:rsidRPr="00D97E64">
        <w:rPr>
          <w:szCs w:val="18"/>
          <w:lang w:val="fr-FR"/>
        </w:rPr>
        <w:t xml:space="preserve"> </w:t>
      </w:r>
      <w:r w:rsidR="003022F8" w:rsidRPr="00D97E64">
        <w:rPr>
          <w:b/>
          <w:szCs w:val="18"/>
          <w:u w:val="single"/>
          <w:lang w:val="fr-FR"/>
        </w:rPr>
        <w:t>LIE</w:t>
      </w:r>
      <w:r w:rsidR="003022F8" w:rsidRPr="00D97E64">
        <w:rPr>
          <w:szCs w:val="18"/>
          <w:u w:val="single"/>
          <w:lang w:val="fr-FR"/>
        </w:rPr>
        <w:t xml:space="preserve"> </w:t>
      </w:r>
      <w:r w:rsidR="003022F8" w:rsidRPr="00D97E64">
        <w:rPr>
          <w:b/>
          <w:szCs w:val="18"/>
          <w:u w:val="single"/>
          <w:lang w:val="fr-FR"/>
        </w:rPr>
        <w:t>ou aux niveaux d</w:t>
      </w:r>
      <w:r w:rsidR="003022F8">
        <w:rPr>
          <w:b/>
          <w:szCs w:val="18"/>
          <w:u w:val="single"/>
          <w:lang w:val="fr-FR"/>
        </w:rPr>
        <w:t>’</w:t>
      </w:r>
      <w:r w:rsidR="003022F8" w:rsidRPr="00D97E64">
        <w:rPr>
          <w:b/>
          <w:szCs w:val="18"/>
          <w:u w:val="single"/>
          <w:lang w:val="fr-FR"/>
        </w:rPr>
        <w:t>exposition nationaux admis</w:t>
      </w:r>
      <w:r w:rsidR="003022F8" w:rsidRPr="00D97E64">
        <w:rPr>
          <w:szCs w:val="18"/>
          <w:lang w:val="fr-FR"/>
        </w:rPr>
        <w:t>, le nombre de cônes bleus ou de feux bleus à porter est déterminé par la dernière cargaison pour laquelle une telle signalisation était exigée.</w:t>
      </w:r>
    </w:p>
    <w:p w:rsidR="003022F8" w:rsidRPr="00D97E64" w:rsidRDefault="003022F8" w:rsidP="004D2E81">
      <w:pPr>
        <w:pStyle w:val="SingleTxtG"/>
        <w:keepNext/>
        <w:ind w:left="2268" w:hanging="1134"/>
        <w:jc w:val="left"/>
        <w:rPr>
          <w:szCs w:val="18"/>
          <w:lang w:val="fr-FR"/>
        </w:rPr>
      </w:pPr>
      <w:r w:rsidRPr="00D97E64">
        <w:rPr>
          <w:szCs w:val="18"/>
          <w:lang w:val="fr-FR"/>
        </w:rPr>
        <w:t>8.1.5</w:t>
      </w:r>
      <w:r w:rsidRPr="00D97E64">
        <w:rPr>
          <w:szCs w:val="18"/>
          <w:lang w:val="fr-FR"/>
        </w:rPr>
        <w:tab/>
        <w:t xml:space="preserve">Équipement </w:t>
      </w:r>
      <w:r w:rsidRPr="000409F4">
        <w:rPr>
          <w:szCs w:val="18"/>
          <w:lang w:val="fr-FR"/>
        </w:rPr>
        <w:t>spécial</w:t>
      </w:r>
    </w:p>
    <w:p w:rsidR="003022F8" w:rsidRPr="00D97E64" w:rsidRDefault="003022F8" w:rsidP="00D2419D">
      <w:pPr>
        <w:pStyle w:val="SingleTxtG"/>
        <w:ind w:left="2268" w:hanging="1134"/>
        <w:rPr>
          <w:szCs w:val="18"/>
          <w:lang w:val="fr-FR"/>
        </w:rPr>
      </w:pPr>
      <w:r w:rsidRPr="00D97E64">
        <w:rPr>
          <w:szCs w:val="18"/>
          <w:lang w:val="fr-FR"/>
        </w:rPr>
        <w:t>8.1.5.1</w:t>
      </w:r>
      <w:r w:rsidRPr="00D97E64">
        <w:rPr>
          <w:szCs w:val="18"/>
          <w:lang w:val="fr-FR"/>
        </w:rPr>
        <w:tab/>
        <w:t>(…)</w:t>
      </w:r>
    </w:p>
    <w:p w:rsidR="003022F8" w:rsidRPr="00D97E64" w:rsidRDefault="003022F8" w:rsidP="000409F4">
      <w:pPr>
        <w:pStyle w:val="SingleTxtG"/>
        <w:ind w:left="2268"/>
        <w:rPr>
          <w:szCs w:val="18"/>
          <w:lang w:val="fr-FR"/>
        </w:rPr>
      </w:pPr>
      <w:r w:rsidRPr="00D97E64">
        <w:rPr>
          <w:szCs w:val="18"/>
          <w:lang w:val="fr-FR"/>
        </w:rPr>
        <w:t>TOX</w:t>
      </w:r>
      <w:r w:rsidR="006E0CB2">
        <w:rPr>
          <w:szCs w:val="18"/>
          <w:lang w:val="fr-FR"/>
        </w:rPr>
        <w:t> </w:t>
      </w:r>
      <w:r w:rsidRPr="00D97E64">
        <w:rPr>
          <w:szCs w:val="18"/>
          <w:lang w:val="fr-FR"/>
        </w:rPr>
        <w:t xml:space="preserve">: un </w:t>
      </w:r>
      <w:proofErr w:type="spellStart"/>
      <w:r w:rsidRPr="00D97E64">
        <w:rPr>
          <w:szCs w:val="18"/>
          <w:lang w:val="fr-FR"/>
        </w:rPr>
        <w:t>toximètre</w:t>
      </w:r>
      <w:proofErr w:type="spellEnd"/>
      <w:r w:rsidRPr="00D97E64">
        <w:rPr>
          <w:szCs w:val="18"/>
          <w:lang w:val="fr-FR"/>
        </w:rPr>
        <w:t xml:space="preserve"> </w:t>
      </w:r>
      <w:r w:rsidRPr="00D97E64">
        <w:rPr>
          <w:b/>
          <w:szCs w:val="18"/>
          <w:u w:val="single"/>
          <w:lang w:val="fr-FR"/>
        </w:rPr>
        <w:t>adapté à la cargaison actuelle et précédente,</w:t>
      </w:r>
      <w:r w:rsidRPr="00D97E64">
        <w:rPr>
          <w:szCs w:val="18"/>
          <w:lang w:val="fr-FR"/>
        </w:rPr>
        <w:t xml:space="preserve"> avec </w:t>
      </w:r>
      <w:r w:rsidRPr="00D97E64">
        <w:rPr>
          <w:b/>
          <w:szCs w:val="18"/>
          <w:u w:val="single"/>
          <w:lang w:val="fr-FR"/>
        </w:rPr>
        <w:t>ses accessoires et</w:t>
      </w:r>
      <w:r w:rsidRPr="00D97E64">
        <w:rPr>
          <w:szCs w:val="18"/>
          <w:lang w:val="fr-FR"/>
        </w:rPr>
        <w:t xml:space="preserve"> sa notice d</w:t>
      </w:r>
      <w:r>
        <w:rPr>
          <w:szCs w:val="18"/>
          <w:lang w:val="fr-FR"/>
        </w:rPr>
        <w:t>’</w:t>
      </w:r>
      <w:r w:rsidRPr="00D97E64">
        <w:rPr>
          <w:szCs w:val="18"/>
          <w:lang w:val="fr-FR"/>
        </w:rPr>
        <w:t>utilisation ;</w:t>
      </w:r>
    </w:p>
    <w:p w:rsidR="003022F8" w:rsidRPr="00D97E64" w:rsidRDefault="003022F8" w:rsidP="000409F4">
      <w:pPr>
        <w:pStyle w:val="SingleTxtG"/>
        <w:ind w:left="2268"/>
        <w:rPr>
          <w:szCs w:val="18"/>
          <w:lang w:val="fr-FR"/>
        </w:rPr>
      </w:pPr>
      <w:r w:rsidRPr="00D97E64">
        <w:rPr>
          <w:szCs w:val="18"/>
          <w:lang w:val="fr-FR"/>
        </w:rPr>
        <w:t>(…)</w:t>
      </w:r>
    </w:p>
    <w:p w:rsidR="003022F8" w:rsidRPr="00D97E64" w:rsidRDefault="003022F8" w:rsidP="00D2419D">
      <w:pPr>
        <w:pStyle w:val="SingleTxtG"/>
        <w:ind w:left="2268" w:hanging="1134"/>
        <w:rPr>
          <w:szCs w:val="18"/>
          <w:lang w:val="fr-FR"/>
        </w:rPr>
      </w:pPr>
      <w:r w:rsidRPr="00D97E64">
        <w:rPr>
          <w:szCs w:val="18"/>
          <w:lang w:val="fr-FR"/>
        </w:rPr>
        <w:t>8.1.6</w:t>
      </w:r>
      <w:r w:rsidRPr="00D97E64">
        <w:rPr>
          <w:szCs w:val="18"/>
          <w:lang w:val="fr-FR"/>
        </w:rPr>
        <w:tab/>
        <w:t xml:space="preserve">Vérification et inspection du matériel </w:t>
      </w:r>
    </w:p>
    <w:p w:rsidR="003022F8" w:rsidRPr="00D97E64" w:rsidRDefault="003022F8" w:rsidP="00D2419D">
      <w:pPr>
        <w:pStyle w:val="SingleTxtG"/>
        <w:ind w:left="2268" w:hanging="1134"/>
        <w:rPr>
          <w:szCs w:val="18"/>
          <w:lang w:val="fr-FR"/>
        </w:rPr>
      </w:pPr>
      <w:r w:rsidRPr="00D97E64">
        <w:rPr>
          <w:szCs w:val="18"/>
          <w:lang w:val="fr-FR"/>
        </w:rPr>
        <w:t>8.1.6.4</w:t>
      </w:r>
      <w:r w:rsidRPr="00D97E64">
        <w:rPr>
          <w:szCs w:val="18"/>
          <w:lang w:val="fr-FR"/>
        </w:rPr>
        <w:tab/>
        <w:t>Avant chaque utilisation</w:t>
      </w:r>
      <w:r>
        <w:rPr>
          <w:szCs w:val="18"/>
          <w:lang w:val="fr-FR"/>
        </w:rPr>
        <w:t>,</w:t>
      </w:r>
      <w:r w:rsidRPr="00D97E64">
        <w:rPr>
          <w:szCs w:val="18"/>
          <w:lang w:val="fr-FR"/>
        </w:rPr>
        <w:t xml:space="preserve"> les ins</w:t>
      </w:r>
      <w:r w:rsidR="004D2E81">
        <w:rPr>
          <w:szCs w:val="18"/>
          <w:lang w:val="fr-FR"/>
        </w:rPr>
        <w:t>truments de mesure prescrits au </w:t>
      </w:r>
      <w:r w:rsidRPr="00D97E64">
        <w:rPr>
          <w:szCs w:val="18"/>
          <w:lang w:val="fr-FR"/>
        </w:rPr>
        <w:t>8.1.5.1 doivent être vérifiés par l</w:t>
      </w:r>
      <w:r>
        <w:rPr>
          <w:szCs w:val="18"/>
          <w:lang w:val="fr-FR"/>
        </w:rPr>
        <w:t>’</w:t>
      </w:r>
      <w:r w:rsidRPr="00D97E64">
        <w:rPr>
          <w:strike/>
          <w:szCs w:val="18"/>
          <w:lang w:val="fr-FR"/>
        </w:rPr>
        <w:t>utilisateur</w:t>
      </w:r>
      <w:r w:rsidRPr="00D97E64">
        <w:rPr>
          <w:szCs w:val="18"/>
          <w:lang w:val="fr-FR"/>
        </w:rPr>
        <w:t xml:space="preserve"> </w:t>
      </w:r>
      <w:r w:rsidRPr="00D97E64">
        <w:rPr>
          <w:b/>
          <w:szCs w:val="18"/>
          <w:u w:val="single"/>
          <w:lang w:val="fr-FR"/>
        </w:rPr>
        <w:t>expert</w:t>
      </w:r>
      <w:r w:rsidRPr="00D97E64">
        <w:rPr>
          <w:szCs w:val="18"/>
          <w:lang w:val="fr-FR"/>
        </w:rPr>
        <w:t xml:space="preserve"> selon la notice d</w:t>
      </w:r>
      <w:r>
        <w:rPr>
          <w:szCs w:val="18"/>
          <w:lang w:val="fr-FR"/>
        </w:rPr>
        <w:t>’</w:t>
      </w:r>
      <w:r w:rsidRPr="00D97E64">
        <w:rPr>
          <w:szCs w:val="18"/>
          <w:lang w:val="fr-FR"/>
        </w:rPr>
        <w:t xml:space="preserve">utilisation. </w:t>
      </w:r>
    </w:p>
    <w:p w:rsidR="003022F8" w:rsidRPr="00D97E64" w:rsidRDefault="003022F8" w:rsidP="00D2419D">
      <w:pPr>
        <w:pStyle w:val="SingleTxtG"/>
        <w:ind w:left="2268" w:hanging="1134"/>
        <w:rPr>
          <w:szCs w:val="18"/>
          <w:lang w:val="fr-FR"/>
        </w:rPr>
      </w:pPr>
      <w:r w:rsidRPr="00D97E64">
        <w:rPr>
          <w:szCs w:val="18"/>
          <w:lang w:val="fr-FR"/>
        </w:rPr>
        <w:t>8.2.2</w:t>
      </w:r>
      <w:r w:rsidRPr="00D97E64">
        <w:rPr>
          <w:szCs w:val="18"/>
          <w:lang w:val="fr-FR"/>
        </w:rPr>
        <w:tab/>
        <w:t>Prescriptions particulières relatives à la formation des experts</w:t>
      </w:r>
    </w:p>
    <w:p w:rsidR="003022F8" w:rsidRPr="00D97E64" w:rsidRDefault="003022F8" w:rsidP="00D2419D">
      <w:pPr>
        <w:pStyle w:val="SingleTxtG"/>
        <w:ind w:left="2268" w:hanging="1134"/>
        <w:rPr>
          <w:szCs w:val="18"/>
          <w:lang w:val="fr-FR"/>
        </w:rPr>
      </w:pPr>
      <w:r w:rsidRPr="00D97E64">
        <w:rPr>
          <w:szCs w:val="18"/>
          <w:lang w:val="fr-FR"/>
        </w:rPr>
        <w:t>8.2.2.3.1.3</w:t>
      </w:r>
      <w:r w:rsidRPr="00D97E64">
        <w:rPr>
          <w:szCs w:val="18"/>
          <w:lang w:val="fr-FR"/>
        </w:rPr>
        <w:tab/>
        <w:t>La partie « bateaux-citernes » du cours de formation de base doit comporter au moins les objectifs suivants :</w:t>
      </w:r>
    </w:p>
    <w:p w:rsidR="003022F8" w:rsidRPr="00D97E64" w:rsidRDefault="003022F8" w:rsidP="000409F4">
      <w:pPr>
        <w:pStyle w:val="SingleTxtG"/>
        <w:ind w:left="2268"/>
        <w:rPr>
          <w:szCs w:val="18"/>
          <w:lang w:val="fr-FR"/>
        </w:rPr>
      </w:pPr>
      <w:r w:rsidRPr="00D97E64">
        <w:rPr>
          <w:szCs w:val="18"/>
          <w:lang w:val="fr-FR"/>
        </w:rPr>
        <w:t>(…)</w:t>
      </w:r>
    </w:p>
    <w:p w:rsidR="003022F8" w:rsidRPr="00D97E64" w:rsidRDefault="003022F8" w:rsidP="004D2E81">
      <w:pPr>
        <w:pStyle w:val="SingleTxtG"/>
        <w:keepNext/>
        <w:ind w:left="2268"/>
        <w:rPr>
          <w:szCs w:val="18"/>
          <w:lang w:val="fr-FR"/>
        </w:rPr>
      </w:pPr>
      <w:r w:rsidRPr="00D97E64">
        <w:rPr>
          <w:szCs w:val="18"/>
          <w:lang w:val="fr-FR"/>
        </w:rPr>
        <w:t>Traitement des citernes à cargaison et des locaux contigus :</w:t>
      </w:r>
    </w:p>
    <w:p w:rsidR="003022F8" w:rsidRPr="00D97E64" w:rsidRDefault="004D2E81" w:rsidP="003022F8">
      <w:pPr>
        <w:pStyle w:val="Bullet1G"/>
        <w:numPr>
          <w:ilvl w:val="0"/>
          <w:numId w:val="14"/>
        </w:numPr>
        <w:kinsoku/>
        <w:overflowPunct/>
        <w:autoSpaceDE/>
        <w:autoSpaceDN/>
        <w:adjustRightInd/>
        <w:snapToGrid/>
        <w:spacing w:after="240" w:line="240" w:lineRule="exact"/>
        <w:rPr>
          <w:lang w:val="fr-FR"/>
        </w:rPr>
      </w:pPr>
      <w:r>
        <w:rPr>
          <w:lang w:val="fr-FR"/>
        </w:rPr>
        <w:t>D</w:t>
      </w:r>
      <w:r w:rsidR="003022F8" w:rsidRPr="00D97E64">
        <w:rPr>
          <w:lang w:val="fr-FR"/>
        </w:rPr>
        <w:t xml:space="preserve">égazage </w:t>
      </w:r>
      <w:r w:rsidR="003022F8" w:rsidRPr="001165CD">
        <w:rPr>
          <w:b/>
          <w:u w:val="single"/>
          <w:lang w:val="fr-FR"/>
        </w:rPr>
        <w:t>dans l’atmosphère et dans des stations de réception, nettoyage, maintenance</w:t>
      </w:r>
      <w:r w:rsidR="001165CD">
        <w:rPr>
          <w:b/>
          <w:u w:val="single"/>
          <w:lang w:val="fr-FR"/>
        </w:rPr>
        <w:t> </w:t>
      </w:r>
      <w:r w:rsidR="001165CD">
        <w:rPr>
          <w:lang w:val="fr-FR"/>
        </w:rPr>
        <w:t>;</w:t>
      </w:r>
    </w:p>
    <w:p w:rsidR="003022F8" w:rsidRPr="00D97E64" w:rsidRDefault="003022F8" w:rsidP="000409F4">
      <w:pPr>
        <w:pStyle w:val="SingleTxtG"/>
        <w:ind w:left="2268"/>
        <w:rPr>
          <w:szCs w:val="18"/>
          <w:lang w:val="fr-FR"/>
        </w:rPr>
      </w:pPr>
      <w:r w:rsidRPr="00D97E64">
        <w:rPr>
          <w:szCs w:val="18"/>
          <w:lang w:val="fr-FR"/>
        </w:rPr>
        <w:tab/>
        <w:t>(…)</w:t>
      </w:r>
    </w:p>
    <w:p w:rsidR="003022F8" w:rsidRPr="00D97E64" w:rsidRDefault="003022F8" w:rsidP="00767EC0">
      <w:pPr>
        <w:pStyle w:val="SingleTxtG"/>
        <w:keepNext/>
        <w:spacing w:after="100"/>
        <w:ind w:left="2268" w:hanging="1134"/>
        <w:rPr>
          <w:szCs w:val="18"/>
          <w:lang w:val="fr-FR"/>
        </w:rPr>
      </w:pPr>
      <w:r w:rsidRPr="00D97E64">
        <w:rPr>
          <w:szCs w:val="18"/>
          <w:lang w:val="fr-FR"/>
        </w:rPr>
        <w:t>8.2.2.3.3.1</w:t>
      </w:r>
      <w:r w:rsidRPr="00D97E64">
        <w:rPr>
          <w:szCs w:val="18"/>
          <w:lang w:val="fr-FR"/>
        </w:rPr>
        <w:tab/>
        <w:t>Le cours de spécialisation « gaz » doit comporter au moins les objectifs suivants :</w:t>
      </w:r>
    </w:p>
    <w:p w:rsidR="003022F8" w:rsidRPr="00D97E64" w:rsidRDefault="003022F8" w:rsidP="00767EC0">
      <w:pPr>
        <w:pStyle w:val="SingleTxtG"/>
        <w:spacing w:after="100"/>
        <w:ind w:left="2268"/>
        <w:rPr>
          <w:szCs w:val="18"/>
          <w:lang w:val="fr-FR"/>
        </w:rPr>
      </w:pPr>
      <w:r w:rsidRPr="00D97E64">
        <w:rPr>
          <w:szCs w:val="18"/>
          <w:lang w:val="fr-FR"/>
        </w:rPr>
        <w:t>(…)</w:t>
      </w:r>
    </w:p>
    <w:p w:rsidR="003022F8" w:rsidRPr="00D97E64" w:rsidRDefault="003022F8" w:rsidP="00767EC0">
      <w:pPr>
        <w:pStyle w:val="SingleTxtG"/>
        <w:spacing w:after="100"/>
        <w:ind w:left="2268"/>
        <w:rPr>
          <w:szCs w:val="18"/>
          <w:lang w:val="fr-FR"/>
        </w:rPr>
      </w:pPr>
      <w:r w:rsidRPr="00D97E64">
        <w:rPr>
          <w:szCs w:val="18"/>
          <w:lang w:val="fr-FR"/>
        </w:rPr>
        <w:t>Pratique :</w:t>
      </w:r>
    </w:p>
    <w:p w:rsidR="003022F8" w:rsidRPr="00D97E64" w:rsidRDefault="003022F8" w:rsidP="00767EC0">
      <w:pPr>
        <w:pStyle w:val="SingleTxtG"/>
        <w:spacing w:after="100"/>
        <w:ind w:left="2268"/>
        <w:rPr>
          <w:szCs w:val="18"/>
          <w:lang w:val="fr-FR"/>
        </w:rPr>
      </w:pPr>
      <w:r w:rsidRPr="00D97E64">
        <w:rPr>
          <w:szCs w:val="18"/>
          <w:lang w:val="fr-FR"/>
        </w:rPr>
        <w:t>(…)</w:t>
      </w:r>
    </w:p>
    <w:p w:rsidR="003022F8" w:rsidRPr="00D97E64" w:rsidRDefault="001165CD" w:rsidP="00767EC0">
      <w:pPr>
        <w:pStyle w:val="Bullet1G"/>
        <w:numPr>
          <w:ilvl w:val="0"/>
          <w:numId w:val="14"/>
        </w:numPr>
        <w:kinsoku/>
        <w:overflowPunct/>
        <w:autoSpaceDE/>
        <w:autoSpaceDN/>
        <w:adjustRightInd/>
        <w:snapToGrid/>
        <w:spacing w:after="100" w:line="240" w:lineRule="exact"/>
        <w:rPr>
          <w:lang w:val="fr-FR"/>
        </w:rPr>
      </w:pPr>
      <w:r>
        <w:rPr>
          <w:lang w:val="fr-FR"/>
        </w:rPr>
        <w:t>A</w:t>
      </w:r>
      <w:r w:rsidR="003022F8" w:rsidRPr="00D97E64">
        <w:rPr>
          <w:lang w:val="fr-FR"/>
        </w:rPr>
        <w:t xml:space="preserve">ttestations </w:t>
      </w:r>
      <w:r w:rsidR="003022F8" w:rsidRPr="00D97E64">
        <w:rPr>
          <w:strike/>
          <w:lang w:val="fr-FR"/>
        </w:rPr>
        <w:t>de dégazage</w:t>
      </w:r>
      <w:r w:rsidR="003022F8" w:rsidRPr="00D97E64">
        <w:rPr>
          <w:lang w:val="fr-FR"/>
        </w:rPr>
        <w:t xml:space="preserve"> </w:t>
      </w:r>
      <w:r w:rsidR="003022F8" w:rsidRPr="00D97E64">
        <w:rPr>
          <w:b/>
          <w:u w:val="single"/>
          <w:lang w:val="fr-FR"/>
        </w:rPr>
        <w:t>d</w:t>
      </w:r>
      <w:r w:rsidR="003022F8">
        <w:rPr>
          <w:b/>
          <w:u w:val="single"/>
          <w:lang w:val="fr-FR"/>
        </w:rPr>
        <w:t>’</w:t>
      </w:r>
      <w:r w:rsidR="003022F8" w:rsidRPr="00D97E64">
        <w:rPr>
          <w:b/>
          <w:u w:val="single"/>
          <w:lang w:val="fr-FR"/>
        </w:rPr>
        <w:t>absence de gaz</w:t>
      </w:r>
      <w:r w:rsidR="003022F8" w:rsidRPr="00D97E64">
        <w:rPr>
          <w:lang w:val="fr-FR"/>
        </w:rPr>
        <w:t xml:space="preserve"> et travaux admis</w:t>
      </w:r>
      <w:r w:rsidR="0004341B">
        <w:rPr>
          <w:lang w:val="fr-FR"/>
        </w:rPr>
        <w:t>.</w:t>
      </w:r>
    </w:p>
    <w:p w:rsidR="003022F8" w:rsidRPr="00D97E64" w:rsidRDefault="003022F8" w:rsidP="00767EC0">
      <w:pPr>
        <w:pStyle w:val="SingleTxtG"/>
        <w:spacing w:after="100"/>
        <w:ind w:left="2268"/>
        <w:rPr>
          <w:szCs w:val="18"/>
          <w:lang w:val="fr-FR"/>
        </w:rPr>
      </w:pPr>
      <w:r w:rsidRPr="00D97E64">
        <w:rPr>
          <w:szCs w:val="18"/>
          <w:lang w:val="fr-FR"/>
        </w:rPr>
        <w:t>(…)</w:t>
      </w:r>
    </w:p>
    <w:p w:rsidR="003022F8" w:rsidRPr="00D97E64" w:rsidRDefault="003022F8" w:rsidP="00767EC0">
      <w:pPr>
        <w:pStyle w:val="SingleTxtG"/>
        <w:keepNext/>
        <w:spacing w:after="100"/>
        <w:ind w:left="2268" w:hanging="1134"/>
        <w:rPr>
          <w:szCs w:val="18"/>
          <w:lang w:val="fr-FR"/>
        </w:rPr>
      </w:pPr>
      <w:r w:rsidRPr="00D97E64">
        <w:rPr>
          <w:szCs w:val="18"/>
          <w:lang w:val="fr-FR"/>
        </w:rPr>
        <w:t>8.2.2.3.3.2</w:t>
      </w:r>
      <w:r w:rsidRPr="00D97E64">
        <w:rPr>
          <w:szCs w:val="18"/>
          <w:lang w:val="fr-FR"/>
        </w:rPr>
        <w:tab/>
        <w:t>Le cours de spécialisation « chimie » doit comporter au moins les objectifs suivants :</w:t>
      </w:r>
    </w:p>
    <w:p w:rsidR="003022F8" w:rsidRPr="00D97E64" w:rsidRDefault="003022F8" w:rsidP="00767EC0">
      <w:pPr>
        <w:pStyle w:val="SingleTxtG"/>
        <w:spacing w:after="100"/>
        <w:ind w:left="2268"/>
        <w:rPr>
          <w:szCs w:val="18"/>
          <w:lang w:val="fr-FR"/>
        </w:rPr>
      </w:pPr>
      <w:r w:rsidRPr="00D97E64">
        <w:rPr>
          <w:szCs w:val="18"/>
          <w:lang w:val="fr-FR"/>
        </w:rPr>
        <w:t>(…)</w:t>
      </w:r>
    </w:p>
    <w:p w:rsidR="003022F8" w:rsidRPr="00D97E64" w:rsidRDefault="003022F8" w:rsidP="00767EC0">
      <w:pPr>
        <w:pStyle w:val="SingleTxtG"/>
        <w:spacing w:after="100"/>
        <w:ind w:left="2268"/>
        <w:rPr>
          <w:szCs w:val="18"/>
          <w:lang w:val="fr-FR"/>
        </w:rPr>
      </w:pPr>
      <w:r w:rsidRPr="00D97E64">
        <w:rPr>
          <w:szCs w:val="18"/>
          <w:lang w:val="fr-FR"/>
        </w:rPr>
        <w:t>Pratique :</w:t>
      </w:r>
    </w:p>
    <w:p w:rsidR="003022F8" w:rsidRPr="00D97E64" w:rsidRDefault="0004341B" w:rsidP="00767EC0">
      <w:pPr>
        <w:pStyle w:val="Bullet1G"/>
        <w:numPr>
          <w:ilvl w:val="0"/>
          <w:numId w:val="14"/>
        </w:numPr>
        <w:kinsoku/>
        <w:overflowPunct/>
        <w:autoSpaceDE/>
        <w:autoSpaceDN/>
        <w:adjustRightInd/>
        <w:snapToGrid/>
        <w:spacing w:after="100" w:line="240" w:lineRule="exact"/>
        <w:rPr>
          <w:lang w:val="fr-FR"/>
        </w:rPr>
      </w:pPr>
      <w:r>
        <w:rPr>
          <w:lang w:val="fr-FR"/>
        </w:rPr>
        <w:t>N</w:t>
      </w:r>
      <w:r w:rsidR="003022F8" w:rsidRPr="00D97E64">
        <w:rPr>
          <w:lang w:val="fr-FR"/>
        </w:rPr>
        <w:t xml:space="preserve">ettoyage des citernes à cargaison, par exemple </w:t>
      </w:r>
      <w:r w:rsidR="003022F8" w:rsidRPr="0004341B">
        <w:rPr>
          <w:b/>
          <w:u w:val="single"/>
          <w:lang w:val="fr-FR"/>
        </w:rPr>
        <w:t>dégazage,</w:t>
      </w:r>
      <w:r w:rsidR="003022F8" w:rsidRPr="00D97E64">
        <w:rPr>
          <w:lang w:val="fr-FR"/>
        </w:rPr>
        <w:t xml:space="preserve"> lavage, cargaison restante et récipients pour produits résiduaires</w:t>
      </w:r>
      <w:r w:rsidR="00BB7EB7">
        <w:rPr>
          <w:lang w:val="fr-FR"/>
        </w:rPr>
        <w:t> ;</w:t>
      </w:r>
    </w:p>
    <w:p w:rsidR="003022F8" w:rsidRPr="00D97E64" w:rsidRDefault="003022F8" w:rsidP="00767EC0">
      <w:pPr>
        <w:pStyle w:val="SingleTxtG"/>
        <w:spacing w:after="100"/>
        <w:ind w:left="2268"/>
        <w:rPr>
          <w:bCs/>
          <w:szCs w:val="18"/>
          <w:lang w:val="fr-FR"/>
        </w:rPr>
      </w:pPr>
      <w:r w:rsidRPr="00D97E64">
        <w:rPr>
          <w:bCs/>
          <w:szCs w:val="18"/>
          <w:lang w:val="fr-FR"/>
        </w:rPr>
        <w:t>(…)</w:t>
      </w:r>
    </w:p>
    <w:p w:rsidR="003022F8" w:rsidRPr="00D97E64" w:rsidRDefault="00BB7EB7" w:rsidP="00767EC0">
      <w:pPr>
        <w:pStyle w:val="Bullet1G"/>
        <w:numPr>
          <w:ilvl w:val="0"/>
          <w:numId w:val="14"/>
        </w:numPr>
        <w:kinsoku/>
        <w:overflowPunct/>
        <w:autoSpaceDE/>
        <w:autoSpaceDN/>
        <w:adjustRightInd/>
        <w:snapToGrid/>
        <w:spacing w:after="100" w:line="240" w:lineRule="exact"/>
        <w:rPr>
          <w:lang w:val="fr-FR"/>
        </w:rPr>
      </w:pPr>
      <w:r>
        <w:rPr>
          <w:lang w:val="fr-FR"/>
        </w:rPr>
        <w:t>A</w:t>
      </w:r>
      <w:r w:rsidR="003022F8" w:rsidRPr="00D97E64">
        <w:rPr>
          <w:lang w:val="fr-FR"/>
        </w:rPr>
        <w:t xml:space="preserve">ttestations </w:t>
      </w:r>
      <w:r w:rsidR="003022F8" w:rsidRPr="00D97E64">
        <w:rPr>
          <w:strike/>
          <w:lang w:val="fr-FR"/>
        </w:rPr>
        <w:t>de dégazage</w:t>
      </w:r>
      <w:r w:rsidR="003022F8" w:rsidRPr="00D97E64">
        <w:rPr>
          <w:lang w:val="fr-FR"/>
        </w:rPr>
        <w:t xml:space="preserve"> </w:t>
      </w:r>
      <w:r w:rsidR="003022F8" w:rsidRPr="00D97E64">
        <w:rPr>
          <w:b/>
          <w:u w:val="single"/>
          <w:lang w:val="fr-FR"/>
        </w:rPr>
        <w:t>d</w:t>
      </w:r>
      <w:r w:rsidR="003022F8">
        <w:rPr>
          <w:b/>
          <w:u w:val="single"/>
          <w:lang w:val="fr-FR"/>
        </w:rPr>
        <w:t>’</w:t>
      </w:r>
      <w:r w:rsidR="003022F8" w:rsidRPr="00D97E64">
        <w:rPr>
          <w:b/>
          <w:u w:val="single"/>
          <w:lang w:val="fr-FR"/>
        </w:rPr>
        <w:t>absence de gaz</w:t>
      </w:r>
      <w:r w:rsidR="003022F8" w:rsidRPr="00D97E64">
        <w:rPr>
          <w:lang w:val="fr-FR"/>
        </w:rPr>
        <w:t xml:space="preserve"> et travaux admis</w:t>
      </w:r>
      <w:r>
        <w:rPr>
          <w:lang w:val="fr-FR"/>
        </w:rPr>
        <w:t>.</w:t>
      </w:r>
    </w:p>
    <w:p w:rsidR="003022F8" w:rsidRPr="00D97E64" w:rsidRDefault="003022F8" w:rsidP="00767EC0">
      <w:pPr>
        <w:pStyle w:val="SingleTxtG"/>
        <w:spacing w:after="100"/>
        <w:ind w:left="2268"/>
        <w:rPr>
          <w:szCs w:val="18"/>
          <w:lang w:val="fr-FR"/>
        </w:rPr>
      </w:pPr>
      <w:r w:rsidRPr="00D97E64">
        <w:rPr>
          <w:szCs w:val="18"/>
          <w:lang w:val="fr-FR"/>
        </w:rPr>
        <w:t>(…)</w:t>
      </w:r>
    </w:p>
    <w:p w:rsidR="003022F8" w:rsidRPr="00D97E64" w:rsidRDefault="003022F8" w:rsidP="00767EC0">
      <w:pPr>
        <w:pStyle w:val="SingleTxtG"/>
        <w:keepNext/>
        <w:spacing w:after="100"/>
        <w:ind w:left="2268" w:hanging="1134"/>
        <w:jc w:val="left"/>
        <w:rPr>
          <w:lang w:val="fr-FR"/>
        </w:rPr>
      </w:pPr>
      <w:r w:rsidRPr="00D97E64">
        <w:rPr>
          <w:lang w:val="fr-FR"/>
        </w:rPr>
        <w:t>8.6</w:t>
      </w:r>
      <w:r w:rsidRPr="00D97E64">
        <w:rPr>
          <w:lang w:val="fr-FR"/>
        </w:rPr>
        <w:tab/>
        <w:t>Documents</w:t>
      </w:r>
    </w:p>
    <w:p w:rsidR="005E647A" w:rsidRDefault="003022F8" w:rsidP="00D12DB9">
      <w:pPr>
        <w:pStyle w:val="SingleTxtG"/>
        <w:spacing w:after="200"/>
        <w:ind w:left="2268" w:hanging="1134"/>
        <w:rPr>
          <w:b/>
          <w:u w:val="single"/>
          <w:lang w:val="fr-FR"/>
        </w:rPr>
      </w:pPr>
      <w:r w:rsidRPr="00D97E64">
        <w:rPr>
          <w:lang w:val="fr-FR"/>
        </w:rPr>
        <w:t>8.6.4</w:t>
      </w:r>
      <w:r w:rsidRPr="00D97E64">
        <w:rPr>
          <w:lang w:val="fr-FR"/>
        </w:rPr>
        <w:tab/>
      </w:r>
      <w:r w:rsidRPr="00D97E64">
        <w:rPr>
          <w:strike/>
          <w:lang w:val="fr-FR"/>
        </w:rPr>
        <w:t>(Supprimé)</w:t>
      </w:r>
      <w:r w:rsidRPr="00D97E64">
        <w:rPr>
          <w:lang w:val="fr-FR"/>
        </w:rPr>
        <w:t xml:space="preserve"> </w:t>
      </w:r>
      <w:r w:rsidRPr="00D97E64">
        <w:rPr>
          <w:b/>
          <w:u w:val="single"/>
          <w:lang w:val="fr-FR"/>
        </w:rPr>
        <w:t>Liste de contrôle pour le dégazage dans une station de réception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118"/>
        <w:gridCol w:w="2552"/>
        <w:gridCol w:w="1559"/>
        <w:gridCol w:w="1309"/>
      </w:tblGrid>
      <w:tr w:rsidR="003022F8" w:rsidRPr="00D97E64" w:rsidTr="00A66EA5">
        <w:tc>
          <w:tcPr>
            <w:tcW w:w="9639" w:type="dxa"/>
            <w:gridSpan w:val="5"/>
            <w:tcBorders>
              <w:bottom w:val="nil"/>
            </w:tcBorders>
          </w:tcPr>
          <w:p w:rsidR="003022F8" w:rsidRDefault="003022F8" w:rsidP="00911CE2">
            <w:pPr>
              <w:spacing w:after="80" w:line="240" w:lineRule="exact"/>
              <w:jc w:val="right"/>
              <w:rPr>
                <w:b/>
                <w:lang w:val="fr-FR"/>
              </w:rPr>
            </w:pPr>
            <w:r>
              <w:rPr>
                <w:b/>
                <w:u w:val="single"/>
                <w:lang w:val="fr-FR"/>
              </w:rPr>
              <w:br w:type="page"/>
            </w:r>
            <w:r w:rsidRPr="00D97E64">
              <w:rPr>
                <w:b/>
                <w:lang w:val="fr-FR"/>
              </w:rPr>
              <w:t>1</w:t>
            </w:r>
          </w:p>
          <w:p w:rsidR="003022F8" w:rsidRPr="00D97E64" w:rsidRDefault="003022F8" w:rsidP="00911CE2">
            <w:pPr>
              <w:spacing w:after="80" w:line="240" w:lineRule="exact"/>
              <w:jc w:val="center"/>
              <w:rPr>
                <w:b/>
                <w:bCs/>
                <w:lang w:val="fr-FR"/>
              </w:rPr>
            </w:pPr>
            <w:r w:rsidRPr="00D97E64">
              <w:rPr>
                <w:b/>
                <w:bCs/>
                <w:lang w:val="fr-FR"/>
              </w:rPr>
              <w:t>Liste de contrôle ADN</w:t>
            </w:r>
          </w:p>
          <w:p w:rsidR="003022F8" w:rsidRPr="00D97E64" w:rsidRDefault="003022F8" w:rsidP="00911CE2">
            <w:pPr>
              <w:spacing w:after="80" w:line="240" w:lineRule="exact"/>
              <w:rPr>
                <w:lang w:val="fr-FR"/>
              </w:rPr>
            </w:pPr>
            <w:r w:rsidRPr="00D97E64">
              <w:rPr>
                <w:lang w:val="fr-FR"/>
              </w:rPr>
              <w:t>concernant l</w:t>
            </w:r>
            <w:r>
              <w:rPr>
                <w:lang w:val="fr-FR"/>
              </w:rPr>
              <w:t>’</w:t>
            </w:r>
            <w:r w:rsidRPr="00D97E64">
              <w:rPr>
                <w:lang w:val="fr-FR"/>
              </w:rPr>
              <w:t>observation des prescriptions de sécurité et la mise en œuvre des mesures nécessaires pour le dégazage dans une station de réception</w:t>
            </w:r>
          </w:p>
        </w:tc>
      </w:tr>
      <w:tr w:rsidR="003022F8" w:rsidRPr="00D97E64" w:rsidTr="005B2808">
        <w:tc>
          <w:tcPr>
            <w:tcW w:w="4219" w:type="dxa"/>
            <w:gridSpan w:val="2"/>
            <w:tcBorders>
              <w:top w:val="nil"/>
              <w:bottom w:val="nil"/>
              <w:right w:val="nil"/>
            </w:tcBorders>
          </w:tcPr>
          <w:p w:rsidR="003022F8" w:rsidRPr="00D97E64" w:rsidRDefault="003022F8" w:rsidP="00911CE2">
            <w:pPr>
              <w:tabs>
                <w:tab w:val="left" w:pos="459"/>
              </w:tabs>
              <w:spacing w:after="80" w:line="240" w:lineRule="exact"/>
              <w:ind w:left="284" w:hanging="284"/>
              <w:rPr>
                <w:b/>
                <w:lang w:val="fr-FR"/>
              </w:rPr>
            </w:pPr>
            <w:r w:rsidRPr="00D97E64">
              <w:rPr>
                <w:lang w:val="fr-FR"/>
              </w:rPr>
              <w:t>–</w:t>
            </w:r>
            <w:r w:rsidRPr="00D97E64">
              <w:rPr>
                <w:lang w:val="fr-FR"/>
              </w:rPr>
              <w:tab/>
            </w:r>
            <w:r w:rsidRPr="00D97E64">
              <w:rPr>
                <w:b/>
                <w:lang w:val="fr-FR"/>
              </w:rPr>
              <w:t>Informations relatives au bateau</w:t>
            </w:r>
          </w:p>
          <w:p w:rsidR="003022F8" w:rsidRPr="00D97E64" w:rsidRDefault="003022F8" w:rsidP="00911CE2">
            <w:pPr>
              <w:tabs>
                <w:tab w:val="left" w:pos="459"/>
              </w:tabs>
              <w:spacing w:after="80" w:line="240" w:lineRule="exact"/>
              <w:ind w:left="284"/>
              <w:rPr>
                <w:lang w:val="fr-FR"/>
              </w:rPr>
            </w:pPr>
            <w:r w:rsidRPr="00D97E64">
              <w:rPr>
                <w:lang w:val="fr-FR"/>
              </w:rPr>
              <w:t>…………………………………………..</w:t>
            </w:r>
            <w:r w:rsidR="00CC6784">
              <w:rPr>
                <w:lang w:val="fr-FR"/>
              </w:rPr>
              <w:br/>
            </w:r>
            <w:r w:rsidRPr="00D97E64">
              <w:rPr>
                <w:lang w:val="fr-FR"/>
              </w:rPr>
              <w:t>(nom du bateau)</w:t>
            </w:r>
          </w:p>
          <w:p w:rsidR="003022F8" w:rsidRPr="00D97E64" w:rsidRDefault="003022F8" w:rsidP="00911CE2">
            <w:pPr>
              <w:tabs>
                <w:tab w:val="left" w:pos="459"/>
              </w:tabs>
              <w:spacing w:after="80" w:line="240" w:lineRule="exact"/>
              <w:ind w:left="284"/>
              <w:rPr>
                <w:lang w:val="fr-FR"/>
              </w:rPr>
            </w:pPr>
            <w:r w:rsidRPr="00D97E64">
              <w:rPr>
                <w:lang w:val="fr-FR"/>
              </w:rPr>
              <w:t>…………………………………………..</w:t>
            </w:r>
            <w:r w:rsidR="00CC6784">
              <w:rPr>
                <w:lang w:val="fr-FR"/>
              </w:rPr>
              <w:t xml:space="preserve"> </w:t>
            </w:r>
            <w:r w:rsidR="00CC6784">
              <w:rPr>
                <w:lang w:val="fr-FR"/>
              </w:rPr>
              <w:br/>
            </w:r>
            <w:r w:rsidR="00DF097B" w:rsidRPr="00D97E64">
              <w:rPr>
                <w:lang w:val="fr-FR"/>
              </w:rPr>
              <w:t xml:space="preserve"> </w:t>
            </w:r>
            <w:r w:rsidRPr="00D97E64">
              <w:rPr>
                <w:lang w:val="fr-FR"/>
              </w:rPr>
              <w:t>(type de bateau)</w:t>
            </w:r>
          </w:p>
        </w:tc>
        <w:tc>
          <w:tcPr>
            <w:tcW w:w="5420" w:type="dxa"/>
            <w:gridSpan w:val="3"/>
            <w:tcBorders>
              <w:top w:val="nil"/>
              <w:left w:val="nil"/>
              <w:bottom w:val="nil"/>
            </w:tcBorders>
          </w:tcPr>
          <w:p w:rsidR="003022F8" w:rsidRPr="00D97E64" w:rsidRDefault="003022F8" w:rsidP="00911CE2">
            <w:pPr>
              <w:spacing w:after="80" w:line="240" w:lineRule="exact"/>
              <w:rPr>
                <w:lang w:val="fr-FR"/>
              </w:rPr>
            </w:pPr>
          </w:p>
          <w:p w:rsidR="003022F8" w:rsidRPr="00D97E64" w:rsidRDefault="00CC6784" w:rsidP="00911CE2">
            <w:pPr>
              <w:spacing w:after="80" w:line="240" w:lineRule="exact"/>
              <w:rPr>
                <w:lang w:val="fr-FR"/>
              </w:rPr>
            </w:pPr>
            <w:r>
              <w:rPr>
                <w:rFonts w:eastAsia="MS Mincho"/>
                <w:lang w:val="fr-FR"/>
              </w:rPr>
              <w:t>N</w:t>
            </w:r>
            <w:r w:rsidRPr="00CC6784">
              <w:rPr>
                <w:rFonts w:eastAsia="MS Mincho"/>
                <w:vertAlign w:val="superscript"/>
                <w:lang w:val="fr-FR"/>
              </w:rPr>
              <w:t>o</w:t>
            </w:r>
            <w:r w:rsidR="003022F8" w:rsidRPr="00D97E64">
              <w:rPr>
                <w:lang w:val="fr-FR"/>
              </w:rPr>
              <w:t xml:space="preserve"> …………………………………………...</w:t>
            </w:r>
            <w:r>
              <w:rPr>
                <w:lang w:val="fr-FR"/>
              </w:rPr>
              <w:t xml:space="preserve"> </w:t>
            </w:r>
            <w:r>
              <w:rPr>
                <w:lang w:val="fr-FR"/>
              </w:rPr>
              <w:br/>
            </w:r>
            <w:r w:rsidR="003022F8" w:rsidRPr="00D97E64">
              <w:rPr>
                <w:lang w:val="fr-FR"/>
              </w:rPr>
              <w:t>(numéro officiel)</w:t>
            </w:r>
          </w:p>
        </w:tc>
      </w:tr>
      <w:tr w:rsidR="003022F8" w:rsidRPr="00D97E64" w:rsidTr="00A66EA5">
        <w:tc>
          <w:tcPr>
            <w:tcW w:w="9639" w:type="dxa"/>
            <w:gridSpan w:val="5"/>
            <w:tcBorders>
              <w:top w:val="nil"/>
              <w:bottom w:val="nil"/>
            </w:tcBorders>
          </w:tcPr>
          <w:p w:rsidR="003022F8" w:rsidRPr="00D97E64" w:rsidRDefault="003022F8" w:rsidP="00911CE2">
            <w:pPr>
              <w:tabs>
                <w:tab w:val="left" w:pos="459"/>
              </w:tabs>
              <w:spacing w:after="80" w:line="240" w:lineRule="exact"/>
              <w:ind w:left="284" w:hanging="284"/>
              <w:rPr>
                <w:lang w:val="fr-FR"/>
              </w:rPr>
            </w:pPr>
            <w:r w:rsidRPr="00D97E64">
              <w:rPr>
                <w:lang w:val="fr-FR"/>
              </w:rPr>
              <w:t>–</w:t>
            </w:r>
            <w:r w:rsidRPr="00D97E64">
              <w:rPr>
                <w:lang w:val="fr-FR"/>
              </w:rPr>
              <w:tab/>
            </w:r>
            <w:r w:rsidRPr="00D97E64">
              <w:rPr>
                <w:b/>
                <w:lang w:val="fr-FR"/>
              </w:rPr>
              <w:t>Informations relatives à la station de réception</w:t>
            </w:r>
          </w:p>
        </w:tc>
      </w:tr>
      <w:tr w:rsidR="003022F8" w:rsidRPr="00D97E64" w:rsidTr="005B2808">
        <w:tc>
          <w:tcPr>
            <w:tcW w:w="4219" w:type="dxa"/>
            <w:gridSpan w:val="2"/>
            <w:tcBorders>
              <w:top w:val="nil"/>
              <w:bottom w:val="nil"/>
              <w:right w:val="nil"/>
            </w:tcBorders>
          </w:tcPr>
          <w:p w:rsidR="003022F8" w:rsidRPr="00D97E64" w:rsidRDefault="003022F8" w:rsidP="00911CE2">
            <w:pPr>
              <w:tabs>
                <w:tab w:val="left" w:pos="459"/>
              </w:tabs>
              <w:spacing w:after="80" w:line="240" w:lineRule="exact"/>
              <w:ind w:left="284"/>
              <w:rPr>
                <w:lang w:val="fr-FR"/>
              </w:rPr>
            </w:pPr>
            <w:r w:rsidRPr="00D97E64">
              <w:rPr>
                <w:lang w:val="fr-FR"/>
              </w:rPr>
              <w:t>…………………………………………...</w:t>
            </w:r>
            <w:r w:rsidR="00135AA6">
              <w:rPr>
                <w:lang w:val="fr-FR"/>
              </w:rPr>
              <w:t xml:space="preserve"> </w:t>
            </w:r>
            <w:r w:rsidR="00135AA6">
              <w:rPr>
                <w:lang w:val="fr-FR"/>
              </w:rPr>
              <w:br/>
            </w:r>
            <w:r w:rsidRPr="00D97E64">
              <w:rPr>
                <w:lang w:val="fr-FR"/>
              </w:rPr>
              <w:t>(station de réception)</w:t>
            </w:r>
          </w:p>
          <w:p w:rsidR="003022F8" w:rsidRDefault="003022F8" w:rsidP="00911CE2">
            <w:pPr>
              <w:tabs>
                <w:tab w:val="left" w:pos="459"/>
              </w:tabs>
              <w:spacing w:after="80" w:line="240" w:lineRule="exact"/>
              <w:ind w:left="284"/>
              <w:rPr>
                <w:lang w:val="fr-FR"/>
              </w:rPr>
            </w:pPr>
            <w:r w:rsidRPr="00D97E64">
              <w:rPr>
                <w:lang w:val="fr-FR"/>
              </w:rPr>
              <w:t>…………………………………………...</w:t>
            </w:r>
            <w:r w:rsidR="008B2FFD">
              <w:rPr>
                <w:lang w:val="fr-FR"/>
              </w:rPr>
              <w:t xml:space="preserve"> </w:t>
            </w:r>
            <w:r w:rsidR="008B2FFD">
              <w:rPr>
                <w:lang w:val="fr-FR"/>
              </w:rPr>
              <w:br/>
            </w:r>
            <w:r w:rsidRPr="00D97E64">
              <w:rPr>
                <w:lang w:val="fr-FR"/>
              </w:rPr>
              <w:t>(date)</w:t>
            </w:r>
          </w:p>
          <w:p w:rsidR="003022F8" w:rsidRPr="00D97E64" w:rsidRDefault="003022F8" w:rsidP="00911CE2">
            <w:pPr>
              <w:tabs>
                <w:tab w:val="left" w:pos="459"/>
              </w:tabs>
              <w:spacing w:after="80" w:line="240" w:lineRule="exact"/>
              <w:ind w:left="284"/>
              <w:rPr>
                <w:lang w:val="fr-FR"/>
              </w:rPr>
            </w:pPr>
            <w:r w:rsidRPr="00D97E64">
              <w:rPr>
                <w:lang w:val="fr-FR"/>
              </w:rPr>
              <w:t>Station de réception agréée conformément aux dispositions de la CDNI ?</w:t>
            </w:r>
          </w:p>
        </w:tc>
        <w:tc>
          <w:tcPr>
            <w:tcW w:w="5420" w:type="dxa"/>
            <w:gridSpan w:val="3"/>
            <w:tcBorders>
              <w:top w:val="nil"/>
              <w:left w:val="nil"/>
              <w:bottom w:val="nil"/>
            </w:tcBorders>
          </w:tcPr>
          <w:p w:rsidR="003022F8" w:rsidRPr="00D97E64" w:rsidRDefault="003022F8" w:rsidP="00911CE2">
            <w:pPr>
              <w:tabs>
                <w:tab w:val="left" w:pos="459"/>
              </w:tabs>
              <w:spacing w:after="80" w:line="240" w:lineRule="exact"/>
              <w:ind w:left="284"/>
              <w:rPr>
                <w:lang w:val="fr-FR"/>
              </w:rPr>
            </w:pPr>
            <w:r w:rsidRPr="00D97E64">
              <w:rPr>
                <w:lang w:val="fr-FR"/>
              </w:rPr>
              <w:t>………………………………………………..</w:t>
            </w:r>
            <w:r w:rsidR="008B2FFD">
              <w:rPr>
                <w:lang w:val="fr-FR"/>
              </w:rPr>
              <w:t xml:space="preserve"> </w:t>
            </w:r>
            <w:r w:rsidR="008B2FFD">
              <w:rPr>
                <w:lang w:val="fr-FR"/>
              </w:rPr>
              <w:br/>
            </w:r>
            <w:r w:rsidRPr="00D97E64">
              <w:rPr>
                <w:lang w:val="fr-FR"/>
              </w:rPr>
              <w:t>(</w:t>
            </w:r>
            <w:proofErr w:type="gramStart"/>
            <w:r w:rsidRPr="00D97E64">
              <w:rPr>
                <w:lang w:val="fr-FR"/>
              </w:rPr>
              <w:t>lieu</w:t>
            </w:r>
            <w:proofErr w:type="gramEnd"/>
            <w:r w:rsidRPr="00D97E64">
              <w:rPr>
                <w:lang w:val="fr-FR"/>
              </w:rPr>
              <w:t>)</w:t>
            </w:r>
          </w:p>
          <w:p w:rsidR="003022F8" w:rsidRDefault="003022F8" w:rsidP="00911CE2">
            <w:pPr>
              <w:tabs>
                <w:tab w:val="left" w:pos="459"/>
              </w:tabs>
              <w:spacing w:after="80" w:line="240" w:lineRule="exact"/>
              <w:ind w:left="284"/>
              <w:rPr>
                <w:lang w:val="fr-FR"/>
              </w:rPr>
            </w:pPr>
            <w:r w:rsidRPr="00D97E64">
              <w:rPr>
                <w:lang w:val="fr-FR"/>
              </w:rPr>
              <w:t>………………………………………………..</w:t>
            </w:r>
            <w:r w:rsidR="008B2FFD">
              <w:rPr>
                <w:lang w:val="fr-FR"/>
              </w:rPr>
              <w:t xml:space="preserve"> </w:t>
            </w:r>
            <w:r w:rsidR="008B2FFD">
              <w:rPr>
                <w:lang w:val="fr-FR"/>
              </w:rPr>
              <w:br/>
            </w:r>
            <w:r w:rsidRPr="00D97E64">
              <w:rPr>
                <w:lang w:val="fr-FR"/>
              </w:rPr>
              <w:t>(</w:t>
            </w:r>
            <w:proofErr w:type="gramStart"/>
            <w:r w:rsidRPr="00D97E64">
              <w:rPr>
                <w:lang w:val="fr-FR"/>
              </w:rPr>
              <w:t>heure</w:t>
            </w:r>
            <w:proofErr w:type="gramEnd"/>
            <w:r w:rsidRPr="00D97E64">
              <w:rPr>
                <w:lang w:val="fr-FR"/>
              </w:rPr>
              <w:t>)</w:t>
            </w:r>
          </w:p>
          <w:p w:rsidR="003022F8" w:rsidRPr="00D97E64" w:rsidRDefault="003022F8" w:rsidP="00911CE2">
            <w:pPr>
              <w:spacing w:after="80" w:line="240" w:lineRule="exact"/>
              <w:ind w:left="284"/>
              <w:rPr>
                <w:lang w:val="fr-FR"/>
              </w:rPr>
            </w:pPr>
            <w:r w:rsidRPr="00D97E64">
              <w:rPr>
                <w:lang w:val="fr-FR"/>
              </w:rPr>
              <w:sym w:font="Wingdings" w:char="F06F"/>
            </w:r>
            <w:r w:rsidRPr="00D97E64">
              <w:rPr>
                <w:lang w:val="fr-FR"/>
              </w:rPr>
              <w:t xml:space="preserve"> </w:t>
            </w:r>
            <w:r w:rsidR="008B2FFD">
              <w:rPr>
                <w:lang w:val="fr-FR"/>
              </w:rPr>
              <w:t xml:space="preserve"> </w:t>
            </w:r>
            <w:r w:rsidRPr="00D97E64">
              <w:rPr>
                <w:lang w:val="fr-FR"/>
              </w:rPr>
              <w:t xml:space="preserve">Oui </w:t>
            </w:r>
            <w:r w:rsidR="008B2FFD">
              <w:rPr>
                <w:lang w:val="fr-FR"/>
              </w:rPr>
              <w:tab/>
            </w:r>
            <w:r w:rsidRPr="00D97E64">
              <w:rPr>
                <w:lang w:val="fr-FR"/>
              </w:rPr>
              <w:sym w:font="Wingdings" w:char="F06F"/>
            </w:r>
            <w:r w:rsidRPr="00D97E64">
              <w:rPr>
                <w:lang w:val="fr-FR"/>
              </w:rPr>
              <w:t xml:space="preserve"> Non</w:t>
            </w:r>
          </w:p>
        </w:tc>
      </w:tr>
      <w:tr w:rsidR="003022F8" w:rsidRPr="00D97E64" w:rsidTr="00A66EA5">
        <w:tc>
          <w:tcPr>
            <w:tcW w:w="9639" w:type="dxa"/>
            <w:gridSpan w:val="5"/>
            <w:tcBorders>
              <w:top w:val="nil"/>
            </w:tcBorders>
          </w:tcPr>
          <w:p w:rsidR="003022F8" w:rsidRPr="00D97E64" w:rsidRDefault="003022F8" w:rsidP="00DF097B">
            <w:pPr>
              <w:tabs>
                <w:tab w:val="left" w:pos="459"/>
              </w:tabs>
              <w:spacing w:after="120" w:line="240" w:lineRule="exact"/>
              <w:ind w:left="284" w:hanging="284"/>
              <w:rPr>
                <w:lang w:val="fr-FR"/>
              </w:rPr>
            </w:pPr>
            <w:r w:rsidRPr="00D97E64">
              <w:rPr>
                <w:lang w:val="fr-FR"/>
              </w:rPr>
              <w:t>–</w:t>
            </w:r>
            <w:r w:rsidRPr="00D97E64">
              <w:rPr>
                <w:lang w:val="fr-FR"/>
              </w:rPr>
              <w:tab/>
            </w:r>
            <w:r w:rsidRPr="00D97E64">
              <w:rPr>
                <w:b/>
                <w:lang w:val="fr-FR"/>
              </w:rPr>
              <w:t>Informations relatives à la cargaison à dégazer telles qu</w:t>
            </w:r>
            <w:r>
              <w:rPr>
                <w:b/>
                <w:lang w:val="fr-FR"/>
              </w:rPr>
              <w:t>’</w:t>
            </w:r>
            <w:r w:rsidRPr="00D97E64">
              <w:rPr>
                <w:b/>
                <w:lang w:val="fr-FR"/>
              </w:rPr>
              <w:t>indiquées dans le document de transport</w:t>
            </w:r>
          </w:p>
        </w:tc>
      </w:tr>
      <w:tr w:rsidR="003022F8" w:rsidRPr="00D97E64" w:rsidTr="005B2808">
        <w:tc>
          <w:tcPr>
            <w:tcW w:w="1101" w:type="dxa"/>
            <w:tcBorders>
              <w:bottom w:val="single" w:sz="4" w:space="0" w:color="auto"/>
            </w:tcBorders>
            <w:vAlign w:val="center"/>
          </w:tcPr>
          <w:p w:rsidR="003022F8" w:rsidRPr="00D97E64" w:rsidRDefault="003022F8" w:rsidP="006E0CB2">
            <w:pPr>
              <w:spacing w:before="40" w:after="40" w:line="240" w:lineRule="exact"/>
              <w:jc w:val="center"/>
              <w:rPr>
                <w:lang w:val="fr-FR"/>
              </w:rPr>
            </w:pPr>
            <w:r w:rsidRPr="00D97E64">
              <w:rPr>
                <w:lang w:val="fr-FR"/>
              </w:rPr>
              <w:t xml:space="preserve">Quantité </w:t>
            </w:r>
            <w:r w:rsidR="005B2808">
              <w:rPr>
                <w:lang w:val="fr-FR"/>
              </w:rPr>
              <w:br/>
            </w:r>
            <w:r w:rsidRPr="00D97E64">
              <w:rPr>
                <w:lang w:val="fr-FR"/>
              </w:rPr>
              <w:t>m</w:t>
            </w:r>
            <w:r w:rsidRPr="00D97E64">
              <w:rPr>
                <w:vertAlign w:val="superscript"/>
                <w:lang w:val="fr-FR"/>
              </w:rPr>
              <w:t>3</w:t>
            </w:r>
          </w:p>
        </w:tc>
        <w:tc>
          <w:tcPr>
            <w:tcW w:w="3118" w:type="dxa"/>
            <w:tcBorders>
              <w:bottom w:val="single" w:sz="4" w:space="0" w:color="auto"/>
            </w:tcBorders>
            <w:vAlign w:val="center"/>
          </w:tcPr>
          <w:p w:rsidR="003022F8" w:rsidRPr="00D97E64" w:rsidRDefault="003022F8" w:rsidP="006E0CB2">
            <w:pPr>
              <w:spacing w:before="40" w:after="40" w:line="240" w:lineRule="exact"/>
              <w:jc w:val="center"/>
              <w:rPr>
                <w:lang w:val="fr-FR"/>
              </w:rPr>
            </w:pPr>
            <w:r w:rsidRPr="00D97E64">
              <w:rPr>
                <w:lang w:val="fr-FR"/>
              </w:rPr>
              <w:t xml:space="preserve">Désignation officielle </w:t>
            </w:r>
            <w:r w:rsidR="00112977">
              <w:rPr>
                <w:lang w:val="fr-FR"/>
              </w:rPr>
              <w:br/>
            </w:r>
            <w:r w:rsidRPr="00D97E64">
              <w:rPr>
                <w:lang w:val="fr-FR"/>
              </w:rPr>
              <w:t>de transport</w:t>
            </w:r>
            <w:r w:rsidRPr="00112977">
              <w:rPr>
                <w:lang w:val="fr-FR"/>
              </w:rPr>
              <w:t>**</w:t>
            </w:r>
          </w:p>
        </w:tc>
        <w:tc>
          <w:tcPr>
            <w:tcW w:w="2552" w:type="dxa"/>
            <w:tcBorders>
              <w:bottom w:val="single" w:sz="4" w:space="0" w:color="auto"/>
            </w:tcBorders>
            <w:vAlign w:val="center"/>
          </w:tcPr>
          <w:p w:rsidR="003022F8" w:rsidRPr="00D97E64" w:rsidRDefault="003022F8" w:rsidP="006E0CB2">
            <w:pPr>
              <w:spacing w:before="40" w:after="40" w:line="240" w:lineRule="exact"/>
              <w:jc w:val="center"/>
              <w:rPr>
                <w:lang w:val="fr-FR"/>
              </w:rPr>
            </w:pPr>
            <w:r w:rsidRPr="00D97E64">
              <w:rPr>
                <w:lang w:val="fr-FR"/>
              </w:rPr>
              <w:t>N</w:t>
            </w:r>
            <w:r w:rsidR="00112977">
              <w:rPr>
                <w:lang w:val="fr-FR"/>
              </w:rPr>
              <w:t>o</w:t>
            </w:r>
            <w:r w:rsidRPr="00D97E64">
              <w:rPr>
                <w:lang w:val="fr-FR"/>
              </w:rPr>
              <w:t xml:space="preserve"> ONU ou numéro d</w:t>
            </w:r>
            <w:r>
              <w:rPr>
                <w:lang w:val="fr-FR"/>
              </w:rPr>
              <w:t>’</w:t>
            </w:r>
            <w:r w:rsidRPr="00D97E64">
              <w:rPr>
                <w:lang w:val="fr-FR"/>
              </w:rPr>
              <w:t>identification de la matière</w:t>
            </w:r>
          </w:p>
        </w:tc>
        <w:tc>
          <w:tcPr>
            <w:tcW w:w="1559" w:type="dxa"/>
            <w:tcBorders>
              <w:bottom w:val="single" w:sz="4" w:space="0" w:color="auto"/>
            </w:tcBorders>
            <w:shd w:val="clear" w:color="auto" w:fill="auto"/>
            <w:vAlign w:val="center"/>
          </w:tcPr>
          <w:p w:rsidR="003022F8" w:rsidRPr="00D97E64" w:rsidRDefault="003022F8" w:rsidP="006E0CB2">
            <w:pPr>
              <w:spacing w:before="40" w:after="40" w:line="240" w:lineRule="exact"/>
              <w:jc w:val="center"/>
              <w:rPr>
                <w:lang w:val="fr-FR"/>
              </w:rPr>
            </w:pPr>
            <w:r w:rsidRPr="00D97E64">
              <w:rPr>
                <w:lang w:val="fr-FR"/>
              </w:rPr>
              <w:t>Dangers</w:t>
            </w:r>
            <w:r w:rsidRPr="00112977">
              <w:rPr>
                <w:lang w:val="fr-FR"/>
              </w:rPr>
              <w:t>*</w:t>
            </w:r>
            <w:r w:rsidR="00112977">
              <w:rPr>
                <w:lang w:val="fr-FR"/>
              </w:rPr>
              <w:t xml:space="preserve"> </w:t>
            </w:r>
            <w:r w:rsidR="00112977">
              <w:rPr>
                <w:lang w:val="fr-FR"/>
              </w:rPr>
              <w:br/>
            </w:r>
            <w:r w:rsidRPr="00D97E64">
              <w:rPr>
                <w:lang w:val="fr-FR"/>
              </w:rPr>
              <w:t>……………</w:t>
            </w:r>
          </w:p>
        </w:tc>
        <w:tc>
          <w:tcPr>
            <w:tcW w:w="1309" w:type="dxa"/>
            <w:tcBorders>
              <w:bottom w:val="single" w:sz="4" w:space="0" w:color="auto"/>
            </w:tcBorders>
            <w:shd w:val="clear" w:color="auto" w:fill="auto"/>
            <w:vAlign w:val="center"/>
          </w:tcPr>
          <w:p w:rsidR="003022F8" w:rsidRPr="00D97E64" w:rsidRDefault="003022F8" w:rsidP="006E0CB2">
            <w:pPr>
              <w:spacing w:before="40" w:after="40" w:line="240" w:lineRule="exact"/>
              <w:jc w:val="center"/>
              <w:rPr>
                <w:strike/>
                <w:lang w:val="fr-FR"/>
              </w:rPr>
            </w:pPr>
            <w:r w:rsidRPr="00D97E64">
              <w:rPr>
                <w:lang w:val="fr-FR"/>
              </w:rPr>
              <w:t>Groupe d</w:t>
            </w:r>
            <w:r>
              <w:rPr>
                <w:lang w:val="fr-FR"/>
              </w:rPr>
              <w:t>’</w:t>
            </w:r>
            <w:r w:rsidRPr="00D97E64">
              <w:rPr>
                <w:lang w:val="fr-FR"/>
              </w:rPr>
              <w:t>emballage</w:t>
            </w:r>
          </w:p>
        </w:tc>
      </w:tr>
      <w:tr w:rsidR="001F18FA" w:rsidRPr="00D97E64" w:rsidTr="005B2808">
        <w:tc>
          <w:tcPr>
            <w:tcW w:w="1101" w:type="dxa"/>
            <w:tcBorders>
              <w:bottom w:val="nil"/>
            </w:tcBorders>
          </w:tcPr>
          <w:p w:rsidR="001F18FA" w:rsidRPr="00D97E64" w:rsidRDefault="001F18FA" w:rsidP="005B2808">
            <w:pPr>
              <w:tabs>
                <w:tab w:val="left" w:leader="dot" w:pos="851"/>
              </w:tabs>
              <w:spacing w:after="120" w:line="240" w:lineRule="exact"/>
              <w:rPr>
                <w:lang w:val="fr-FR"/>
              </w:rPr>
            </w:pPr>
            <w:r>
              <w:rPr>
                <w:lang w:val="fr-FR"/>
              </w:rPr>
              <w:tab/>
            </w:r>
          </w:p>
        </w:tc>
        <w:tc>
          <w:tcPr>
            <w:tcW w:w="3118" w:type="dxa"/>
            <w:tcBorders>
              <w:bottom w:val="nil"/>
            </w:tcBorders>
          </w:tcPr>
          <w:p w:rsidR="001F18FA" w:rsidRPr="00D97E64" w:rsidRDefault="001F18FA" w:rsidP="00BF1977">
            <w:pPr>
              <w:tabs>
                <w:tab w:val="right" w:leader="dot" w:pos="2781"/>
              </w:tabs>
              <w:spacing w:after="120" w:line="240" w:lineRule="exact"/>
              <w:rPr>
                <w:lang w:val="fr-FR"/>
              </w:rPr>
            </w:pPr>
            <w:r>
              <w:rPr>
                <w:lang w:val="fr-FR"/>
              </w:rPr>
              <w:tab/>
            </w:r>
          </w:p>
        </w:tc>
        <w:tc>
          <w:tcPr>
            <w:tcW w:w="2552" w:type="dxa"/>
            <w:tcBorders>
              <w:bottom w:val="nil"/>
            </w:tcBorders>
          </w:tcPr>
          <w:p w:rsidR="001F18FA" w:rsidRPr="00D97E64" w:rsidRDefault="001F18FA" w:rsidP="005B2808">
            <w:pPr>
              <w:tabs>
                <w:tab w:val="right" w:leader="dot" w:pos="2306"/>
              </w:tabs>
              <w:spacing w:after="120" w:line="240" w:lineRule="exact"/>
              <w:rPr>
                <w:lang w:val="fr-FR"/>
              </w:rPr>
            </w:pPr>
            <w:r>
              <w:rPr>
                <w:lang w:val="fr-FR"/>
              </w:rPr>
              <w:tab/>
            </w:r>
          </w:p>
        </w:tc>
        <w:tc>
          <w:tcPr>
            <w:tcW w:w="1559" w:type="dxa"/>
            <w:tcBorders>
              <w:bottom w:val="nil"/>
            </w:tcBorders>
            <w:shd w:val="clear" w:color="auto" w:fill="auto"/>
          </w:tcPr>
          <w:p w:rsidR="001F18FA" w:rsidRPr="00D97E64" w:rsidRDefault="001F18FA" w:rsidP="005B2808">
            <w:pPr>
              <w:tabs>
                <w:tab w:val="right" w:leader="dot" w:pos="1343"/>
              </w:tabs>
              <w:spacing w:after="120" w:line="240" w:lineRule="exact"/>
              <w:rPr>
                <w:lang w:val="fr-FR"/>
              </w:rPr>
            </w:pPr>
            <w:r>
              <w:rPr>
                <w:lang w:val="fr-FR"/>
              </w:rPr>
              <w:tab/>
            </w:r>
          </w:p>
        </w:tc>
        <w:tc>
          <w:tcPr>
            <w:tcW w:w="1309" w:type="dxa"/>
            <w:tcBorders>
              <w:bottom w:val="nil"/>
            </w:tcBorders>
            <w:shd w:val="clear" w:color="auto" w:fill="auto"/>
          </w:tcPr>
          <w:p w:rsidR="001F18FA" w:rsidRPr="00D97E64" w:rsidRDefault="001F18FA" w:rsidP="005B2808">
            <w:pPr>
              <w:tabs>
                <w:tab w:val="right" w:leader="dot" w:pos="1094"/>
              </w:tabs>
              <w:spacing w:after="120" w:line="240" w:lineRule="exact"/>
              <w:rPr>
                <w:lang w:val="fr-FR"/>
              </w:rPr>
            </w:pPr>
            <w:r>
              <w:rPr>
                <w:lang w:val="fr-FR"/>
              </w:rPr>
              <w:tab/>
            </w:r>
          </w:p>
        </w:tc>
      </w:tr>
      <w:tr w:rsidR="001F18FA" w:rsidRPr="00D97E64" w:rsidTr="005B2808">
        <w:tc>
          <w:tcPr>
            <w:tcW w:w="1101" w:type="dxa"/>
            <w:tcBorders>
              <w:top w:val="nil"/>
              <w:bottom w:val="nil"/>
            </w:tcBorders>
          </w:tcPr>
          <w:p w:rsidR="001F18FA" w:rsidRPr="00D97E64" w:rsidRDefault="001F18FA" w:rsidP="005B2808">
            <w:pPr>
              <w:tabs>
                <w:tab w:val="left" w:leader="dot" w:pos="851"/>
              </w:tabs>
              <w:spacing w:after="120" w:line="240" w:lineRule="exact"/>
              <w:rPr>
                <w:lang w:val="fr-FR"/>
              </w:rPr>
            </w:pPr>
            <w:r>
              <w:rPr>
                <w:lang w:val="fr-FR"/>
              </w:rPr>
              <w:tab/>
            </w:r>
          </w:p>
        </w:tc>
        <w:tc>
          <w:tcPr>
            <w:tcW w:w="3118" w:type="dxa"/>
            <w:tcBorders>
              <w:top w:val="nil"/>
              <w:bottom w:val="nil"/>
            </w:tcBorders>
          </w:tcPr>
          <w:p w:rsidR="001F18FA" w:rsidRPr="00D97E64" w:rsidRDefault="001F18FA" w:rsidP="00BF1977">
            <w:pPr>
              <w:tabs>
                <w:tab w:val="right" w:leader="dot" w:pos="2781"/>
              </w:tabs>
              <w:spacing w:after="120" w:line="240" w:lineRule="exact"/>
              <w:rPr>
                <w:lang w:val="fr-FR"/>
              </w:rPr>
            </w:pPr>
            <w:r>
              <w:rPr>
                <w:lang w:val="fr-FR"/>
              </w:rPr>
              <w:tab/>
            </w:r>
          </w:p>
        </w:tc>
        <w:tc>
          <w:tcPr>
            <w:tcW w:w="2552" w:type="dxa"/>
            <w:tcBorders>
              <w:top w:val="nil"/>
              <w:bottom w:val="nil"/>
            </w:tcBorders>
          </w:tcPr>
          <w:p w:rsidR="001F18FA" w:rsidRPr="00D97E64" w:rsidRDefault="001F18FA" w:rsidP="005B2808">
            <w:pPr>
              <w:tabs>
                <w:tab w:val="right" w:leader="dot" w:pos="2306"/>
              </w:tabs>
              <w:spacing w:after="120" w:line="240" w:lineRule="exact"/>
              <w:rPr>
                <w:lang w:val="fr-FR"/>
              </w:rPr>
            </w:pPr>
            <w:r>
              <w:rPr>
                <w:lang w:val="fr-FR"/>
              </w:rPr>
              <w:tab/>
            </w:r>
          </w:p>
        </w:tc>
        <w:tc>
          <w:tcPr>
            <w:tcW w:w="1559" w:type="dxa"/>
            <w:tcBorders>
              <w:top w:val="nil"/>
              <w:bottom w:val="nil"/>
            </w:tcBorders>
            <w:shd w:val="clear" w:color="auto" w:fill="auto"/>
          </w:tcPr>
          <w:p w:rsidR="001F18FA" w:rsidRPr="00D97E64" w:rsidRDefault="001F18FA" w:rsidP="005B2808">
            <w:pPr>
              <w:tabs>
                <w:tab w:val="right" w:leader="dot" w:pos="1343"/>
              </w:tabs>
              <w:spacing w:after="120" w:line="240" w:lineRule="exact"/>
              <w:rPr>
                <w:lang w:val="fr-FR"/>
              </w:rPr>
            </w:pPr>
            <w:r>
              <w:rPr>
                <w:lang w:val="fr-FR"/>
              </w:rPr>
              <w:tab/>
            </w:r>
          </w:p>
        </w:tc>
        <w:tc>
          <w:tcPr>
            <w:tcW w:w="1309" w:type="dxa"/>
            <w:tcBorders>
              <w:top w:val="nil"/>
              <w:bottom w:val="nil"/>
            </w:tcBorders>
            <w:shd w:val="clear" w:color="auto" w:fill="auto"/>
          </w:tcPr>
          <w:p w:rsidR="001F18FA" w:rsidRPr="00D97E64" w:rsidRDefault="001F18FA" w:rsidP="005B2808">
            <w:pPr>
              <w:tabs>
                <w:tab w:val="right" w:leader="dot" w:pos="1094"/>
              </w:tabs>
              <w:spacing w:after="120" w:line="240" w:lineRule="exact"/>
              <w:rPr>
                <w:lang w:val="fr-FR"/>
              </w:rPr>
            </w:pPr>
            <w:r>
              <w:rPr>
                <w:lang w:val="fr-FR"/>
              </w:rPr>
              <w:tab/>
            </w:r>
          </w:p>
        </w:tc>
      </w:tr>
      <w:tr w:rsidR="003022F8" w:rsidRPr="00D97E64" w:rsidTr="005B2808">
        <w:tc>
          <w:tcPr>
            <w:tcW w:w="1101" w:type="dxa"/>
            <w:tcBorders>
              <w:top w:val="nil"/>
            </w:tcBorders>
          </w:tcPr>
          <w:p w:rsidR="003022F8" w:rsidRPr="00D97E64" w:rsidRDefault="00907D96" w:rsidP="005B2808">
            <w:pPr>
              <w:tabs>
                <w:tab w:val="left" w:leader="dot" w:pos="851"/>
              </w:tabs>
              <w:spacing w:after="120" w:line="240" w:lineRule="exact"/>
              <w:rPr>
                <w:lang w:val="fr-FR"/>
              </w:rPr>
            </w:pPr>
            <w:r>
              <w:rPr>
                <w:lang w:val="fr-FR"/>
              </w:rPr>
              <w:tab/>
            </w:r>
          </w:p>
        </w:tc>
        <w:tc>
          <w:tcPr>
            <w:tcW w:w="3118" w:type="dxa"/>
            <w:tcBorders>
              <w:top w:val="nil"/>
            </w:tcBorders>
          </w:tcPr>
          <w:p w:rsidR="003022F8" w:rsidRPr="00D97E64" w:rsidRDefault="00907D96" w:rsidP="009921A6">
            <w:pPr>
              <w:tabs>
                <w:tab w:val="right" w:leader="dot" w:pos="2781"/>
              </w:tabs>
              <w:spacing w:after="120" w:line="240" w:lineRule="exact"/>
              <w:rPr>
                <w:lang w:val="fr-FR"/>
              </w:rPr>
            </w:pPr>
            <w:r>
              <w:rPr>
                <w:lang w:val="fr-FR"/>
              </w:rPr>
              <w:tab/>
            </w:r>
          </w:p>
        </w:tc>
        <w:tc>
          <w:tcPr>
            <w:tcW w:w="2552" w:type="dxa"/>
            <w:tcBorders>
              <w:top w:val="nil"/>
            </w:tcBorders>
          </w:tcPr>
          <w:p w:rsidR="003022F8" w:rsidRPr="00D97E64" w:rsidRDefault="00907D96" w:rsidP="005B2808">
            <w:pPr>
              <w:tabs>
                <w:tab w:val="right" w:leader="dot" w:pos="2306"/>
              </w:tabs>
              <w:spacing w:after="120" w:line="240" w:lineRule="exact"/>
              <w:rPr>
                <w:lang w:val="fr-FR"/>
              </w:rPr>
            </w:pPr>
            <w:r>
              <w:rPr>
                <w:lang w:val="fr-FR"/>
              </w:rPr>
              <w:tab/>
            </w:r>
          </w:p>
        </w:tc>
        <w:tc>
          <w:tcPr>
            <w:tcW w:w="1559" w:type="dxa"/>
            <w:tcBorders>
              <w:top w:val="nil"/>
            </w:tcBorders>
            <w:shd w:val="clear" w:color="auto" w:fill="auto"/>
          </w:tcPr>
          <w:p w:rsidR="003022F8" w:rsidRPr="00D97E64" w:rsidRDefault="009921A6" w:rsidP="005B2808">
            <w:pPr>
              <w:tabs>
                <w:tab w:val="right" w:leader="dot" w:pos="1343"/>
              </w:tabs>
              <w:spacing w:after="120" w:line="240" w:lineRule="exact"/>
              <w:rPr>
                <w:lang w:val="fr-FR"/>
              </w:rPr>
            </w:pPr>
            <w:r>
              <w:rPr>
                <w:lang w:val="fr-FR"/>
              </w:rPr>
              <w:tab/>
            </w:r>
          </w:p>
        </w:tc>
        <w:tc>
          <w:tcPr>
            <w:tcW w:w="1309" w:type="dxa"/>
            <w:tcBorders>
              <w:top w:val="nil"/>
            </w:tcBorders>
            <w:shd w:val="clear" w:color="auto" w:fill="auto"/>
          </w:tcPr>
          <w:p w:rsidR="003022F8" w:rsidRPr="00D97E64" w:rsidRDefault="009921A6" w:rsidP="005B2808">
            <w:pPr>
              <w:tabs>
                <w:tab w:val="right" w:leader="dot" w:pos="1094"/>
              </w:tabs>
              <w:spacing w:after="120" w:line="240" w:lineRule="exact"/>
              <w:rPr>
                <w:lang w:val="fr-FR"/>
              </w:rPr>
            </w:pPr>
            <w:r>
              <w:rPr>
                <w:lang w:val="fr-FR"/>
              </w:rPr>
              <w:tab/>
            </w:r>
          </w:p>
        </w:tc>
      </w:tr>
    </w:tbl>
    <w:p w:rsidR="003022F8" w:rsidRPr="00CB1BE1" w:rsidRDefault="003022F8" w:rsidP="00F1061D">
      <w:pPr>
        <w:pStyle w:val="SingleTxtG"/>
        <w:spacing w:before="120" w:after="0" w:line="240" w:lineRule="exact"/>
        <w:ind w:left="0" w:right="0"/>
        <w:rPr>
          <w:i/>
          <w:iCs/>
          <w:sz w:val="18"/>
          <w:szCs w:val="18"/>
          <w:lang w:val="fr-FR"/>
        </w:rPr>
      </w:pPr>
      <w:r w:rsidRPr="00CB1BE1">
        <w:rPr>
          <w:iCs/>
          <w:sz w:val="18"/>
          <w:szCs w:val="18"/>
          <w:lang w:val="fr-FR"/>
        </w:rPr>
        <w:t xml:space="preserve">* </w:t>
      </w:r>
      <w:r w:rsidRPr="00CB1BE1">
        <w:rPr>
          <w:i/>
          <w:iCs/>
          <w:sz w:val="18"/>
          <w:szCs w:val="18"/>
          <w:lang w:val="fr-FR"/>
        </w:rPr>
        <w:t>Les dangers pertinents indiqués dans la colonne (5) du tableau C le cas échéant (tels que repris dans le document de transport conformément au 5.4.1.1.2 c)).</w:t>
      </w:r>
    </w:p>
    <w:p w:rsidR="003022F8" w:rsidRPr="00CB1BE1" w:rsidRDefault="003022F8" w:rsidP="00911CE2">
      <w:pPr>
        <w:pStyle w:val="SingleTxtG"/>
        <w:spacing w:after="0" w:line="240" w:lineRule="exact"/>
        <w:ind w:left="0" w:right="0"/>
        <w:rPr>
          <w:bCs/>
          <w:i/>
          <w:sz w:val="18"/>
          <w:szCs w:val="18"/>
          <w:lang w:val="fr-FR"/>
        </w:rPr>
      </w:pPr>
      <w:r w:rsidRPr="00CB1BE1">
        <w:rPr>
          <w:bCs/>
          <w:sz w:val="18"/>
          <w:szCs w:val="18"/>
          <w:lang w:val="fr-FR"/>
        </w:rPr>
        <w:t>**</w:t>
      </w:r>
      <w:r w:rsidRPr="00CB1BE1">
        <w:rPr>
          <w:bCs/>
          <w:i/>
          <w:sz w:val="18"/>
          <w:szCs w:val="18"/>
          <w:lang w:val="fr-FR"/>
        </w:rPr>
        <w:t xml:space="preserve"> La désignation officielle de transport fixée à la colonne (2) du tableau C du chapitre 3.2 complétée, le cas échéant, avec le nom technique entre parenthèses.</w:t>
      </w:r>
    </w:p>
    <w:p w:rsidR="003022F8" w:rsidRPr="00D97E64" w:rsidRDefault="003022F8" w:rsidP="003022F8">
      <w:pPr>
        <w:spacing w:line="240" w:lineRule="exact"/>
        <w:rPr>
          <w:lang w:val="fr-FR"/>
        </w:rPr>
      </w:pPr>
      <w:r w:rsidRPr="00D97E64">
        <w:rPr>
          <w:lang w:val="fr-FR"/>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314"/>
        <w:gridCol w:w="6134"/>
      </w:tblGrid>
      <w:tr w:rsidR="003022F8" w:rsidRPr="00D97E64" w:rsidTr="00F6416B">
        <w:trPr>
          <w:jc w:val="center"/>
        </w:trPr>
        <w:tc>
          <w:tcPr>
            <w:tcW w:w="9639" w:type="dxa"/>
            <w:gridSpan w:val="3"/>
          </w:tcPr>
          <w:p w:rsidR="003022F8" w:rsidRPr="00D97E64" w:rsidRDefault="003022F8" w:rsidP="00101C98">
            <w:pPr>
              <w:spacing w:after="80" w:line="240" w:lineRule="exact"/>
              <w:jc w:val="right"/>
              <w:rPr>
                <w:lang w:val="fr-FR"/>
              </w:rPr>
            </w:pPr>
            <w:r w:rsidRPr="00D97E64">
              <w:rPr>
                <w:b/>
                <w:bCs/>
                <w:lang w:val="fr-FR"/>
              </w:rPr>
              <w:t>2</w:t>
            </w:r>
          </w:p>
          <w:p w:rsidR="003022F8" w:rsidRPr="00D97E64" w:rsidRDefault="003022F8" w:rsidP="00101C98">
            <w:pPr>
              <w:spacing w:after="80" w:line="240" w:lineRule="exact"/>
              <w:rPr>
                <w:lang w:val="fr-FR"/>
              </w:rPr>
            </w:pPr>
            <w:r w:rsidRPr="00D97E64">
              <w:rPr>
                <w:b/>
                <w:lang w:val="fr-FR"/>
              </w:rPr>
              <w:t>Débit de dégazage</w:t>
            </w:r>
          </w:p>
        </w:tc>
      </w:tr>
      <w:tr w:rsidR="003022F8" w:rsidRPr="00D97E64" w:rsidTr="00F6416B">
        <w:trPr>
          <w:jc w:val="center"/>
        </w:trPr>
        <w:tc>
          <w:tcPr>
            <w:tcW w:w="2191" w:type="dxa"/>
            <w:vMerge w:val="restart"/>
            <w:vAlign w:val="center"/>
          </w:tcPr>
          <w:p w:rsidR="003022F8" w:rsidRPr="00D97E64" w:rsidRDefault="003022F8" w:rsidP="00101C98">
            <w:pPr>
              <w:spacing w:after="80" w:line="240" w:lineRule="exact"/>
              <w:jc w:val="center"/>
              <w:rPr>
                <w:lang w:val="fr-FR"/>
              </w:rPr>
            </w:pPr>
            <w:r w:rsidRPr="00D97E64">
              <w:rPr>
                <w:lang w:val="fr-FR"/>
              </w:rPr>
              <w:t>Désignation officielle de transport</w:t>
            </w:r>
            <w:r w:rsidRPr="00101C98">
              <w:rPr>
                <w:lang w:val="fr-FR"/>
              </w:rPr>
              <w:t>**</w:t>
            </w:r>
          </w:p>
        </w:tc>
        <w:tc>
          <w:tcPr>
            <w:tcW w:w="1314" w:type="dxa"/>
            <w:vMerge w:val="restart"/>
            <w:vAlign w:val="center"/>
          </w:tcPr>
          <w:p w:rsidR="003022F8" w:rsidRPr="00D97E64" w:rsidRDefault="003022F8" w:rsidP="006E0CB2">
            <w:pPr>
              <w:spacing w:after="80" w:line="240" w:lineRule="exact"/>
              <w:jc w:val="center"/>
              <w:rPr>
                <w:lang w:val="fr-FR"/>
              </w:rPr>
            </w:pPr>
            <w:r w:rsidRPr="00D97E64">
              <w:rPr>
                <w:lang w:val="fr-FR"/>
              </w:rPr>
              <w:t xml:space="preserve">Citerne à cargaison </w:t>
            </w:r>
            <w:r w:rsidR="006E0CB2" w:rsidRPr="006E0CB2">
              <w:rPr>
                <w:rFonts w:eastAsia="MS Mincho"/>
                <w:lang w:val="fr-FR"/>
              </w:rPr>
              <w:t>n</w:t>
            </w:r>
            <w:r w:rsidR="006E0CB2" w:rsidRPr="006E0CB2">
              <w:rPr>
                <w:rFonts w:eastAsia="MS Mincho"/>
                <w:vertAlign w:val="superscript"/>
                <w:lang w:val="fr-FR"/>
              </w:rPr>
              <w:t>o</w:t>
            </w:r>
          </w:p>
        </w:tc>
        <w:tc>
          <w:tcPr>
            <w:tcW w:w="6134" w:type="dxa"/>
            <w:vAlign w:val="center"/>
          </w:tcPr>
          <w:p w:rsidR="003022F8" w:rsidRPr="00D97E64" w:rsidRDefault="003022F8" w:rsidP="00101C98">
            <w:pPr>
              <w:spacing w:after="80" w:line="240" w:lineRule="exact"/>
              <w:jc w:val="center"/>
              <w:rPr>
                <w:lang w:val="fr-FR"/>
              </w:rPr>
            </w:pPr>
            <w:r w:rsidRPr="00D97E64">
              <w:rPr>
                <w:lang w:val="fr-FR"/>
              </w:rPr>
              <w:t>Débit de dégazage convenu</w:t>
            </w:r>
          </w:p>
        </w:tc>
      </w:tr>
      <w:tr w:rsidR="003022F8" w:rsidRPr="00D97E64" w:rsidTr="00F6416B">
        <w:trPr>
          <w:jc w:val="center"/>
        </w:trPr>
        <w:tc>
          <w:tcPr>
            <w:tcW w:w="2191" w:type="dxa"/>
            <w:vMerge/>
            <w:tcBorders>
              <w:bottom w:val="single" w:sz="4" w:space="0" w:color="auto"/>
            </w:tcBorders>
            <w:vAlign w:val="center"/>
          </w:tcPr>
          <w:p w:rsidR="003022F8" w:rsidRPr="00D97E64" w:rsidRDefault="003022F8" w:rsidP="00101C98">
            <w:pPr>
              <w:spacing w:after="80" w:line="240" w:lineRule="exact"/>
              <w:jc w:val="center"/>
              <w:rPr>
                <w:lang w:val="fr-FR"/>
              </w:rPr>
            </w:pPr>
          </w:p>
        </w:tc>
        <w:tc>
          <w:tcPr>
            <w:tcW w:w="1314" w:type="dxa"/>
            <w:vMerge/>
            <w:tcBorders>
              <w:bottom w:val="single" w:sz="4" w:space="0" w:color="auto"/>
            </w:tcBorders>
            <w:vAlign w:val="center"/>
          </w:tcPr>
          <w:p w:rsidR="003022F8" w:rsidRPr="00D97E64" w:rsidRDefault="003022F8" w:rsidP="00101C98">
            <w:pPr>
              <w:spacing w:after="80" w:line="240" w:lineRule="exact"/>
              <w:jc w:val="center"/>
              <w:rPr>
                <w:lang w:val="fr-FR"/>
              </w:rPr>
            </w:pPr>
          </w:p>
        </w:tc>
        <w:tc>
          <w:tcPr>
            <w:tcW w:w="6134" w:type="dxa"/>
            <w:tcBorders>
              <w:bottom w:val="single" w:sz="4" w:space="0" w:color="auto"/>
            </w:tcBorders>
            <w:vAlign w:val="center"/>
          </w:tcPr>
          <w:p w:rsidR="003022F8" w:rsidRPr="00D97E64" w:rsidRDefault="00101C98" w:rsidP="00101C98">
            <w:pPr>
              <w:spacing w:after="80" w:line="240" w:lineRule="exact"/>
              <w:jc w:val="center"/>
              <w:rPr>
                <w:lang w:val="fr-FR"/>
              </w:rPr>
            </w:pPr>
            <w:r>
              <w:rPr>
                <w:lang w:val="fr-FR"/>
              </w:rPr>
              <w:t>D</w:t>
            </w:r>
            <w:r w:rsidR="003022F8" w:rsidRPr="00D97E64">
              <w:rPr>
                <w:lang w:val="fr-FR"/>
              </w:rPr>
              <w:t>ébit</w:t>
            </w:r>
            <w:r>
              <w:rPr>
                <w:lang w:val="fr-FR"/>
              </w:rPr>
              <w:t xml:space="preserve"> </w:t>
            </w:r>
            <w:r>
              <w:rPr>
                <w:lang w:val="fr-FR"/>
              </w:rPr>
              <w:br/>
            </w:r>
            <w:r w:rsidR="003022F8" w:rsidRPr="00D97E64">
              <w:rPr>
                <w:lang w:val="fr-FR"/>
              </w:rPr>
              <w:t>m</w:t>
            </w:r>
            <w:r w:rsidR="003022F8" w:rsidRPr="00D97E64">
              <w:rPr>
                <w:vertAlign w:val="superscript"/>
                <w:lang w:val="fr-FR"/>
              </w:rPr>
              <w:t>3</w:t>
            </w:r>
            <w:r w:rsidR="003022F8" w:rsidRPr="00D97E64">
              <w:rPr>
                <w:lang w:val="fr-FR"/>
              </w:rPr>
              <w:t>/h</w:t>
            </w:r>
          </w:p>
        </w:tc>
      </w:tr>
      <w:tr w:rsidR="00F6416B" w:rsidRPr="00452BEB" w:rsidTr="00F6416B">
        <w:trPr>
          <w:jc w:val="center"/>
        </w:trPr>
        <w:tc>
          <w:tcPr>
            <w:tcW w:w="2191" w:type="dxa"/>
            <w:tcBorders>
              <w:bottom w:val="nil"/>
            </w:tcBorders>
          </w:tcPr>
          <w:p w:rsidR="00F6416B" w:rsidRPr="00D97E64" w:rsidRDefault="00F6416B" w:rsidP="00BF1977">
            <w:pPr>
              <w:tabs>
                <w:tab w:val="left" w:leader="dot" w:pos="1896"/>
              </w:tabs>
              <w:spacing w:after="120" w:line="240" w:lineRule="exact"/>
              <w:rPr>
                <w:lang w:val="fr-FR"/>
              </w:rPr>
            </w:pPr>
            <w:r>
              <w:rPr>
                <w:lang w:val="fr-FR"/>
              </w:rPr>
              <w:tab/>
            </w:r>
          </w:p>
        </w:tc>
        <w:tc>
          <w:tcPr>
            <w:tcW w:w="1314" w:type="dxa"/>
            <w:tcBorders>
              <w:bottom w:val="nil"/>
            </w:tcBorders>
          </w:tcPr>
          <w:p w:rsidR="00F6416B" w:rsidRPr="00D97E64" w:rsidRDefault="00F6416B" w:rsidP="00BF1977">
            <w:pPr>
              <w:tabs>
                <w:tab w:val="left" w:leader="dot" w:pos="1103"/>
              </w:tabs>
              <w:spacing w:after="120" w:line="240" w:lineRule="exact"/>
              <w:rPr>
                <w:lang w:val="fr-FR"/>
              </w:rPr>
            </w:pPr>
            <w:r>
              <w:rPr>
                <w:lang w:val="fr-FR"/>
              </w:rPr>
              <w:tab/>
            </w:r>
          </w:p>
        </w:tc>
        <w:tc>
          <w:tcPr>
            <w:tcW w:w="6134" w:type="dxa"/>
            <w:tcBorders>
              <w:bottom w:val="nil"/>
            </w:tcBorders>
          </w:tcPr>
          <w:p w:rsidR="00F6416B" w:rsidRPr="00D97E64" w:rsidRDefault="00F6416B" w:rsidP="00BF1977">
            <w:pPr>
              <w:tabs>
                <w:tab w:val="left" w:leader="dot" w:pos="1068"/>
              </w:tabs>
              <w:spacing w:after="120" w:line="240" w:lineRule="exact"/>
              <w:rPr>
                <w:lang w:val="fr-FR"/>
              </w:rPr>
            </w:pPr>
            <w:r>
              <w:rPr>
                <w:lang w:val="fr-FR"/>
              </w:rPr>
              <w:tab/>
            </w:r>
          </w:p>
        </w:tc>
      </w:tr>
      <w:tr w:rsidR="00F6416B" w:rsidRPr="00452BEB" w:rsidTr="00F6416B">
        <w:trPr>
          <w:jc w:val="center"/>
        </w:trPr>
        <w:tc>
          <w:tcPr>
            <w:tcW w:w="2191" w:type="dxa"/>
            <w:tcBorders>
              <w:top w:val="nil"/>
              <w:bottom w:val="nil"/>
            </w:tcBorders>
          </w:tcPr>
          <w:p w:rsidR="00F6416B" w:rsidRPr="00D97E64" w:rsidRDefault="00F6416B" w:rsidP="00BF1977">
            <w:pPr>
              <w:tabs>
                <w:tab w:val="left" w:leader="dot" w:pos="1896"/>
              </w:tabs>
              <w:spacing w:after="120" w:line="240" w:lineRule="exact"/>
              <w:rPr>
                <w:lang w:val="fr-FR"/>
              </w:rPr>
            </w:pPr>
            <w:r>
              <w:rPr>
                <w:lang w:val="fr-FR"/>
              </w:rPr>
              <w:tab/>
            </w:r>
          </w:p>
        </w:tc>
        <w:tc>
          <w:tcPr>
            <w:tcW w:w="1314" w:type="dxa"/>
            <w:tcBorders>
              <w:top w:val="nil"/>
              <w:bottom w:val="nil"/>
            </w:tcBorders>
          </w:tcPr>
          <w:p w:rsidR="00F6416B" w:rsidRPr="00D97E64" w:rsidRDefault="00F6416B" w:rsidP="00BF1977">
            <w:pPr>
              <w:tabs>
                <w:tab w:val="left" w:leader="dot" w:pos="1103"/>
              </w:tabs>
              <w:spacing w:after="120" w:line="240" w:lineRule="exact"/>
              <w:rPr>
                <w:lang w:val="fr-FR"/>
              </w:rPr>
            </w:pPr>
            <w:r>
              <w:rPr>
                <w:lang w:val="fr-FR"/>
              </w:rPr>
              <w:tab/>
            </w:r>
          </w:p>
        </w:tc>
        <w:tc>
          <w:tcPr>
            <w:tcW w:w="6134" w:type="dxa"/>
            <w:tcBorders>
              <w:top w:val="nil"/>
              <w:bottom w:val="nil"/>
            </w:tcBorders>
          </w:tcPr>
          <w:p w:rsidR="00F6416B" w:rsidRPr="00D97E64" w:rsidRDefault="00F6416B" w:rsidP="00BF1977">
            <w:pPr>
              <w:tabs>
                <w:tab w:val="left" w:leader="dot" w:pos="1068"/>
              </w:tabs>
              <w:spacing w:after="120" w:line="240" w:lineRule="exact"/>
              <w:rPr>
                <w:lang w:val="fr-FR"/>
              </w:rPr>
            </w:pPr>
            <w:r>
              <w:rPr>
                <w:lang w:val="fr-FR"/>
              </w:rPr>
              <w:tab/>
            </w:r>
          </w:p>
        </w:tc>
      </w:tr>
      <w:tr w:rsidR="003022F8" w:rsidRPr="00452BEB" w:rsidTr="008635E2">
        <w:trPr>
          <w:jc w:val="center"/>
        </w:trPr>
        <w:tc>
          <w:tcPr>
            <w:tcW w:w="2191" w:type="dxa"/>
            <w:tcBorders>
              <w:top w:val="nil"/>
              <w:bottom w:val="single" w:sz="4" w:space="0" w:color="auto"/>
            </w:tcBorders>
          </w:tcPr>
          <w:p w:rsidR="003022F8" w:rsidRPr="00D97E64" w:rsidRDefault="00452BEB" w:rsidP="00452BEB">
            <w:pPr>
              <w:tabs>
                <w:tab w:val="left" w:leader="dot" w:pos="1896"/>
              </w:tabs>
              <w:spacing w:after="120" w:line="240" w:lineRule="exact"/>
              <w:rPr>
                <w:lang w:val="fr-FR"/>
              </w:rPr>
            </w:pPr>
            <w:r>
              <w:rPr>
                <w:lang w:val="fr-FR"/>
              </w:rPr>
              <w:tab/>
            </w:r>
          </w:p>
        </w:tc>
        <w:tc>
          <w:tcPr>
            <w:tcW w:w="1314" w:type="dxa"/>
            <w:tcBorders>
              <w:top w:val="nil"/>
              <w:bottom w:val="single" w:sz="4" w:space="0" w:color="auto"/>
            </w:tcBorders>
          </w:tcPr>
          <w:p w:rsidR="003022F8" w:rsidRPr="00D97E64" w:rsidRDefault="00452BEB" w:rsidP="00452BEB">
            <w:pPr>
              <w:tabs>
                <w:tab w:val="left" w:leader="dot" w:pos="1103"/>
              </w:tabs>
              <w:spacing w:after="120" w:line="240" w:lineRule="exact"/>
              <w:rPr>
                <w:lang w:val="fr-FR"/>
              </w:rPr>
            </w:pPr>
            <w:r>
              <w:rPr>
                <w:lang w:val="fr-FR"/>
              </w:rPr>
              <w:tab/>
            </w:r>
          </w:p>
        </w:tc>
        <w:tc>
          <w:tcPr>
            <w:tcW w:w="6134" w:type="dxa"/>
            <w:tcBorders>
              <w:top w:val="nil"/>
              <w:bottom w:val="single" w:sz="4" w:space="0" w:color="auto"/>
            </w:tcBorders>
          </w:tcPr>
          <w:p w:rsidR="003022F8" w:rsidRPr="00D97E64" w:rsidRDefault="00452BEB" w:rsidP="00452BEB">
            <w:pPr>
              <w:tabs>
                <w:tab w:val="left" w:leader="dot" w:pos="1068"/>
              </w:tabs>
              <w:spacing w:after="120" w:line="240" w:lineRule="exact"/>
              <w:rPr>
                <w:lang w:val="fr-FR"/>
              </w:rPr>
            </w:pPr>
            <w:r>
              <w:rPr>
                <w:lang w:val="fr-FR"/>
              </w:rPr>
              <w:tab/>
            </w:r>
          </w:p>
        </w:tc>
      </w:tr>
      <w:tr w:rsidR="003022F8" w:rsidRPr="00D97E64" w:rsidTr="008635E2">
        <w:trPr>
          <w:trHeight w:val="652"/>
          <w:jc w:val="center"/>
        </w:trPr>
        <w:tc>
          <w:tcPr>
            <w:tcW w:w="9639" w:type="dxa"/>
            <w:gridSpan w:val="3"/>
            <w:tcBorders>
              <w:bottom w:val="nil"/>
            </w:tcBorders>
          </w:tcPr>
          <w:p w:rsidR="003022F8" w:rsidRPr="00D97E64" w:rsidRDefault="003022F8" w:rsidP="00660E48">
            <w:pPr>
              <w:spacing w:before="120" w:after="80" w:line="240" w:lineRule="exact"/>
              <w:rPr>
                <w:b/>
                <w:bCs/>
                <w:lang w:val="fr-FR"/>
              </w:rPr>
            </w:pPr>
            <w:r w:rsidRPr="00D97E64">
              <w:rPr>
                <w:b/>
                <w:bCs/>
                <w:lang w:val="fr-FR"/>
              </w:rPr>
              <w:t>Questions au conducteur ou à la personne qu</w:t>
            </w:r>
            <w:r>
              <w:rPr>
                <w:b/>
                <w:bCs/>
                <w:lang w:val="fr-FR"/>
              </w:rPr>
              <w:t>’</w:t>
            </w:r>
            <w:r w:rsidRPr="00D97E64">
              <w:rPr>
                <w:b/>
                <w:bCs/>
                <w:lang w:val="fr-FR"/>
              </w:rPr>
              <w:t xml:space="preserve">il a mandatée et à la personne responsable </w:t>
            </w:r>
            <w:r w:rsidR="00660E48">
              <w:rPr>
                <w:b/>
                <w:bCs/>
                <w:lang w:val="fr-FR"/>
              </w:rPr>
              <w:br/>
            </w:r>
            <w:r w:rsidRPr="00D97E64">
              <w:rPr>
                <w:b/>
                <w:bCs/>
                <w:lang w:val="fr-FR"/>
              </w:rPr>
              <w:t xml:space="preserve">à la station de réception </w:t>
            </w:r>
          </w:p>
        </w:tc>
      </w:tr>
      <w:tr w:rsidR="000C15B1" w:rsidRPr="00D97E64" w:rsidTr="008635E2">
        <w:trPr>
          <w:trHeight w:val="528"/>
          <w:jc w:val="center"/>
        </w:trPr>
        <w:tc>
          <w:tcPr>
            <w:tcW w:w="9639" w:type="dxa"/>
            <w:gridSpan w:val="3"/>
            <w:tcBorders>
              <w:top w:val="nil"/>
              <w:bottom w:val="nil"/>
            </w:tcBorders>
          </w:tcPr>
          <w:p w:rsidR="000C15B1" w:rsidRPr="00D97E64" w:rsidRDefault="000C15B1" w:rsidP="000C15B1">
            <w:pPr>
              <w:spacing w:after="80" w:line="240" w:lineRule="exact"/>
              <w:rPr>
                <w:b/>
                <w:bCs/>
                <w:lang w:val="fr-FR"/>
              </w:rPr>
            </w:pPr>
            <w:r w:rsidRPr="00D97E64">
              <w:rPr>
                <w:bCs/>
                <w:lang w:val="fr-FR"/>
              </w:rPr>
              <w:t>Le dégazage ne pourra commencer que lorsque toutes les questions de la liste de contrôle auront été marquées par « X », c</w:t>
            </w:r>
            <w:r>
              <w:rPr>
                <w:bCs/>
                <w:lang w:val="fr-FR"/>
              </w:rPr>
              <w:t>’</w:t>
            </w:r>
            <w:r w:rsidRPr="00D97E64">
              <w:rPr>
                <w:bCs/>
                <w:lang w:val="fr-FR"/>
              </w:rPr>
              <w:t>est-à-dire qu</w:t>
            </w:r>
            <w:r>
              <w:rPr>
                <w:bCs/>
                <w:lang w:val="fr-FR"/>
              </w:rPr>
              <w:t>’</w:t>
            </w:r>
            <w:r w:rsidRPr="00D97E64">
              <w:rPr>
                <w:bCs/>
                <w:lang w:val="fr-FR"/>
              </w:rPr>
              <w:t xml:space="preserve">elles auront reçu une réponse positive et que la liste aura été signée par les deux personnes. </w:t>
            </w:r>
          </w:p>
        </w:tc>
      </w:tr>
      <w:tr w:rsidR="000C15B1" w:rsidRPr="00D97E64" w:rsidTr="008635E2">
        <w:trPr>
          <w:trHeight w:val="346"/>
          <w:jc w:val="center"/>
        </w:trPr>
        <w:tc>
          <w:tcPr>
            <w:tcW w:w="9639" w:type="dxa"/>
            <w:gridSpan w:val="3"/>
            <w:tcBorders>
              <w:top w:val="nil"/>
              <w:bottom w:val="nil"/>
            </w:tcBorders>
          </w:tcPr>
          <w:p w:rsidR="000C15B1" w:rsidRPr="00D97E64" w:rsidRDefault="000C15B1" w:rsidP="000C15B1">
            <w:pPr>
              <w:spacing w:after="80" w:line="240" w:lineRule="exact"/>
              <w:rPr>
                <w:bCs/>
                <w:lang w:val="fr-FR"/>
              </w:rPr>
            </w:pPr>
            <w:r w:rsidRPr="00D97E64">
              <w:rPr>
                <w:bCs/>
                <w:lang w:val="fr-FR"/>
              </w:rPr>
              <w:t>Les questions sans objet doivent être rayées.</w:t>
            </w:r>
          </w:p>
        </w:tc>
      </w:tr>
      <w:tr w:rsidR="000C15B1" w:rsidRPr="00D97E64" w:rsidTr="008635E2">
        <w:trPr>
          <w:jc w:val="center"/>
        </w:trPr>
        <w:tc>
          <w:tcPr>
            <w:tcW w:w="9639" w:type="dxa"/>
            <w:gridSpan w:val="3"/>
            <w:tcBorders>
              <w:top w:val="nil"/>
            </w:tcBorders>
          </w:tcPr>
          <w:p w:rsidR="000C15B1" w:rsidRPr="00D97E64" w:rsidRDefault="000C15B1" w:rsidP="00101C98">
            <w:pPr>
              <w:spacing w:after="80" w:line="240" w:lineRule="exact"/>
              <w:rPr>
                <w:bCs/>
                <w:lang w:val="fr-FR"/>
              </w:rPr>
            </w:pPr>
            <w:r w:rsidRPr="00D97E64">
              <w:rPr>
                <w:bCs/>
                <w:lang w:val="fr-FR"/>
              </w:rPr>
              <w:t>Lorsque les questions ne peuvent pas toutes recevoir une réponse positive, le dégazage ne peut commencer qu</w:t>
            </w:r>
            <w:r>
              <w:rPr>
                <w:bCs/>
                <w:lang w:val="fr-FR"/>
              </w:rPr>
              <w:t>’</w:t>
            </w:r>
            <w:r w:rsidRPr="00D97E64">
              <w:rPr>
                <w:bCs/>
                <w:lang w:val="fr-FR"/>
              </w:rPr>
              <w:t>avec l</w:t>
            </w:r>
            <w:r>
              <w:rPr>
                <w:bCs/>
                <w:lang w:val="fr-FR"/>
              </w:rPr>
              <w:t>’</w:t>
            </w:r>
            <w:r w:rsidRPr="00D97E64">
              <w:rPr>
                <w:bCs/>
                <w:lang w:val="fr-FR"/>
              </w:rPr>
              <w:t>autorisation de l</w:t>
            </w:r>
            <w:r>
              <w:rPr>
                <w:bCs/>
                <w:lang w:val="fr-FR"/>
              </w:rPr>
              <w:t>’</w:t>
            </w:r>
            <w:r w:rsidRPr="00D97E64">
              <w:rPr>
                <w:bCs/>
                <w:lang w:val="fr-FR"/>
              </w:rPr>
              <w:t>autorité compétente.</w:t>
            </w:r>
          </w:p>
        </w:tc>
      </w:tr>
    </w:tbl>
    <w:p w:rsidR="003022F8" w:rsidRPr="008635E2" w:rsidRDefault="003022F8" w:rsidP="00D12DB9">
      <w:pPr>
        <w:pStyle w:val="SingleTxtG"/>
        <w:spacing w:before="120" w:after="240" w:line="240" w:lineRule="exact"/>
        <w:ind w:left="0" w:right="0"/>
        <w:rPr>
          <w:bCs/>
          <w:sz w:val="18"/>
          <w:szCs w:val="18"/>
          <w:lang w:val="fr-FR"/>
        </w:rPr>
      </w:pPr>
      <w:r w:rsidRPr="00D12DB9">
        <w:rPr>
          <w:bCs/>
          <w:lang w:val="fr-FR"/>
        </w:rPr>
        <w:t>**</w:t>
      </w:r>
      <w:r w:rsidRPr="008635E2">
        <w:rPr>
          <w:bCs/>
          <w:sz w:val="18"/>
          <w:szCs w:val="18"/>
          <w:lang w:val="fr-FR"/>
        </w:rPr>
        <w:t xml:space="preserve"> </w:t>
      </w:r>
      <w:r w:rsidRPr="001933DE">
        <w:rPr>
          <w:bCs/>
          <w:i/>
          <w:sz w:val="18"/>
          <w:szCs w:val="18"/>
          <w:lang w:val="fr-FR"/>
        </w:rPr>
        <w:t>La désignation officielle de transport fixée à la colonne (2) du tableau C du chapitre 3.2 complétée, le cas échéant, avec le nom technique entre parenthèses</w:t>
      </w:r>
      <w:r w:rsidRPr="008635E2">
        <w:rPr>
          <w:bCs/>
          <w:sz w:val="18"/>
          <w:szCs w:val="18"/>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2732"/>
        <w:gridCol w:w="812"/>
        <w:gridCol w:w="1323"/>
      </w:tblGrid>
      <w:tr w:rsidR="003022F8" w:rsidRPr="00D97E64" w:rsidTr="0021340C">
        <w:tc>
          <w:tcPr>
            <w:tcW w:w="7410" w:type="dxa"/>
            <w:gridSpan w:val="3"/>
            <w:tcBorders>
              <w:bottom w:val="nil"/>
            </w:tcBorders>
            <w:vAlign w:val="center"/>
          </w:tcPr>
          <w:p w:rsidR="003022F8" w:rsidRPr="00D97E64" w:rsidRDefault="003022F8" w:rsidP="008D70B0">
            <w:pPr>
              <w:spacing w:before="40" w:after="80" w:line="240" w:lineRule="exact"/>
              <w:jc w:val="center"/>
              <w:rPr>
                <w:bCs/>
                <w:lang w:val="fr-FR"/>
              </w:rPr>
            </w:pPr>
          </w:p>
        </w:tc>
        <w:tc>
          <w:tcPr>
            <w:tcW w:w="812" w:type="dxa"/>
            <w:tcBorders>
              <w:bottom w:val="nil"/>
            </w:tcBorders>
            <w:vAlign w:val="center"/>
          </w:tcPr>
          <w:p w:rsidR="003022F8" w:rsidRPr="00D97E64" w:rsidRDefault="003022F8" w:rsidP="008D70B0">
            <w:pPr>
              <w:spacing w:before="40" w:after="80" w:line="240" w:lineRule="exact"/>
              <w:jc w:val="center"/>
              <w:rPr>
                <w:bCs/>
                <w:lang w:val="fr-FR"/>
              </w:rPr>
            </w:pPr>
          </w:p>
        </w:tc>
        <w:tc>
          <w:tcPr>
            <w:tcW w:w="1323" w:type="dxa"/>
            <w:tcBorders>
              <w:bottom w:val="nil"/>
            </w:tcBorders>
            <w:vAlign w:val="center"/>
          </w:tcPr>
          <w:p w:rsidR="003022F8" w:rsidRPr="006E0CB2" w:rsidRDefault="003022F8" w:rsidP="006E0CB2">
            <w:pPr>
              <w:spacing w:before="40" w:after="80" w:line="240" w:lineRule="exact"/>
              <w:jc w:val="right"/>
              <w:rPr>
                <w:b/>
                <w:lang w:val="fr-FR"/>
              </w:rPr>
            </w:pPr>
            <w:r w:rsidRPr="00D97E64">
              <w:rPr>
                <w:b/>
                <w:lang w:val="fr-FR"/>
              </w:rPr>
              <w:t>3</w:t>
            </w:r>
          </w:p>
        </w:tc>
      </w:tr>
      <w:tr w:rsidR="006E0CB2" w:rsidRPr="00D97E64" w:rsidTr="0021340C">
        <w:tc>
          <w:tcPr>
            <w:tcW w:w="7410" w:type="dxa"/>
            <w:gridSpan w:val="3"/>
            <w:tcBorders>
              <w:top w:val="nil"/>
            </w:tcBorders>
            <w:vAlign w:val="center"/>
          </w:tcPr>
          <w:p w:rsidR="006E0CB2" w:rsidRPr="00D97E64" w:rsidRDefault="006E0CB2" w:rsidP="0021340C">
            <w:pPr>
              <w:spacing w:before="40" w:after="80" w:line="240" w:lineRule="exact"/>
              <w:jc w:val="center"/>
              <w:rPr>
                <w:bCs/>
                <w:lang w:val="fr-FR"/>
              </w:rPr>
            </w:pPr>
          </w:p>
        </w:tc>
        <w:tc>
          <w:tcPr>
            <w:tcW w:w="812" w:type="dxa"/>
            <w:tcBorders>
              <w:top w:val="nil"/>
            </w:tcBorders>
            <w:vAlign w:val="center"/>
          </w:tcPr>
          <w:p w:rsidR="006E0CB2" w:rsidRDefault="006E0CB2" w:rsidP="0021340C">
            <w:pPr>
              <w:spacing w:before="40" w:after="80" w:line="240" w:lineRule="exact"/>
              <w:jc w:val="center"/>
              <w:rPr>
                <w:bCs/>
                <w:lang w:val="fr-FR"/>
              </w:rPr>
            </w:pPr>
            <w:r>
              <w:rPr>
                <w:bCs/>
                <w:lang w:val="fr-FR"/>
              </w:rPr>
              <w:t>B</w:t>
            </w:r>
            <w:r w:rsidRPr="00D97E64">
              <w:rPr>
                <w:bCs/>
                <w:lang w:val="fr-FR"/>
              </w:rPr>
              <w:t>ateau</w:t>
            </w:r>
          </w:p>
        </w:tc>
        <w:tc>
          <w:tcPr>
            <w:tcW w:w="1323" w:type="dxa"/>
            <w:tcBorders>
              <w:top w:val="nil"/>
            </w:tcBorders>
            <w:vAlign w:val="center"/>
          </w:tcPr>
          <w:p w:rsidR="006E0CB2" w:rsidRPr="00D97E64" w:rsidRDefault="006E0CB2" w:rsidP="0021340C">
            <w:pPr>
              <w:spacing w:before="40" w:after="80" w:line="240" w:lineRule="exact"/>
              <w:jc w:val="center"/>
              <w:rPr>
                <w:b/>
                <w:lang w:val="fr-FR"/>
              </w:rPr>
            </w:pPr>
            <w:r>
              <w:rPr>
                <w:bCs/>
                <w:lang w:val="fr-FR"/>
              </w:rPr>
              <w:t>S</w:t>
            </w:r>
            <w:r w:rsidRPr="00D97E64">
              <w:rPr>
                <w:bCs/>
                <w:lang w:val="fr-FR"/>
              </w:rPr>
              <w:t xml:space="preserve">tation </w:t>
            </w:r>
            <w:r>
              <w:rPr>
                <w:bCs/>
                <w:lang w:val="fr-FR"/>
              </w:rPr>
              <w:br/>
            </w:r>
            <w:r w:rsidRPr="00D97E64">
              <w:rPr>
                <w:bCs/>
                <w:lang w:val="fr-FR"/>
              </w:rPr>
              <w:t>de réception</w:t>
            </w:r>
          </w:p>
        </w:tc>
      </w:tr>
      <w:tr w:rsidR="003022F8" w:rsidRPr="00D97E64" w:rsidTr="0021340C">
        <w:tc>
          <w:tcPr>
            <w:tcW w:w="567" w:type="dxa"/>
            <w:tcBorders>
              <w:bottom w:val="single" w:sz="4" w:space="0" w:color="auto"/>
              <w:right w:val="nil"/>
            </w:tcBorders>
          </w:tcPr>
          <w:p w:rsidR="003022F8" w:rsidRPr="00D97E64" w:rsidRDefault="003022F8" w:rsidP="008D70B0">
            <w:pPr>
              <w:spacing w:before="40" w:after="80" w:line="240" w:lineRule="exact"/>
              <w:rPr>
                <w:bCs/>
                <w:lang w:val="fr-FR"/>
              </w:rPr>
            </w:pPr>
            <w:r w:rsidRPr="00D97E64">
              <w:rPr>
                <w:bCs/>
                <w:lang w:val="fr-FR"/>
              </w:rPr>
              <w:t>1.</w:t>
            </w:r>
          </w:p>
        </w:tc>
        <w:tc>
          <w:tcPr>
            <w:tcW w:w="6843" w:type="dxa"/>
            <w:gridSpan w:val="2"/>
            <w:tcBorders>
              <w:left w:val="nil"/>
              <w:bottom w:val="single" w:sz="4" w:space="0" w:color="auto"/>
            </w:tcBorders>
          </w:tcPr>
          <w:p w:rsidR="003022F8" w:rsidRPr="00D97E64" w:rsidRDefault="003022F8" w:rsidP="008D70B0">
            <w:pPr>
              <w:spacing w:before="40" w:after="80" w:line="240" w:lineRule="exact"/>
              <w:rPr>
                <w:bCs/>
                <w:lang w:val="fr-FR"/>
              </w:rPr>
            </w:pPr>
            <w:r w:rsidRPr="00D97E64">
              <w:rPr>
                <w:bCs/>
                <w:lang w:val="fr-FR"/>
              </w:rPr>
              <w:t>Le bateau est-il bien amarré compte tenu des circonstances locales ?</w:t>
            </w:r>
          </w:p>
        </w:tc>
        <w:tc>
          <w:tcPr>
            <w:tcW w:w="812" w:type="dxa"/>
            <w:tcBorders>
              <w:bottom w:val="single" w:sz="4" w:space="0" w:color="auto"/>
            </w:tcBorders>
          </w:tcPr>
          <w:p w:rsidR="003022F8" w:rsidRPr="00D97E64" w:rsidRDefault="003022F8" w:rsidP="008D70B0">
            <w:pPr>
              <w:spacing w:before="40" w:after="80" w:line="240" w:lineRule="exact"/>
              <w:jc w:val="center"/>
              <w:rPr>
                <w:bCs/>
                <w:lang w:val="fr-FR"/>
              </w:rPr>
            </w:pPr>
            <w:r w:rsidRPr="00D97E64">
              <w:rPr>
                <w:bCs/>
                <w:lang w:val="fr-FR"/>
              </w:rPr>
              <w:t>O</w:t>
            </w:r>
          </w:p>
        </w:tc>
        <w:tc>
          <w:tcPr>
            <w:tcW w:w="1323" w:type="dxa"/>
            <w:tcBorders>
              <w:bottom w:val="single" w:sz="4" w:space="0" w:color="auto"/>
            </w:tcBorders>
          </w:tcPr>
          <w:p w:rsidR="003022F8" w:rsidRPr="00D97E64" w:rsidRDefault="003022F8" w:rsidP="008D70B0">
            <w:pPr>
              <w:spacing w:before="40" w:after="80" w:line="240" w:lineRule="exact"/>
              <w:jc w:val="center"/>
              <w:rPr>
                <w:bCs/>
                <w:lang w:val="fr-FR"/>
              </w:rPr>
            </w:pPr>
            <w:r w:rsidRPr="00D97E64">
              <w:rPr>
                <w:bCs/>
                <w:lang w:val="fr-FR"/>
              </w:rPr>
              <w:t>–</w:t>
            </w:r>
          </w:p>
        </w:tc>
      </w:tr>
      <w:tr w:rsidR="003022F8" w:rsidRPr="00D97E64" w:rsidTr="0021340C">
        <w:trPr>
          <w:trHeight w:val="637"/>
        </w:trPr>
        <w:tc>
          <w:tcPr>
            <w:tcW w:w="567" w:type="dxa"/>
            <w:tcBorders>
              <w:top w:val="single" w:sz="4" w:space="0" w:color="auto"/>
              <w:bottom w:val="nil"/>
              <w:right w:val="nil"/>
            </w:tcBorders>
          </w:tcPr>
          <w:p w:rsidR="003022F8" w:rsidRPr="00D97E64" w:rsidRDefault="003022F8" w:rsidP="008D70B0">
            <w:pPr>
              <w:spacing w:before="40" w:after="80" w:line="240" w:lineRule="exact"/>
              <w:rPr>
                <w:bCs/>
                <w:lang w:val="fr-FR"/>
              </w:rPr>
            </w:pPr>
            <w:r w:rsidRPr="00D97E64">
              <w:rPr>
                <w:bCs/>
                <w:lang w:val="fr-FR"/>
              </w:rPr>
              <w:t>2.</w:t>
            </w:r>
          </w:p>
        </w:tc>
        <w:tc>
          <w:tcPr>
            <w:tcW w:w="6843" w:type="dxa"/>
            <w:gridSpan w:val="2"/>
            <w:tcBorders>
              <w:top w:val="single" w:sz="4" w:space="0" w:color="auto"/>
              <w:left w:val="nil"/>
              <w:bottom w:val="nil"/>
            </w:tcBorders>
          </w:tcPr>
          <w:p w:rsidR="003022F8" w:rsidRPr="00D97E64" w:rsidRDefault="003022F8" w:rsidP="008D70B0">
            <w:pPr>
              <w:tabs>
                <w:tab w:val="left" w:pos="601"/>
              </w:tabs>
              <w:spacing w:before="40" w:after="80" w:line="240" w:lineRule="exact"/>
              <w:rPr>
                <w:bCs/>
                <w:lang w:val="fr-FR"/>
              </w:rPr>
            </w:pPr>
            <w:r w:rsidRPr="00D97E64">
              <w:rPr>
                <w:bCs/>
                <w:lang w:val="fr-FR"/>
              </w:rPr>
              <w:t xml:space="preserve">La tuyauterie de dégazage </w:t>
            </w:r>
            <w:r>
              <w:rPr>
                <w:bCs/>
                <w:lang w:val="fr-FR"/>
              </w:rPr>
              <w:t>entre</w:t>
            </w:r>
            <w:r w:rsidRPr="00D97E64">
              <w:rPr>
                <w:bCs/>
                <w:lang w:val="fr-FR"/>
              </w:rPr>
              <w:t xml:space="preserve"> le bateau </w:t>
            </w:r>
            <w:r>
              <w:rPr>
                <w:bCs/>
                <w:lang w:val="fr-FR"/>
              </w:rPr>
              <w:t>et</w:t>
            </w:r>
            <w:r w:rsidRPr="00D97E64">
              <w:rPr>
                <w:bCs/>
                <w:lang w:val="fr-FR"/>
              </w:rPr>
              <w:t xml:space="preserve"> la station de r</w:t>
            </w:r>
            <w:r w:rsidR="00585009">
              <w:rPr>
                <w:bCs/>
                <w:lang w:val="fr-FR"/>
              </w:rPr>
              <w:t>éception est-elle en bon état ?</w:t>
            </w:r>
          </w:p>
        </w:tc>
        <w:tc>
          <w:tcPr>
            <w:tcW w:w="812" w:type="dxa"/>
            <w:tcBorders>
              <w:top w:val="single" w:sz="4" w:space="0" w:color="auto"/>
              <w:bottom w:val="nil"/>
            </w:tcBorders>
          </w:tcPr>
          <w:p w:rsidR="003022F8" w:rsidRPr="00D97E64" w:rsidRDefault="003022F8" w:rsidP="008D70B0">
            <w:pPr>
              <w:spacing w:before="40" w:after="80" w:line="240" w:lineRule="exact"/>
              <w:jc w:val="center"/>
              <w:rPr>
                <w:bCs/>
                <w:lang w:val="fr-FR"/>
              </w:rPr>
            </w:pPr>
            <w:r w:rsidRPr="00D97E64">
              <w:rPr>
                <w:bCs/>
                <w:lang w:val="fr-FR"/>
              </w:rPr>
              <w:t>–</w:t>
            </w:r>
          </w:p>
        </w:tc>
        <w:tc>
          <w:tcPr>
            <w:tcW w:w="1323" w:type="dxa"/>
            <w:tcBorders>
              <w:top w:val="single" w:sz="4" w:space="0" w:color="auto"/>
              <w:bottom w:val="nil"/>
            </w:tcBorders>
          </w:tcPr>
          <w:p w:rsidR="003022F8" w:rsidRPr="00D97E64" w:rsidRDefault="003022F8" w:rsidP="008D70B0">
            <w:pPr>
              <w:spacing w:before="40" w:after="80" w:line="240" w:lineRule="exact"/>
              <w:jc w:val="center"/>
              <w:rPr>
                <w:bCs/>
                <w:lang w:val="fr-FR"/>
              </w:rPr>
            </w:pPr>
            <w:r w:rsidRPr="00D97E64">
              <w:rPr>
                <w:bCs/>
                <w:lang w:val="fr-FR"/>
              </w:rPr>
              <w:t>O</w:t>
            </w:r>
          </w:p>
        </w:tc>
      </w:tr>
      <w:tr w:rsidR="002A501E" w:rsidRPr="00D97E64" w:rsidTr="0021340C">
        <w:trPr>
          <w:trHeight w:val="678"/>
        </w:trPr>
        <w:tc>
          <w:tcPr>
            <w:tcW w:w="567" w:type="dxa"/>
            <w:tcBorders>
              <w:top w:val="nil"/>
              <w:right w:val="nil"/>
            </w:tcBorders>
          </w:tcPr>
          <w:p w:rsidR="002A501E" w:rsidRPr="00D97E64" w:rsidRDefault="002A501E" w:rsidP="008D70B0">
            <w:pPr>
              <w:spacing w:before="40" w:after="80" w:line="240" w:lineRule="exact"/>
              <w:rPr>
                <w:bCs/>
                <w:lang w:val="fr-FR"/>
              </w:rPr>
            </w:pPr>
          </w:p>
        </w:tc>
        <w:tc>
          <w:tcPr>
            <w:tcW w:w="6843" w:type="dxa"/>
            <w:gridSpan w:val="2"/>
            <w:tcBorders>
              <w:top w:val="nil"/>
              <w:left w:val="nil"/>
            </w:tcBorders>
          </w:tcPr>
          <w:p w:rsidR="002A501E" w:rsidRPr="00D97E64" w:rsidRDefault="002A501E" w:rsidP="002A501E">
            <w:pPr>
              <w:tabs>
                <w:tab w:val="left" w:pos="601"/>
              </w:tabs>
              <w:spacing w:before="40" w:after="80" w:line="240" w:lineRule="exact"/>
              <w:rPr>
                <w:bCs/>
                <w:lang w:val="fr-FR"/>
              </w:rPr>
            </w:pPr>
            <w:r w:rsidRPr="00D97E64">
              <w:rPr>
                <w:bCs/>
                <w:lang w:val="fr-FR"/>
              </w:rPr>
              <w:t xml:space="preserve">Est-elle bien raccordée et </w:t>
            </w:r>
            <w:r>
              <w:rPr>
                <w:bCs/>
                <w:lang w:val="fr-FR"/>
              </w:rPr>
              <w:t>munie</w:t>
            </w:r>
            <w:r w:rsidRPr="00D97E64">
              <w:rPr>
                <w:bCs/>
                <w:lang w:val="fr-FR"/>
              </w:rPr>
              <w:t xml:space="preserve"> de coupe-flammes </w:t>
            </w:r>
            <w:r>
              <w:rPr>
                <w:bCs/>
                <w:lang w:val="fr-FR"/>
              </w:rPr>
              <w:t>appropriés</w:t>
            </w:r>
            <w:r w:rsidRPr="00D97E64">
              <w:rPr>
                <w:bCs/>
                <w:lang w:val="fr-FR"/>
              </w:rPr>
              <w:t> ?</w:t>
            </w:r>
          </w:p>
        </w:tc>
        <w:tc>
          <w:tcPr>
            <w:tcW w:w="812" w:type="dxa"/>
            <w:tcBorders>
              <w:top w:val="nil"/>
            </w:tcBorders>
          </w:tcPr>
          <w:p w:rsidR="002A501E" w:rsidRPr="00D97E64" w:rsidRDefault="002A501E" w:rsidP="002A501E">
            <w:pPr>
              <w:spacing w:before="40" w:after="80" w:line="240" w:lineRule="exact"/>
              <w:jc w:val="center"/>
              <w:rPr>
                <w:bCs/>
                <w:lang w:val="fr-FR"/>
              </w:rPr>
            </w:pPr>
            <w:r w:rsidRPr="00D97E64">
              <w:rPr>
                <w:bCs/>
                <w:lang w:val="fr-FR"/>
              </w:rPr>
              <w:t>O</w:t>
            </w:r>
          </w:p>
        </w:tc>
        <w:tc>
          <w:tcPr>
            <w:tcW w:w="1323" w:type="dxa"/>
            <w:tcBorders>
              <w:top w:val="nil"/>
            </w:tcBorders>
          </w:tcPr>
          <w:p w:rsidR="002A501E" w:rsidRPr="00D97E64" w:rsidRDefault="002A501E" w:rsidP="008D70B0">
            <w:pPr>
              <w:spacing w:before="40" w:after="80" w:line="240" w:lineRule="exact"/>
              <w:jc w:val="center"/>
              <w:rPr>
                <w:bCs/>
                <w:lang w:val="fr-FR"/>
              </w:rPr>
            </w:pPr>
            <w:r w:rsidRPr="00D97E64">
              <w:rPr>
                <w:bCs/>
                <w:lang w:val="fr-FR"/>
              </w:rPr>
              <w:t>O</w:t>
            </w:r>
          </w:p>
        </w:tc>
      </w:tr>
      <w:tr w:rsidR="003022F8" w:rsidRPr="00D97E64" w:rsidTr="0021340C">
        <w:tc>
          <w:tcPr>
            <w:tcW w:w="567" w:type="dxa"/>
            <w:tcBorders>
              <w:right w:val="nil"/>
            </w:tcBorders>
          </w:tcPr>
          <w:p w:rsidR="003022F8" w:rsidRPr="00D97E64" w:rsidRDefault="003022F8" w:rsidP="008D70B0">
            <w:pPr>
              <w:spacing w:before="40" w:after="80" w:line="240" w:lineRule="exact"/>
              <w:rPr>
                <w:bCs/>
                <w:lang w:val="fr-FR"/>
              </w:rPr>
            </w:pPr>
            <w:r w:rsidRPr="00D97E64">
              <w:rPr>
                <w:bCs/>
                <w:lang w:val="fr-FR"/>
              </w:rPr>
              <w:t>3.</w:t>
            </w:r>
          </w:p>
        </w:tc>
        <w:tc>
          <w:tcPr>
            <w:tcW w:w="6843" w:type="dxa"/>
            <w:gridSpan w:val="2"/>
            <w:tcBorders>
              <w:left w:val="nil"/>
            </w:tcBorders>
          </w:tcPr>
          <w:p w:rsidR="003022F8" w:rsidRPr="00D97E64" w:rsidRDefault="003022F8" w:rsidP="008D70B0">
            <w:pPr>
              <w:spacing w:before="40" w:after="80" w:line="240" w:lineRule="exact"/>
              <w:rPr>
                <w:bCs/>
                <w:lang w:val="fr-FR"/>
              </w:rPr>
            </w:pPr>
            <w:r w:rsidRPr="00D97E64">
              <w:rPr>
                <w:bCs/>
                <w:lang w:val="fr-FR"/>
              </w:rPr>
              <w:t>Tous les raccordements non utilisés des tuyauteries de chargement et de déchargement et de la conduite d</w:t>
            </w:r>
            <w:r>
              <w:rPr>
                <w:bCs/>
                <w:lang w:val="fr-FR"/>
              </w:rPr>
              <w:t>’</w:t>
            </w:r>
            <w:r w:rsidRPr="00D97E64">
              <w:rPr>
                <w:bCs/>
                <w:lang w:val="fr-FR"/>
              </w:rPr>
              <w:t xml:space="preserve">évacuation des gaz sont-ils correctement </w:t>
            </w:r>
            <w:r w:rsidR="007F3C08">
              <w:rPr>
                <w:bCs/>
                <w:lang w:val="fr-FR"/>
              </w:rPr>
              <w:br/>
            </w:r>
            <w:r w:rsidRPr="00D97E64">
              <w:rPr>
                <w:bCs/>
                <w:lang w:val="fr-FR"/>
              </w:rPr>
              <w:t>obturés par des flasques ?</w:t>
            </w:r>
          </w:p>
        </w:tc>
        <w:tc>
          <w:tcPr>
            <w:tcW w:w="812" w:type="dxa"/>
          </w:tcPr>
          <w:p w:rsidR="003022F8" w:rsidRPr="00D97E64" w:rsidRDefault="003022F8" w:rsidP="008D70B0">
            <w:pPr>
              <w:spacing w:before="40" w:after="80" w:line="240" w:lineRule="exact"/>
              <w:jc w:val="center"/>
              <w:rPr>
                <w:bCs/>
                <w:lang w:val="fr-FR"/>
              </w:rPr>
            </w:pPr>
            <w:r w:rsidRPr="00D97E64">
              <w:rPr>
                <w:bCs/>
                <w:lang w:val="fr-FR"/>
              </w:rPr>
              <w:t>O</w:t>
            </w:r>
          </w:p>
        </w:tc>
        <w:tc>
          <w:tcPr>
            <w:tcW w:w="1323" w:type="dxa"/>
          </w:tcPr>
          <w:p w:rsidR="003022F8" w:rsidRPr="00D97E64" w:rsidRDefault="003022F8" w:rsidP="008D70B0">
            <w:pPr>
              <w:spacing w:before="40" w:after="80" w:line="240" w:lineRule="exact"/>
              <w:jc w:val="center"/>
              <w:rPr>
                <w:bCs/>
                <w:lang w:val="fr-FR"/>
              </w:rPr>
            </w:pPr>
            <w:r w:rsidRPr="00D97E64">
              <w:rPr>
                <w:bCs/>
                <w:lang w:val="fr-FR"/>
              </w:rPr>
              <w:t>O</w:t>
            </w:r>
          </w:p>
        </w:tc>
      </w:tr>
      <w:tr w:rsidR="003022F8" w:rsidRPr="00D97E64" w:rsidTr="0021340C">
        <w:tc>
          <w:tcPr>
            <w:tcW w:w="567" w:type="dxa"/>
            <w:tcBorders>
              <w:bottom w:val="single" w:sz="4" w:space="0" w:color="auto"/>
              <w:right w:val="nil"/>
            </w:tcBorders>
          </w:tcPr>
          <w:p w:rsidR="003022F8" w:rsidRPr="00D97E64" w:rsidRDefault="003022F8" w:rsidP="008D70B0">
            <w:pPr>
              <w:spacing w:before="40" w:after="80" w:line="240" w:lineRule="exact"/>
              <w:rPr>
                <w:bCs/>
                <w:lang w:val="fr-FR"/>
              </w:rPr>
            </w:pPr>
            <w:r w:rsidRPr="00D97E64">
              <w:rPr>
                <w:bCs/>
                <w:lang w:val="fr-FR"/>
              </w:rPr>
              <w:t>4.</w:t>
            </w:r>
          </w:p>
        </w:tc>
        <w:tc>
          <w:tcPr>
            <w:tcW w:w="6843" w:type="dxa"/>
            <w:gridSpan w:val="2"/>
            <w:tcBorders>
              <w:left w:val="nil"/>
              <w:bottom w:val="single" w:sz="4" w:space="0" w:color="auto"/>
            </w:tcBorders>
          </w:tcPr>
          <w:p w:rsidR="003022F8" w:rsidRPr="00D97E64" w:rsidRDefault="003022F8" w:rsidP="007F3C08">
            <w:pPr>
              <w:spacing w:before="40" w:after="80" w:line="240" w:lineRule="exact"/>
              <w:rPr>
                <w:bCs/>
                <w:lang w:val="fr-FR"/>
              </w:rPr>
            </w:pPr>
            <w:r w:rsidRPr="00D97E64">
              <w:rPr>
                <w:bCs/>
                <w:lang w:val="fr-FR"/>
              </w:rPr>
              <w:t>Une surveillance appropriée permanente est-elle assurée pour toute la durée du</w:t>
            </w:r>
            <w:r w:rsidR="007F3C08">
              <w:rPr>
                <w:bCs/>
                <w:lang w:val="fr-FR"/>
              </w:rPr>
              <w:t> </w:t>
            </w:r>
            <w:r w:rsidRPr="00D97E64">
              <w:rPr>
                <w:bCs/>
                <w:lang w:val="fr-FR"/>
              </w:rPr>
              <w:t>dégazage ?</w:t>
            </w:r>
          </w:p>
        </w:tc>
        <w:tc>
          <w:tcPr>
            <w:tcW w:w="812" w:type="dxa"/>
            <w:tcBorders>
              <w:bottom w:val="single" w:sz="4" w:space="0" w:color="auto"/>
            </w:tcBorders>
          </w:tcPr>
          <w:p w:rsidR="003022F8" w:rsidRPr="00D97E64" w:rsidRDefault="003022F8" w:rsidP="008D70B0">
            <w:pPr>
              <w:spacing w:before="40" w:after="80" w:line="240" w:lineRule="exact"/>
              <w:jc w:val="center"/>
              <w:rPr>
                <w:bCs/>
                <w:lang w:val="fr-FR"/>
              </w:rPr>
            </w:pPr>
            <w:r w:rsidRPr="00D97E64">
              <w:rPr>
                <w:bCs/>
                <w:lang w:val="fr-FR"/>
              </w:rPr>
              <w:t>O</w:t>
            </w:r>
          </w:p>
        </w:tc>
        <w:tc>
          <w:tcPr>
            <w:tcW w:w="1323" w:type="dxa"/>
            <w:tcBorders>
              <w:bottom w:val="single" w:sz="4" w:space="0" w:color="auto"/>
            </w:tcBorders>
          </w:tcPr>
          <w:p w:rsidR="003022F8" w:rsidRPr="00D97E64" w:rsidRDefault="003022F8" w:rsidP="008D70B0">
            <w:pPr>
              <w:spacing w:before="40" w:after="80" w:line="240" w:lineRule="exact"/>
              <w:jc w:val="center"/>
              <w:rPr>
                <w:bCs/>
                <w:lang w:val="fr-FR"/>
              </w:rPr>
            </w:pPr>
            <w:r w:rsidRPr="00D97E64">
              <w:rPr>
                <w:bCs/>
                <w:lang w:val="fr-FR"/>
              </w:rPr>
              <w:t>O</w:t>
            </w:r>
          </w:p>
        </w:tc>
      </w:tr>
      <w:tr w:rsidR="003022F8" w:rsidRPr="00D97E64" w:rsidTr="0021340C">
        <w:tc>
          <w:tcPr>
            <w:tcW w:w="567" w:type="dxa"/>
            <w:tcBorders>
              <w:bottom w:val="single" w:sz="4" w:space="0" w:color="auto"/>
              <w:right w:val="nil"/>
            </w:tcBorders>
          </w:tcPr>
          <w:p w:rsidR="003022F8" w:rsidRPr="00D97E64" w:rsidRDefault="003022F8" w:rsidP="008D70B0">
            <w:pPr>
              <w:spacing w:before="40" w:after="80" w:line="240" w:lineRule="exact"/>
              <w:rPr>
                <w:bCs/>
                <w:lang w:val="fr-FR"/>
              </w:rPr>
            </w:pPr>
            <w:r w:rsidRPr="00D97E64">
              <w:rPr>
                <w:bCs/>
                <w:lang w:val="fr-FR"/>
              </w:rPr>
              <w:t>5.</w:t>
            </w:r>
          </w:p>
        </w:tc>
        <w:tc>
          <w:tcPr>
            <w:tcW w:w="6843" w:type="dxa"/>
            <w:gridSpan w:val="2"/>
            <w:tcBorders>
              <w:left w:val="nil"/>
              <w:bottom w:val="single" w:sz="4" w:space="0" w:color="auto"/>
            </w:tcBorders>
          </w:tcPr>
          <w:p w:rsidR="003022F8" w:rsidRPr="00D97E64" w:rsidRDefault="003022F8" w:rsidP="008D70B0">
            <w:pPr>
              <w:spacing w:before="40" w:after="80" w:line="240" w:lineRule="exact"/>
              <w:rPr>
                <w:bCs/>
                <w:lang w:val="fr-FR"/>
              </w:rPr>
            </w:pPr>
            <w:r w:rsidRPr="00D97E64">
              <w:rPr>
                <w:bCs/>
                <w:lang w:val="fr-FR"/>
              </w:rPr>
              <w:t>La communication entre le bateau et la station de réception est-elle assurée ?</w:t>
            </w:r>
          </w:p>
        </w:tc>
        <w:tc>
          <w:tcPr>
            <w:tcW w:w="812" w:type="dxa"/>
            <w:tcBorders>
              <w:bottom w:val="single" w:sz="4" w:space="0" w:color="auto"/>
            </w:tcBorders>
          </w:tcPr>
          <w:p w:rsidR="003022F8" w:rsidRPr="00D97E64" w:rsidRDefault="003022F8" w:rsidP="008D70B0">
            <w:pPr>
              <w:spacing w:before="40" w:after="80" w:line="240" w:lineRule="exact"/>
              <w:jc w:val="center"/>
              <w:rPr>
                <w:bCs/>
                <w:lang w:val="fr-FR"/>
              </w:rPr>
            </w:pPr>
            <w:r w:rsidRPr="00D97E64">
              <w:rPr>
                <w:bCs/>
                <w:lang w:val="fr-FR"/>
              </w:rPr>
              <w:t>O</w:t>
            </w:r>
          </w:p>
        </w:tc>
        <w:tc>
          <w:tcPr>
            <w:tcW w:w="1323" w:type="dxa"/>
            <w:tcBorders>
              <w:bottom w:val="single" w:sz="4" w:space="0" w:color="auto"/>
            </w:tcBorders>
          </w:tcPr>
          <w:p w:rsidR="003022F8" w:rsidRPr="00D97E64" w:rsidRDefault="003022F8" w:rsidP="008D70B0">
            <w:pPr>
              <w:spacing w:before="40" w:after="80" w:line="240" w:lineRule="exact"/>
              <w:jc w:val="center"/>
              <w:rPr>
                <w:bCs/>
                <w:lang w:val="fr-FR"/>
              </w:rPr>
            </w:pPr>
            <w:r w:rsidRPr="00D97E64">
              <w:rPr>
                <w:bCs/>
                <w:lang w:val="fr-FR"/>
              </w:rPr>
              <w:t>O</w:t>
            </w:r>
          </w:p>
        </w:tc>
      </w:tr>
      <w:tr w:rsidR="003022F8" w:rsidRPr="00D97E64" w:rsidTr="0021340C">
        <w:tc>
          <w:tcPr>
            <w:tcW w:w="567" w:type="dxa"/>
            <w:tcBorders>
              <w:top w:val="nil"/>
              <w:bottom w:val="nil"/>
              <w:right w:val="nil"/>
            </w:tcBorders>
          </w:tcPr>
          <w:p w:rsidR="003022F8" w:rsidRPr="00D97E64" w:rsidRDefault="003022F8" w:rsidP="008D70B0">
            <w:pPr>
              <w:spacing w:before="40" w:after="80" w:line="240" w:lineRule="exact"/>
              <w:rPr>
                <w:bCs/>
                <w:lang w:val="fr-FR"/>
              </w:rPr>
            </w:pPr>
            <w:r w:rsidRPr="00D97E64">
              <w:rPr>
                <w:bCs/>
                <w:lang w:val="fr-FR"/>
              </w:rPr>
              <w:t>6.1</w:t>
            </w:r>
          </w:p>
        </w:tc>
        <w:tc>
          <w:tcPr>
            <w:tcW w:w="6843" w:type="dxa"/>
            <w:gridSpan w:val="2"/>
            <w:tcBorders>
              <w:top w:val="nil"/>
              <w:left w:val="nil"/>
              <w:bottom w:val="nil"/>
            </w:tcBorders>
          </w:tcPr>
          <w:p w:rsidR="003022F8" w:rsidRPr="00D97E64" w:rsidRDefault="003022F8" w:rsidP="008D70B0">
            <w:pPr>
              <w:spacing w:before="40" w:after="80" w:line="240" w:lineRule="exact"/>
              <w:rPr>
                <w:bCs/>
                <w:lang w:val="fr-FR"/>
              </w:rPr>
            </w:pPr>
            <w:r w:rsidRPr="00D97E64">
              <w:rPr>
                <w:bCs/>
                <w:lang w:val="fr-FR"/>
              </w:rPr>
              <w:t>Est-il assuré par la station de réception que la pression au point de raccordement ne dépasse pas la pression d</w:t>
            </w:r>
            <w:r>
              <w:rPr>
                <w:bCs/>
                <w:lang w:val="fr-FR"/>
              </w:rPr>
              <w:t>’</w:t>
            </w:r>
            <w:r w:rsidRPr="00D97E64">
              <w:rPr>
                <w:bCs/>
                <w:lang w:val="fr-FR"/>
              </w:rPr>
              <w:t>ouverture de la soupape de dégagement à grande vitesse (pression au point de raccordement</w:t>
            </w:r>
            <w:r>
              <w:rPr>
                <w:bCs/>
                <w:lang w:val="fr-FR"/>
              </w:rPr>
              <w:t> :</w:t>
            </w:r>
            <w:r w:rsidRPr="00D97E64">
              <w:rPr>
                <w:bCs/>
                <w:lang w:val="fr-FR"/>
              </w:rPr>
              <w:t xml:space="preserve"> _ kPa) ?</w:t>
            </w:r>
          </w:p>
        </w:tc>
        <w:tc>
          <w:tcPr>
            <w:tcW w:w="812" w:type="dxa"/>
            <w:tcBorders>
              <w:top w:val="nil"/>
              <w:bottom w:val="nil"/>
            </w:tcBorders>
          </w:tcPr>
          <w:p w:rsidR="003022F8" w:rsidRPr="00D97E64" w:rsidRDefault="003022F8" w:rsidP="008D70B0">
            <w:pPr>
              <w:spacing w:before="40" w:after="80" w:line="240" w:lineRule="exact"/>
              <w:jc w:val="center"/>
              <w:rPr>
                <w:bCs/>
                <w:lang w:val="fr-FR"/>
              </w:rPr>
            </w:pPr>
            <w:r w:rsidRPr="00D97E64">
              <w:rPr>
                <w:bCs/>
                <w:lang w:val="fr-FR"/>
              </w:rPr>
              <w:t>–</w:t>
            </w:r>
          </w:p>
        </w:tc>
        <w:tc>
          <w:tcPr>
            <w:tcW w:w="1323" w:type="dxa"/>
            <w:tcBorders>
              <w:top w:val="nil"/>
              <w:bottom w:val="nil"/>
            </w:tcBorders>
          </w:tcPr>
          <w:p w:rsidR="003022F8" w:rsidRPr="00D97E64" w:rsidRDefault="003022F8" w:rsidP="008D70B0">
            <w:pPr>
              <w:spacing w:before="40" w:after="80" w:line="240" w:lineRule="exact"/>
              <w:jc w:val="center"/>
              <w:rPr>
                <w:b/>
                <w:lang w:val="fr-FR"/>
              </w:rPr>
            </w:pPr>
            <w:r w:rsidRPr="00D97E64">
              <w:rPr>
                <w:bCs/>
                <w:lang w:val="fr-FR"/>
              </w:rPr>
              <w:t>O*</w:t>
            </w:r>
          </w:p>
        </w:tc>
      </w:tr>
      <w:tr w:rsidR="003022F8" w:rsidRPr="00D97E64" w:rsidTr="0021340C">
        <w:trPr>
          <w:trHeight w:val="574"/>
        </w:trPr>
        <w:tc>
          <w:tcPr>
            <w:tcW w:w="567" w:type="dxa"/>
            <w:tcBorders>
              <w:top w:val="nil"/>
              <w:bottom w:val="nil"/>
              <w:right w:val="nil"/>
            </w:tcBorders>
          </w:tcPr>
          <w:p w:rsidR="003022F8" w:rsidRPr="00D97E64" w:rsidRDefault="003022F8" w:rsidP="008D70B0">
            <w:pPr>
              <w:spacing w:before="40" w:after="80" w:line="240" w:lineRule="exact"/>
              <w:rPr>
                <w:bCs/>
                <w:lang w:val="fr-FR"/>
              </w:rPr>
            </w:pPr>
            <w:r w:rsidRPr="00D97E64">
              <w:rPr>
                <w:bCs/>
                <w:lang w:val="fr-FR"/>
              </w:rPr>
              <w:t>6.2</w:t>
            </w:r>
          </w:p>
        </w:tc>
        <w:tc>
          <w:tcPr>
            <w:tcW w:w="6843" w:type="dxa"/>
            <w:gridSpan w:val="2"/>
            <w:tcBorders>
              <w:top w:val="nil"/>
              <w:left w:val="nil"/>
              <w:bottom w:val="nil"/>
            </w:tcBorders>
          </w:tcPr>
          <w:p w:rsidR="003022F8" w:rsidRPr="00D97E64" w:rsidRDefault="003022F8" w:rsidP="008D70B0">
            <w:pPr>
              <w:spacing w:before="40" w:after="80" w:line="240" w:lineRule="exact"/>
              <w:rPr>
                <w:bCs/>
                <w:lang w:val="fr-FR"/>
              </w:rPr>
            </w:pPr>
            <w:r w:rsidRPr="00D97E64">
              <w:rPr>
                <w:bCs/>
                <w:lang w:val="fr-FR"/>
              </w:rPr>
              <w:t>L</w:t>
            </w:r>
            <w:r>
              <w:rPr>
                <w:bCs/>
                <w:lang w:val="fr-FR"/>
              </w:rPr>
              <w:t>’</w:t>
            </w:r>
            <w:r w:rsidRPr="00D97E64">
              <w:rPr>
                <w:bCs/>
                <w:lang w:val="fr-FR"/>
              </w:rPr>
              <w:t>orifice d</w:t>
            </w:r>
            <w:r>
              <w:rPr>
                <w:bCs/>
                <w:lang w:val="fr-FR"/>
              </w:rPr>
              <w:t>’</w:t>
            </w:r>
            <w:r w:rsidRPr="00D97E64">
              <w:rPr>
                <w:bCs/>
                <w:lang w:val="fr-FR"/>
              </w:rPr>
              <w:t>aspiration d</w:t>
            </w:r>
            <w:r>
              <w:rPr>
                <w:bCs/>
                <w:lang w:val="fr-FR"/>
              </w:rPr>
              <w:t>’</w:t>
            </w:r>
            <w:r w:rsidRPr="00D97E64">
              <w:rPr>
                <w:bCs/>
                <w:lang w:val="fr-FR"/>
              </w:rPr>
              <w:t>air fait-il partie d</w:t>
            </w:r>
            <w:r>
              <w:rPr>
                <w:bCs/>
                <w:lang w:val="fr-FR"/>
              </w:rPr>
              <w:t>’</w:t>
            </w:r>
            <w:r w:rsidRPr="00D97E64">
              <w:rPr>
                <w:bCs/>
                <w:lang w:val="fr-FR"/>
              </w:rPr>
              <w:t>un système fermé ou est-il muni d</w:t>
            </w:r>
            <w:r>
              <w:rPr>
                <w:bCs/>
                <w:lang w:val="fr-FR"/>
              </w:rPr>
              <w:t>’</w:t>
            </w:r>
            <w:r w:rsidRPr="00D97E64">
              <w:rPr>
                <w:bCs/>
                <w:lang w:val="fr-FR"/>
              </w:rPr>
              <w:t>un</w:t>
            </w:r>
            <w:r>
              <w:rPr>
                <w:bCs/>
                <w:lang w:val="fr-FR"/>
              </w:rPr>
              <w:t>e</w:t>
            </w:r>
            <w:r w:rsidRPr="00D97E64">
              <w:rPr>
                <w:bCs/>
                <w:lang w:val="fr-FR"/>
              </w:rPr>
              <w:t xml:space="preserve">  </w:t>
            </w:r>
            <w:r>
              <w:rPr>
                <w:bCs/>
                <w:lang w:val="fr-FR"/>
              </w:rPr>
              <w:t xml:space="preserve">soupape </w:t>
            </w:r>
            <w:r w:rsidRPr="00D97E64">
              <w:rPr>
                <w:bCs/>
                <w:lang w:val="fr-FR"/>
              </w:rPr>
              <w:t>basse pression à ressort ?</w:t>
            </w:r>
          </w:p>
        </w:tc>
        <w:tc>
          <w:tcPr>
            <w:tcW w:w="812" w:type="dxa"/>
            <w:tcBorders>
              <w:top w:val="nil"/>
              <w:bottom w:val="nil"/>
            </w:tcBorders>
          </w:tcPr>
          <w:p w:rsidR="003022F8" w:rsidRPr="00D97E64" w:rsidRDefault="003022F8" w:rsidP="008D70B0">
            <w:pPr>
              <w:spacing w:before="40" w:after="80" w:line="240" w:lineRule="exact"/>
              <w:jc w:val="center"/>
              <w:rPr>
                <w:bCs/>
                <w:lang w:val="fr-FR"/>
              </w:rPr>
            </w:pPr>
            <w:r w:rsidRPr="00D97E64">
              <w:rPr>
                <w:bCs/>
                <w:lang w:val="fr-FR"/>
              </w:rPr>
              <w:t>–</w:t>
            </w:r>
          </w:p>
        </w:tc>
        <w:tc>
          <w:tcPr>
            <w:tcW w:w="1323" w:type="dxa"/>
            <w:tcBorders>
              <w:top w:val="nil"/>
              <w:bottom w:val="nil"/>
            </w:tcBorders>
          </w:tcPr>
          <w:p w:rsidR="003022F8" w:rsidRPr="00D97E64" w:rsidRDefault="003022F8" w:rsidP="008D70B0">
            <w:pPr>
              <w:spacing w:before="40" w:after="80" w:line="240" w:lineRule="exact"/>
              <w:jc w:val="center"/>
              <w:rPr>
                <w:bCs/>
                <w:lang w:val="fr-FR"/>
              </w:rPr>
            </w:pPr>
            <w:r w:rsidRPr="00D97E64">
              <w:rPr>
                <w:bCs/>
                <w:lang w:val="fr-FR"/>
              </w:rPr>
              <w:t>O</w:t>
            </w:r>
            <w:r w:rsidRPr="00C24EFE">
              <w:rPr>
                <w:bCs/>
                <w:lang w:val="fr-FR"/>
              </w:rPr>
              <w:t>**</w:t>
            </w:r>
          </w:p>
        </w:tc>
      </w:tr>
      <w:tr w:rsidR="00C24EFE" w:rsidRPr="00D97E64" w:rsidTr="0021340C">
        <w:trPr>
          <w:trHeight w:val="1075"/>
        </w:trPr>
        <w:tc>
          <w:tcPr>
            <w:tcW w:w="567" w:type="dxa"/>
            <w:tcBorders>
              <w:top w:val="nil"/>
              <w:bottom w:val="single" w:sz="4" w:space="0" w:color="auto"/>
              <w:right w:val="nil"/>
            </w:tcBorders>
          </w:tcPr>
          <w:p w:rsidR="00C24EFE" w:rsidRPr="00D97E64" w:rsidRDefault="00C24EFE" w:rsidP="008D70B0">
            <w:pPr>
              <w:spacing w:before="40" w:after="80" w:line="240" w:lineRule="exact"/>
              <w:rPr>
                <w:bCs/>
                <w:lang w:val="fr-FR"/>
              </w:rPr>
            </w:pPr>
            <w:r w:rsidRPr="00D97E64">
              <w:rPr>
                <w:bCs/>
                <w:lang w:val="fr-FR"/>
              </w:rPr>
              <w:t>6.3</w:t>
            </w:r>
          </w:p>
        </w:tc>
        <w:tc>
          <w:tcPr>
            <w:tcW w:w="6843" w:type="dxa"/>
            <w:gridSpan w:val="2"/>
            <w:tcBorders>
              <w:top w:val="nil"/>
              <w:left w:val="nil"/>
              <w:bottom w:val="single" w:sz="4" w:space="0" w:color="auto"/>
            </w:tcBorders>
          </w:tcPr>
          <w:p w:rsidR="00C24EFE" w:rsidRPr="00D97E64" w:rsidRDefault="00C24EFE" w:rsidP="00C24EFE">
            <w:pPr>
              <w:spacing w:before="40" w:after="80" w:line="240" w:lineRule="exact"/>
              <w:rPr>
                <w:bCs/>
                <w:lang w:val="fr-FR"/>
              </w:rPr>
            </w:pPr>
            <w:r w:rsidRPr="00D97E64">
              <w:rPr>
                <w:bCs/>
                <w:lang w:val="fr-FR"/>
              </w:rPr>
              <w:t>Lorsque la protection contre les explosions est exigée à la colonne (17) du tableau</w:t>
            </w:r>
            <w:r>
              <w:rPr>
                <w:bCs/>
                <w:lang w:val="fr-FR"/>
              </w:rPr>
              <w:t> </w:t>
            </w:r>
            <w:r w:rsidRPr="00D97E64">
              <w:rPr>
                <w:bCs/>
                <w:lang w:val="fr-FR"/>
              </w:rPr>
              <w:t>C du chapitre 3</w:t>
            </w:r>
            <w:r>
              <w:rPr>
                <w:bCs/>
                <w:lang w:val="fr-FR"/>
              </w:rPr>
              <w:t>.</w:t>
            </w:r>
            <w:r w:rsidRPr="00D97E64">
              <w:rPr>
                <w:bCs/>
                <w:lang w:val="fr-FR"/>
              </w:rPr>
              <w:t>2, la station de réception assure-t-elle que sa tuyauterie est</w:t>
            </w:r>
            <w:r>
              <w:rPr>
                <w:bCs/>
                <w:lang w:val="fr-FR"/>
              </w:rPr>
              <w:t> </w:t>
            </w:r>
            <w:r w:rsidRPr="00D97E64">
              <w:rPr>
                <w:bCs/>
                <w:lang w:val="fr-FR"/>
              </w:rPr>
              <w:t>telle que le bateau est protégé contre les détonations et les passages de flammes provenant de la station</w:t>
            </w:r>
            <w:r w:rsidR="00092F98">
              <w:rPr>
                <w:bCs/>
                <w:lang w:val="fr-FR"/>
              </w:rPr>
              <w:t> </w:t>
            </w:r>
            <w:r w:rsidRPr="00D97E64">
              <w:rPr>
                <w:bCs/>
                <w:lang w:val="fr-FR"/>
              </w:rPr>
              <w:t>?</w:t>
            </w:r>
          </w:p>
        </w:tc>
        <w:tc>
          <w:tcPr>
            <w:tcW w:w="812" w:type="dxa"/>
            <w:tcBorders>
              <w:top w:val="nil"/>
              <w:bottom w:val="single" w:sz="4" w:space="0" w:color="auto"/>
            </w:tcBorders>
          </w:tcPr>
          <w:p w:rsidR="00C24EFE" w:rsidRPr="00D97E64" w:rsidRDefault="00C24EFE" w:rsidP="008D70B0">
            <w:pPr>
              <w:spacing w:before="40" w:after="80" w:line="240" w:lineRule="exact"/>
              <w:jc w:val="center"/>
              <w:rPr>
                <w:bCs/>
                <w:lang w:val="fr-FR"/>
              </w:rPr>
            </w:pPr>
            <w:r w:rsidRPr="00D97E64">
              <w:rPr>
                <w:bCs/>
                <w:lang w:val="fr-FR"/>
              </w:rPr>
              <w:t>–</w:t>
            </w:r>
          </w:p>
        </w:tc>
        <w:tc>
          <w:tcPr>
            <w:tcW w:w="1323" w:type="dxa"/>
            <w:tcBorders>
              <w:top w:val="nil"/>
              <w:bottom w:val="single" w:sz="4" w:space="0" w:color="auto"/>
            </w:tcBorders>
          </w:tcPr>
          <w:p w:rsidR="00C24EFE" w:rsidRPr="00D97E64" w:rsidRDefault="00C24EFE" w:rsidP="008D70B0">
            <w:pPr>
              <w:spacing w:before="40" w:after="80" w:line="240" w:lineRule="exact"/>
              <w:jc w:val="center"/>
              <w:rPr>
                <w:bCs/>
                <w:lang w:val="fr-FR"/>
              </w:rPr>
            </w:pPr>
            <w:r w:rsidRPr="00D97E64">
              <w:rPr>
                <w:bCs/>
                <w:lang w:val="fr-FR"/>
              </w:rPr>
              <w:t>O</w:t>
            </w:r>
          </w:p>
        </w:tc>
      </w:tr>
      <w:tr w:rsidR="003022F8" w:rsidRPr="00D97E64" w:rsidTr="0021340C">
        <w:tc>
          <w:tcPr>
            <w:tcW w:w="567" w:type="dxa"/>
            <w:tcBorders>
              <w:bottom w:val="single" w:sz="4" w:space="0" w:color="auto"/>
              <w:right w:val="nil"/>
            </w:tcBorders>
          </w:tcPr>
          <w:p w:rsidR="003022F8" w:rsidRPr="00D97E64" w:rsidRDefault="003022F8" w:rsidP="008D70B0">
            <w:pPr>
              <w:spacing w:before="40" w:after="80" w:line="240" w:lineRule="exact"/>
              <w:rPr>
                <w:bCs/>
                <w:lang w:val="fr-FR"/>
              </w:rPr>
            </w:pPr>
            <w:r w:rsidRPr="00D97E64">
              <w:rPr>
                <w:bCs/>
                <w:lang w:val="fr-FR"/>
              </w:rPr>
              <w:t>7.</w:t>
            </w:r>
          </w:p>
        </w:tc>
        <w:tc>
          <w:tcPr>
            <w:tcW w:w="6843" w:type="dxa"/>
            <w:gridSpan w:val="2"/>
            <w:tcBorders>
              <w:left w:val="nil"/>
              <w:bottom w:val="single" w:sz="4" w:space="0" w:color="auto"/>
            </w:tcBorders>
          </w:tcPr>
          <w:p w:rsidR="003022F8" w:rsidRPr="00D97E64" w:rsidRDefault="003022F8" w:rsidP="008D70B0">
            <w:pPr>
              <w:spacing w:before="40" w:after="80" w:line="240" w:lineRule="exact"/>
              <w:rPr>
                <w:bCs/>
                <w:lang w:val="fr-FR"/>
              </w:rPr>
            </w:pPr>
            <w:r w:rsidRPr="00D97E64">
              <w:rPr>
                <w:bCs/>
                <w:lang w:val="fr-FR"/>
              </w:rPr>
              <w:t>Les mesures concernant l</w:t>
            </w:r>
            <w:r>
              <w:rPr>
                <w:bCs/>
                <w:lang w:val="fr-FR"/>
              </w:rPr>
              <w:t>’</w:t>
            </w:r>
            <w:r w:rsidRPr="00D97E64">
              <w:rPr>
                <w:bCs/>
                <w:lang w:val="fr-FR"/>
              </w:rPr>
              <w:t>arrêt d</w:t>
            </w:r>
            <w:r>
              <w:rPr>
                <w:bCs/>
                <w:lang w:val="fr-FR"/>
              </w:rPr>
              <w:t>’</w:t>
            </w:r>
            <w:r w:rsidRPr="00D97E64">
              <w:rPr>
                <w:bCs/>
                <w:lang w:val="fr-FR"/>
              </w:rPr>
              <w:t>urgence et l</w:t>
            </w:r>
            <w:r>
              <w:rPr>
                <w:bCs/>
                <w:lang w:val="fr-FR"/>
              </w:rPr>
              <w:t>’</w:t>
            </w:r>
            <w:r w:rsidRPr="00D97E64">
              <w:rPr>
                <w:bCs/>
                <w:lang w:val="fr-FR"/>
              </w:rPr>
              <w:t>alarme sont-elles connues ?</w:t>
            </w:r>
          </w:p>
        </w:tc>
        <w:tc>
          <w:tcPr>
            <w:tcW w:w="812" w:type="dxa"/>
            <w:tcBorders>
              <w:bottom w:val="single" w:sz="4" w:space="0" w:color="auto"/>
            </w:tcBorders>
          </w:tcPr>
          <w:p w:rsidR="003022F8" w:rsidRPr="00D97E64" w:rsidRDefault="003022F8" w:rsidP="008D70B0">
            <w:pPr>
              <w:spacing w:before="40" w:after="80" w:line="240" w:lineRule="exact"/>
              <w:jc w:val="center"/>
              <w:rPr>
                <w:bCs/>
                <w:lang w:val="fr-FR"/>
              </w:rPr>
            </w:pPr>
            <w:r w:rsidRPr="00D97E64">
              <w:rPr>
                <w:bCs/>
                <w:lang w:val="fr-FR"/>
              </w:rPr>
              <w:t>O</w:t>
            </w:r>
          </w:p>
        </w:tc>
        <w:tc>
          <w:tcPr>
            <w:tcW w:w="1323" w:type="dxa"/>
            <w:tcBorders>
              <w:bottom w:val="single" w:sz="4" w:space="0" w:color="auto"/>
            </w:tcBorders>
          </w:tcPr>
          <w:p w:rsidR="003022F8" w:rsidRPr="00D97E64" w:rsidRDefault="003022F8" w:rsidP="008D70B0">
            <w:pPr>
              <w:spacing w:before="40" w:after="80" w:line="240" w:lineRule="exact"/>
              <w:jc w:val="center"/>
              <w:rPr>
                <w:bCs/>
                <w:lang w:val="fr-FR"/>
              </w:rPr>
            </w:pPr>
            <w:r w:rsidRPr="00D97E64">
              <w:rPr>
                <w:bCs/>
                <w:lang w:val="fr-FR"/>
              </w:rPr>
              <w:t>O</w:t>
            </w:r>
          </w:p>
        </w:tc>
      </w:tr>
      <w:tr w:rsidR="003D170A" w:rsidRPr="00D97E64" w:rsidTr="0021340C">
        <w:tc>
          <w:tcPr>
            <w:tcW w:w="7410" w:type="dxa"/>
            <w:gridSpan w:val="3"/>
            <w:tcBorders>
              <w:bottom w:val="nil"/>
            </w:tcBorders>
            <w:vAlign w:val="center"/>
          </w:tcPr>
          <w:p w:rsidR="003D170A" w:rsidRPr="00D97E64" w:rsidRDefault="003D170A" w:rsidP="003D170A">
            <w:pPr>
              <w:keepNext/>
              <w:spacing w:before="40" w:after="80" w:line="240" w:lineRule="exact"/>
              <w:jc w:val="center"/>
              <w:rPr>
                <w:bCs/>
                <w:lang w:val="fr-FR"/>
              </w:rPr>
            </w:pPr>
          </w:p>
        </w:tc>
        <w:tc>
          <w:tcPr>
            <w:tcW w:w="812" w:type="dxa"/>
            <w:tcBorders>
              <w:bottom w:val="nil"/>
            </w:tcBorders>
            <w:vAlign w:val="center"/>
          </w:tcPr>
          <w:p w:rsidR="003D170A" w:rsidRPr="00D97E64" w:rsidRDefault="003D170A" w:rsidP="003D170A">
            <w:pPr>
              <w:keepNext/>
              <w:spacing w:before="40" w:after="80" w:line="240" w:lineRule="exact"/>
              <w:jc w:val="center"/>
              <w:rPr>
                <w:bCs/>
                <w:lang w:val="fr-FR"/>
              </w:rPr>
            </w:pPr>
          </w:p>
        </w:tc>
        <w:tc>
          <w:tcPr>
            <w:tcW w:w="1323" w:type="dxa"/>
            <w:tcBorders>
              <w:bottom w:val="nil"/>
            </w:tcBorders>
            <w:vAlign w:val="center"/>
          </w:tcPr>
          <w:p w:rsidR="003D170A" w:rsidRPr="00812A9E" w:rsidRDefault="003D170A" w:rsidP="00812A9E">
            <w:pPr>
              <w:keepNext/>
              <w:spacing w:before="40" w:after="80" w:line="240" w:lineRule="exact"/>
              <w:jc w:val="right"/>
              <w:rPr>
                <w:b/>
                <w:lang w:val="fr-FR"/>
              </w:rPr>
            </w:pPr>
            <w:r>
              <w:rPr>
                <w:b/>
                <w:lang w:val="fr-FR"/>
              </w:rPr>
              <w:t>4</w:t>
            </w:r>
          </w:p>
        </w:tc>
      </w:tr>
      <w:tr w:rsidR="0021340C" w:rsidRPr="00D97E64" w:rsidTr="0021340C">
        <w:tc>
          <w:tcPr>
            <w:tcW w:w="7410" w:type="dxa"/>
            <w:gridSpan w:val="3"/>
            <w:tcBorders>
              <w:top w:val="nil"/>
            </w:tcBorders>
            <w:vAlign w:val="center"/>
          </w:tcPr>
          <w:p w:rsidR="0021340C" w:rsidRPr="00D97E64" w:rsidRDefault="0021340C" w:rsidP="003D170A">
            <w:pPr>
              <w:keepNext/>
              <w:spacing w:before="40" w:after="80" w:line="240" w:lineRule="exact"/>
              <w:jc w:val="center"/>
              <w:rPr>
                <w:bCs/>
                <w:lang w:val="fr-FR"/>
              </w:rPr>
            </w:pPr>
          </w:p>
        </w:tc>
        <w:tc>
          <w:tcPr>
            <w:tcW w:w="812" w:type="dxa"/>
            <w:tcBorders>
              <w:top w:val="nil"/>
            </w:tcBorders>
            <w:vAlign w:val="center"/>
          </w:tcPr>
          <w:p w:rsidR="0021340C" w:rsidRDefault="0021340C" w:rsidP="003D170A">
            <w:pPr>
              <w:keepNext/>
              <w:spacing w:before="40" w:after="80" w:line="240" w:lineRule="exact"/>
              <w:jc w:val="center"/>
              <w:rPr>
                <w:bCs/>
                <w:lang w:val="fr-FR"/>
              </w:rPr>
            </w:pPr>
            <w:r>
              <w:rPr>
                <w:bCs/>
                <w:lang w:val="fr-FR"/>
              </w:rPr>
              <w:t>B</w:t>
            </w:r>
            <w:r w:rsidRPr="00D97E64">
              <w:rPr>
                <w:bCs/>
                <w:lang w:val="fr-FR"/>
              </w:rPr>
              <w:t>ateau</w:t>
            </w:r>
          </w:p>
        </w:tc>
        <w:tc>
          <w:tcPr>
            <w:tcW w:w="1323" w:type="dxa"/>
            <w:tcBorders>
              <w:top w:val="nil"/>
            </w:tcBorders>
            <w:vAlign w:val="center"/>
          </w:tcPr>
          <w:p w:rsidR="0021340C" w:rsidRDefault="0021340C" w:rsidP="0021340C">
            <w:pPr>
              <w:keepNext/>
              <w:spacing w:before="40" w:after="80" w:line="240" w:lineRule="exact"/>
              <w:jc w:val="center"/>
              <w:rPr>
                <w:b/>
                <w:lang w:val="fr-FR"/>
              </w:rPr>
            </w:pPr>
            <w:r>
              <w:rPr>
                <w:bCs/>
                <w:lang w:val="fr-FR"/>
              </w:rPr>
              <w:t>S</w:t>
            </w:r>
            <w:r w:rsidRPr="00D97E64">
              <w:rPr>
                <w:bCs/>
                <w:lang w:val="fr-FR"/>
              </w:rPr>
              <w:t xml:space="preserve">tation </w:t>
            </w:r>
            <w:r>
              <w:rPr>
                <w:bCs/>
                <w:lang w:val="fr-FR"/>
              </w:rPr>
              <w:br/>
            </w:r>
            <w:r w:rsidRPr="00D97E64">
              <w:rPr>
                <w:bCs/>
                <w:lang w:val="fr-FR"/>
              </w:rPr>
              <w:t>de réception</w:t>
            </w:r>
          </w:p>
        </w:tc>
      </w:tr>
      <w:tr w:rsidR="003022F8" w:rsidRPr="00D97E64" w:rsidTr="0021340C">
        <w:tc>
          <w:tcPr>
            <w:tcW w:w="567" w:type="dxa"/>
            <w:tcBorders>
              <w:bottom w:val="nil"/>
              <w:right w:val="single" w:sz="4" w:space="0" w:color="auto"/>
            </w:tcBorders>
          </w:tcPr>
          <w:p w:rsidR="003022F8" w:rsidRPr="00D97E64" w:rsidRDefault="003022F8" w:rsidP="008D70B0">
            <w:pPr>
              <w:spacing w:before="40" w:after="80" w:line="240" w:lineRule="exact"/>
              <w:rPr>
                <w:bCs/>
                <w:lang w:val="fr-FR"/>
              </w:rPr>
            </w:pPr>
            <w:r w:rsidRPr="00D97E64">
              <w:rPr>
                <w:bCs/>
                <w:lang w:val="fr-FR"/>
              </w:rPr>
              <w:t>8.</w:t>
            </w:r>
          </w:p>
        </w:tc>
        <w:tc>
          <w:tcPr>
            <w:tcW w:w="6843" w:type="dxa"/>
            <w:gridSpan w:val="2"/>
            <w:tcBorders>
              <w:left w:val="single" w:sz="4" w:space="0" w:color="auto"/>
              <w:bottom w:val="nil"/>
            </w:tcBorders>
          </w:tcPr>
          <w:p w:rsidR="003022F8" w:rsidRPr="00D97E64" w:rsidRDefault="003022F8" w:rsidP="0091165B">
            <w:pPr>
              <w:spacing w:before="40" w:after="80" w:line="240" w:lineRule="exact"/>
              <w:ind w:left="57"/>
              <w:rPr>
                <w:bCs/>
                <w:lang w:val="fr-FR"/>
              </w:rPr>
            </w:pPr>
            <w:r w:rsidRPr="00D97E64">
              <w:rPr>
                <w:bCs/>
                <w:lang w:val="fr-FR"/>
              </w:rPr>
              <w:t>Contrôle des prescriptions de service les plus importantes :</w:t>
            </w:r>
          </w:p>
        </w:tc>
        <w:tc>
          <w:tcPr>
            <w:tcW w:w="812" w:type="dxa"/>
            <w:tcBorders>
              <w:bottom w:val="nil"/>
            </w:tcBorders>
          </w:tcPr>
          <w:p w:rsidR="003022F8" w:rsidRPr="00D97E64" w:rsidRDefault="003022F8" w:rsidP="008D70B0">
            <w:pPr>
              <w:spacing w:before="40" w:after="80" w:line="240" w:lineRule="exact"/>
              <w:jc w:val="center"/>
              <w:rPr>
                <w:bCs/>
                <w:lang w:val="fr-FR"/>
              </w:rPr>
            </w:pPr>
          </w:p>
        </w:tc>
        <w:tc>
          <w:tcPr>
            <w:tcW w:w="1323" w:type="dxa"/>
            <w:tcBorders>
              <w:bottom w:val="nil"/>
            </w:tcBorders>
          </w:tcPr>
          <w:p w:rsidR="003022F8" w:rsidRPr="00D97E64" w:rsidRDefault="003022F8" w:rsidP="008D70B0">
            <w:pPr>
              <w:spacing w:before="40" w:after="80" w:line="240" w:lineRule="exact"/>
              <w:jc w:val="center"/>
              <w:rPr>
                <w:bCs/>
                <w:lang w:val="fr-FR"/>
              </w:rPr>
            </w:pPr>
          </w:p>
        </w:tc>
      </w:tr>
      <w:tr w:rsidR="003022F8" w:rsidRPr="00D97E64" w:rsidTr="0021340C">
        <w:tc>
          <w:tcPr>
            <w:tcW w:w="567" w:type="dxa"/>
            <w:tcBorders>
              <w:top w:val="nil"/>
              <w:left w:val="single" w:sz="4" w:space="0" w:color="auto"/>
              <w:bottom w:val="nil"/>
              <w:right w:val="single" w:sz="4" w:space="0" w:color="auto"/>
            </w:tcBorders>
          </w:tcPr>
          <w:p w:rsidR="003022F8" w:rsidRPr="00D97E64" w:rsidRDefault="003022F8" w:rsidP="00C4223F">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3022F8" w:rsidRPr="00D97E64" w:rsidRDefault="00053DBA" w:rsidP="00C4223F">
            <w:pPr>
              <w:spacing w:after="40" w:line="240" w:lineRule="exact"/>
              <w:ind w:left="341" w:hanging="284"/>
              <w:rPr>
                <w:bCs/>
                <w:lang w:val="fr-FR"/>
              </w:rPr>
            </w:pPr>
            <w:r>
              <w:rPr>
                <w:bCs/>
                <w:lang w:val="fr-FR"/>
              </w:rPr>
              <w:t>•</w:t>
            </w:r>
            <w:r>
              <w:rPr>
                <w:bCs/>
                <w:lang w:val="fr-FR"/>
              </w:rPr>
              <w:tab/>
              <w:t>L</w:t>
            </w:r>
            <w:r w:rsidR="003022F8" w:rsidRPr="00D97E64">
              <w:rPr>
                <w:bCs/>
                <w:lang w:val="fr-FR"/>
              </w:rPr>
              <w:t>es installations et appareils d</w:t>
            </w:r>
            <w:r w:rsidR="003022F8">
              <w:rPr>
                <w:bCs/>
                <w:lang w:val="fr-FR"/>
              </w:rPr>
              <w:t>’</w:t>
            </w:r>
            <w:r w:rsidR="003022F8" w:rsidRPr="00D97E64">
              <w:rPr>
                <w:bCs/>
                <w:lang w:val="fr-FR"/>
              </w:rPr>
              <w:t>extinction d</w:t>
            </w:r>
            <w:r w:rsidR="003022F8">
              <w:rPr>
                <w:bCs/>
                <w:lang w:val="fr-FR"/>
              </w:rPr>
              <w:t>’</w:t>
            </w:r>
            <w:r w:rsidR="003022F8" w:rsidRPr="00D97E64">
              <w:rPr>
                <w:bCs/>
                <w:lang w:val="fr-FR"/>
              </w:rPr>
              <w:t>incendie sont-ils prêts au fonctionnement ?</w:t>
            </w:r>
          </w:p>
        </w:tc>
        <w:tc>
          <w:tcPr>
            <w:tcW w:w="812" w:type="dxa"/>
            <w:tcBorders>
              <w:top w:val="nil"/>
              <w:left w:val="single" w:sz="4" w:space="0" w:color="auto"/>
              <w:bottom w:val="nil"/>
              <w:right w:val="single" w:sz="4" w:space="0" w:color="auto"/>
            </w:tcBorders>
          </w:tcPr>
          <w:p w:rsidR="003022F8" w:rsidRPr="00D97E64" w:rsidRDefault="003022F8" w:rsidP="00C4223F">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3022F8" w:rsidRPr="00D97E64" w:rsidRDefault="003022F8" w:rsidP="00C4223F">
            <w:pPr>
              <w:spacing w:after="40" w:line="240" w:lineRule="exact"/>
              <w:jc w:val="center"/>
              <w:rPr>
                <w:lang w:val="fr-FR"/>
              </w:rPr>
            </w:pPr>
            <w:r w:rsidRPr="00D97E64">
              <w:rPr>
                <w:lang w:val="fr-FR"/>
              </w:rPr>
              <w:t>O</w:t>
            </w:r>
          </w:p>
        </w:tc>
      </w:tr>
      <w:tr w:rsidR="003022F8" w:rsidRPr="00D97E64" w:rsidTr="0021340C">
        <w:tc>
          <w:tcPr>
            <w:tcW w:w="567" w:type="dxa"/>
            <w:tcBorders>
              <w:top w:val="nil"/>
              <w:left w:val="single" w:sz="4" w:space="0" w:color="auto"/>
              <w:bottom w:val="nil"/>
              <w:right w:val="single" w:sz="4" w:space="0" w:color="auto"/>
            </w:tcBorders>
          </w:tcPr>
          <w:p w:rsidR="003022F8" w:rsidRPr="00D97E64" w:rsidRDefault="003022F8" w:rsidP="00C4223F">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3022F8" w:rsidRPr="00D97E64" w:rsidRDefault="00053DBA" w:rsidP="00C4223F">
            <w:pPr>
              <w:spacing w:after="40" w:line="240" w:lineRule="exact"/>
              <w:ind w:left="341" w:hanging="284"/>
              <w:rPr>
                <w:bCs/>
                <w:lang w:val="fr-FR"/>
              </w:rPr>
            </w:pPr>
            <w:r>
              <w:rPr>
                <w:bCs/>
                <w:lang w:val="fr-FR"/>
              </w:rPr>
              <w:t>•</w:t>
            </w:r>
            <w:r>
              <w:rPr>
                <w:bCs/>
                <w:lang w:val="fr-FR"/>
              </w:rPr>
              <w:tab/>
              <w:t>L</w:t>
            </w:r>
            <w:r w:rsidR="003022F8" w:rsidRPr="00D97E64">
              <w:rPr>
                <w:bCs/>
                <w:lang w:val="fr-FR"/>
              </w:rPr>
              <w:t xml:space="preserve">es vannes et les soupapes sont-elles </w:t>
            </w:r>
            <w:r w:rsidR="003022F8">
              <w:rPr>
                <w:bCs/>
                <w:lang w:val="fr-FR"/>
              </w:rPr>
              <w:t xml:space="preserve">toutes </w:t>
            </w:r>
            <w:r w:rsidR="003022F8" w:rsidRPr="00D97E64">
              <w:rPr>
                <w:bCs/>
                <w:lang w:val="fr-FR"/>
              </w:rPr>
              <w:t>en position correcte ?</w:t>
            </w:r>
          </w:p>
        </w:tc>
        <w:tc>
          <w:tcPr>
            <w:tcW w:w="812" w:type="dxa"/>
            <w:tcBorders>
              <w:top w:val="nil"/>
              <w:left w:val="single" w:sz="4" w:space="0" w:color="auto"/>
              <w:bottom w:val="nil"/>
              <w:right w:val="single" w:sz="4" w:space="0" w:color="auto"/>
            </w:tcBorders>
          </w:tcPr>
          <w:p w:rsidR="003022F8" w:rsidRPr="00D97E64" w:rsidRDefault="003022F8" w:rsidP="00C4223F">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3022F8" w:rsidRPr="00D97E64" w:rsidRDefault="003022F8" w:rsidP="00C4223F">
            <w:pPr>
              <w:spacing w:after="40" w:line="240" w:lineRule="exact"/>
              <w:jc w:val="center"/>
              <w:rPr>
                <w:lang w:val="fr-FR"/>
              </w:rPr>
            </w:pPr>
            <w:r w:rsidRPr="00D97E64">
              <w:rPr>
                <w:lang w:val="fr-FR"/>
              </w:rPr>
              <w:t>O</w:t>
            </w:r>
          </w:p>
        </w:tc>
      </w:tr>
      <w:tr w:rsidR="003022F8" w:rsidRPr="00D97E64" w:rsidTr="0021340C">
        <w:tc>
          <w:tcPr>
            <w:tcW w:w="567" w:type="dxa"/>
            <w:tcBorders>
              <w:top w:val="nil"/>
              <w:left w:val="single" w:sz="4" w:space="0" w:color="auto"/>
              <w:bottom w:val="nil"/>
              <w:right w:val="single" w:sz="4" w:space="0" w:color="auto"/>
            </w:tcBorders>
          </w:tcPr>
          <w:p w:rsidR="003022F8" w:rsidRPr="00D97E64" w:rsidRDefault="003022F8" w:rsidP="00C4223F">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3022F8" w:rsidRPr="00D97E64" w:rsidRDefault="00053DBA" w:rsidP="00C4223F">
            <w:pPr>
              <w:spacing w:after="40" w:line="240" w:lineRule="exact"/>
              <w:ind w:left="341" w:hanging="284"/>
              <w:rPr>
                <w:bCs/>
                <w:lang w:val="fr-FR"/>
              </w:rPr>
            </w:pPr>
            <w:r>
              <w:rPr>
                <w:bCs/>
                <w:lang w:val="fr-FR"/>
              </w:rPr>
              <w:t>•</w:t>
            </w:r>
            <w:r>
              <w:rPr>
                <w:bCs/>
                <w:lang w:val="fr-FR"/>
              </w:rPr>
              <w:tab/>
              <w:t>L</w:t>
            </w:r>
            <w:r w:rsidR="003022F8">
              <w:rPr>
                <w:bCs/>
                <w:lang w:val="fr-FR"/>
              </w:rPr>
              <w:t>’</w:t>
            </w:r>
            <w:r w:rsidR="003022F8" w:rsidRPr="00D97E64">
              <w:rPr>
                <w:bCs/>
                <w:lang w:val="fr-FR"/>
              </w:rPr>
              <w:t xml:space="preserve">interdiction </w:t>
            </w:r>
            <w:r w:rsidR="003022F8">
              <w:rPr>
                <w:bCs/>
                <w:lang w:val="fr-FR"/>
              </w:rPr>
              <w:t xml:space="preserve">générale </w:t>
            </w:r>
            <w:r w:rsidR="003022F8" w:rsidRPr="00D97E64">
              <w:rPr>
                <w:bCs/>
                <w:lang w:val="fr-FR"/>
              </w:rPr>
              <w:t>de fumer a-t-elle été ordonnée?</w:t>
            </w:r>
          </w:p>
        </w:tc>
        <w:tc>
          <w:tcPr>
            <w:tcW w:w="812" w:type="dxa"/>
            <w:tcBorders>
              <w:top w:val="nil"/>
              <w:left w:val="single" w:sz="4" w:space="0" w:color="auto"/>
              <w:bottom w:val="nil"/>
              <w:right w:val="single" w:sz="4" w:space="0" w:color="auto"/>
            </w:tcBorders>
          </w:tcPr>
          <w:p w:rsidR="003022F8" w:rsidRPr="00D97E64" w:rsidRDefault="003022F8" w:rsidP="00C4223F">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3022F8" w:rsidRPr="00D97E64" w:rsidRDefault="003022F8" w:rsidP="00C4223F">
            <w:pPr>
              <w:spacing w:after="40" w:line="240" w:lineRule="exact"/>
              <w:jc w:val="center"/>
              <w:rPr>
                <w:lang w:val="fr-FR"/>
              </w:rPr>
            </w:pPr>
            <w:r w:rsidRPr="00D97E64">
              <w:rPr>
                <w:lang w:val="fr-FR"/>
              </w:rPr>
              <w:t>O</w:t>
            </w:r>
          </w:p>
        </w:tc>
      </w:tr>
      <w:tr w:rsidR="003022F8" w:rsidRPr="00D97E64" w:rsidTr="0021340C">
        <w:tc>
          <w:tcPr>
            <w:tcW w:w="567" w:type="dxa"/>
            <w:tcBorders>
              <w:top w:val="nil"/>
              <w:left w:val="single" w:sz="4" w:space="0" w:color="auto"/>
              <w:bottom w:val="nil"/>
              <w:right w:val="single" w:sz="4" w:space="0" w:color="auto"/>
            </w:tcBorders>
          </w:tcPr>
          <w:p w:rsidR="003022F8" w:rsidRPr="00D97E64" w:rsidRDefault="003022F8" w:rsidP="00C4223F">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3022F8" w:rsidRPr="00D97E64" w:rsidRDefault="00053DBA" w:rsidP="00C4223F">
            <w:pPr>
              <w:spacing w:after="40" w:line="240" w:lineRule="exact"/>
              <w:ind w:left="341" w:hanging="284"/>
              <w:rPr>
                <w:bCs/>
                <w:lang w:val="fr-FR"/>
              </w:rPr>
            </w:pPr>
            <w:r>
              <w:rPr>
                <w:bCs/>
                <w:lang w:val="fr-FR"/>
              </w:rPr>
              <w:t>•</w:t>
            </w:r>
            <w:r>
              <w:rPr>
                <w:bCs/>
                <w:lang w:val="fr-FR"/>
              </w:rPr>
              <w:tab/>
              <w:t>L</w:t>
            </w:r>
            <w:r w:rsidR="003022F8" w:rsidRPr="00D97E64">
              <w:rPr>
                <w:bCs/>
                <w:lang w:val="fr-FR"/>
              </w:rPr>
              <w:t xml:space="preserve">es appareils de chauffage à flamme </w:t>
            </w:r>
            <w:r w:rsidR="003022F8">
              <w:rPr>
                <w:bCs/>
                <w:lang w:val="fr-FR"/>
              </w:rPr>
              <w:t>installés</w:t>
            </w:r>
            <w:r w:rsidR="003022F8" w:rsidRPr="00D97E64">
              <w:rPr>
                <w:bCs/>
                <w:lang w:val="fr-FR"/>
              </w:rPr>
              <w:t xml:space="preserve"> à bord sont-ils éteints ?</w:t>
            </w:r>
          </w:p>
        </w:tc>
        <w:tc>
          <w:tcPr>
            <w:tcW w:w="812" w:type="dxa"/>
            <w:tcBorders>
              <w:top w:val="nil"/>
              <w:left w:val="single" w:sz="4" w:space="0" w:color="auto"/>
              <w:bottom w:val="nil"/>
              <w:right w:val="single" w:sz="4" w:space="0" w:color="auto"/>
            </w:tcBorders>
          </w:tcPr>
          <w:p w:rsidR="003022F8" w:rsidRPr="00D97E64" w:rsidRDefault="003022F8" w:rsidP="00C4223F">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3022F8" w:rsidRPr="00D97E64" w:rsidRDefault="003022F8" w:rsidP="00C4223F">
            <w:pPr>
              <w:spacing w:after="40" w:line="240" w:lineRule="exact"/>
              <w:jc w:val="center"/>
              <w:rPr>
                <w:lang w:val="fr-FR"/>
              </w:rPr>
            </w:pPr>
            <w:r w:rsidRPr="00D97E64">
              <w:rPr>
                <w:bCs/>
                <w:lang w:val="fr-FR"/>
              </w:rPr>
              <w:t>–</w:t>
            </w:r>
          </w:p>
        </w:tc>
      </w:tr>
      <w:tr w:rsidR="003022F8" w:rsidRPr="00D97E64" w:rsidTr="0021340C">
        <w:tc>
          <w:tcPr>
            <w:tcW w:w="567" w:type="dxa"/>
            <w:tcBorders>
              <w:top w:val="nil"/>
              <w:left w:val="single" w:sz="4" w:space="0" w:color="auto"/>
              <w:bottom w:val="nil"/>
              <w:right w:val="single" w:sz="4" w:space="0" w:color="auto"/>
            </w:tcBorders>
          </w:tcPr>
          <w:p w:rsidR="003022F8" w:rsidRPr="00D97E64" w:rsidRDefault="003022F8" w:rsidP="00C4223F">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3022F8" w:rsidRPr="00D97E64" w:rsidRDefault="00053DBA" w:rsidP="00C4223F">
            <w:pPr>
              <w:spacing w:after="40" w:line="240" w:lineRule="exact"/>
              <w:ind w:left="341" w:hanging="284"/>
              <w:rPr>
                <w:bCs/>
                <w:lang w:val="fr-FR"/>
              </w:rPr>
            </w:pPr>
            <w:r>
              <w:rPr>
                <w:bCs/>
                <w:lang w:val="fr-FR"/>
              </w:rPr>
              <w:t>•</w:t>
            </w:r>
            <w:r>
              <w:rPr>
                <w:bCs/>
                <w:lang w:val="fr-FR"/>
              </w:rPr>
              <w:tab/>
              <w:t>L</w:t>
            </w:r>
            <w:r w:rsidR="003022F8" w:rsidRPr="00D97E64">
              <w:rPr>
                <w:bCs/>
                <w:lang w:val="fr-FR"/>
              </w:rPr>
              <w:t>es installations de radar sont-elles hors tension ?</w:t>
            </w:r>
          </w:p>
        </w:tc>
        <w:tc>
          <w:tcPr>
            <w:tcW w:w="812" w:type="dxa"/>
            <w:tcBorders>
              <w:top w:val="nil"/>
              <w:left w:val="single" w:sz="4" w:space="0" w:color="auto"/>
              <w:bottom w:val="nil"/>
              <w:right w:val="single" w:sz="4" w:space="0" w:color="auto"/>
            </w:tcBorders>
          </w:tcPr>
          <w:p w:rsidR="003022F8" w:rsidRPr="00D97E64" w:rsidRDefault="003022F8" w:rsidP="00C4223F">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3022F8" w:rsidRPr="00D97E64" w:rsidRDefault="003022F8" w:rsidP="00C4223F">
            <w:pPr>
              <w:spacing w:after="40" w:line="240" w:lineRule="exact"/>
              <w:jc w:val="center"/>
              <w:rPr>
                <w:lang w:val="fr-FR"/>
              </w:rPr>
            </w:pPr>
            <w:r w:rsidRPr="00D97E64">
              <w:rPr>
                <w:bCs/>
                <w:lang w:val="fr-FR"/>
              </w:rPr>
              <w:t>–</w:t>
            </w:r>
          </w:p>
        </w:tc>
      </w:tr>
      <w:tr w:rsidR="003022F8" w:rsidRPr="00D97E64" w:rsidTr="0021340C">
        <w:tc>
          <w:tcPr>
            <w:tcW w:w="567" w:type="dxa"/>
            <w:tcBorders>
              <w:top w:val="nil"/>
              <w:left w:val="single" w:sz="4" w:space="0" w:color="auto"/>
              <w:bottom w:val="nil"/>
              <w:right w:val="single" w:sz="4" w:space="0" w:color="auto"/>
            </w:tcBorders>
          </w:tcPr>
          <w:p w:rsidR="003022F8" w:rsidRPr="00D97E64" w:rsidRDefault="003022F8" w:rsidP="00C4223F">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3022F8" w:rsidRPr="00D97E64" w:rsidRDefault="00053DBA" w:rsidP="00C4223F">
            <w:pPr>
              <w:spacing w:after="40" w:line="240" w:lineRule="exact"/>
              <w:ind w:left="341" w:hanging="284"/>
              <w:rPr>
                <w:bCs/>
                <w:lang w:val="fr-FR"/>
              </w:rPr>
            </w:pPr>
            <w:r>
              <w:rPr>
                <w:bCs/>
                <w:lang w:val="fr-FR"/>
              </w:rPr>
              <w:t>•</w:t>
            </w:r>
            <w:r>
              <w:rPr>
                <w:bCs/>
                <w:lang w:val="fr-FR"/>
              </w:rPr>
              <w:tab/>
              <w:t>L</w:t>
            </w:r>
            <w:r w:rsidR="003022F8" w:rsidRPr="00D97E64">
              <w:rPr>
                <w:bCs/>
                <w:lang w:val="fr-FR"/>
              </w:rPr>
              <w:t>es installations électriques pourvues d</w:t>
            </w:r>
            <w:r w:rsidR="003022F8">
              <w:rPr>
                <w:bCs/>
                <w:lang w:val="fr-FR"/>
              </w:rPr>
              <w:t>’</w:t>
            </w:r>
            <w:r w:rsidR="003022F8" w:rsidRPr="00D97E64">
              <w:rPr>
                <w:bCs/>
                <w:lang w:val="fr-FR"/>
              </w:rPr>
              <w:t xml:space="preserve">une marque rouge sont-elles </w:t>
            </w:r>
            <w:r w:rsidR="003022F8">
              <w:rPr>
                <w:bCs/>
                <w:lang w:val="fr-FR"/>
              </w:rPr>
              <w:t xml:space="preserve">toutes </w:t>
            </w:r>
            <w:r w:rsidR="003022F8" w:rsidRPr="00D97E64">
              <w:rPr>
                <w:bCs/>
                <w:lang w:val="fr-FR"/>
              </w:rPr>
              <w:t>coupées ?</w:t>
            </w:r>
          </w:p>
        </w:tc>
        <w:tc>
          <w:tcPr>
            <w:tcW w:w="812" w:type="dxa"/>
            <w:tcBorders>
              <w:top w:val="nil"/>
              <w:left w:val="single" w:sz="4" w:space="0" w:color="auto"/>
              <w:bottom w:val="nil"/>
              <w:right w:val="single" w:sz="4" w:space="0" w:color="auto"/>
            </w:tcBorders>
          </w:tcPr>
          <w:p w:rsidR="003022F8" w:rsidRPr="00D97E64" w:rsidRDefault="003022F8" w:rsidP="00C4223F">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3022F8" w:rsidRPr="00D97E64" w:rsidRDefault="003022F8" w:rsidP="00C4223F">
            <w:pPr>
              <w:spacing w:after="40" w:line="240" w:lineRule="exact"/>
              <w:jc w:val="center"/>
              <w:rPr>
                <w:lang w:val="fr-FR"/>
              </w:rPr>
            </w:pPr>
            <w:r w:rsidRPr="00D97E64">
              <w:rPr>
                <w:bCs/>
                <w:lang w:val="fr-FR"/>
              </w:rPr>
              <w:t>–</w:t>
            </w:r>
          </w:p>
        </w:tc>
      </w:tr>
      <w:tr w:rsidR="003022F8" w:rsidRPr="00D97E64" w:rsidTr="0021340C">
        <w:tc>
          <w:tcPr>
            <w:tcW w:w="567" w:type="dxa"/>
            <w:tcBorders>
              <w:top w:val="nil"/>
              <w:left w:val="single" w:sz="4" w:space="0" w:color="auto"/>
              <w:bottom w:val="nil"/>
              <w:right w:val="single" w:sz="4" w:space="0" w:color="auto"/>
            </w:tcBorders>
          </w:tcPr>
          <w:p w:rsidR="003022F8" w:rsidRPr="00D97E64" w:rsidRDefault="003022F8" w:rsidP="00C4223F">
            <w:pPr>
              <w:spacing w:after="80" w:line="240" w:lineRule="exact"/>
              <w:rPr>
                <w:bCs/>
                <w:lang w:val="fr-FR"/>
              </w:rPr>
            </w:pPr>
          </w:p>
        </w:tc>
        <w:tc>
          <w:tcPr>
            <w:tcW w:w="6843" w:type="dxa"/>
            <w:gridSpan w:val="2"/>
            <w:tcBorders>
              <w:top w:val="nil"/>
              <w:left w:val="single" w:sz="4" w:space="0" w:color="auto"/>
              <w:bottom w:val="nil"/>
              <w:right w:val="single" w:sz="4" w:space="0" w:color="auto"/>
            </w:tcBorders>
          </w:tcPr>
          <w:p w:rsidR="003022F8" w:rsidRPr="00D97E64" w:rsidRDefault="00053DBA" w:rsidP="00C4223F">
            <w:pPr>
              <w:spacing w:after="80" w:line="240" w:lineRule="exact"/>
              <w:ind w:left="341" w:hanging="284"/>
              <w:rPr>
                <w:bCs/>
                <w:lang w:val="fr-FR"/>
              </w:rPr>
            </w:pPr>
            <w:r>
              <w:rPr>
                <w:bCs/>
                <w:lang w:val="fr-FR"/>
              </w:rPr>
              <w:t>•</w:t>
            </w:r>
            <w:r>
              <w:rPr>
                <w:bCs/>
                <w:lang w:val="fr-FR"/>
              </w:rPr>
              <w:tab/>
              <w:t>L</w:t>
            </w:r>
            <w:r w:rsidR="003022F8" w:rsidRPr="00D97E64">
              <w:rPr>
                <w:bCs/>
                <w:lang w:val="fr-FR"/>
              </w:rPr>
              <w:t xml:space="preserve">es portes et les fenêtres sont-elles </w:t>
            </w:r>
            <w:r w:rsidR="003022F8">
              <w:rPr>
                <w:bCs/>
                <w:lang w:val="fr-FR"/>
              </w:rPr>
              <w:t xml:space="preserve">toutes </w:t>
            </w:r>
            <w:r w:rsidR="003022F8" w:rsidRPr="00D97E64">
              <w:rPr>
                <w:bCs/>
                <w:lang w:val="fr-FR"/>
              </w:rPr>
              <w:t>fermées ?</w:t>
            </w:r>
          </w:p>
        </w:tc>
        <w:tc>
          <w:tcPr>
            <w:tcW w:w="812" w:type="dxa"/>
            <w:tcBorders>
              <w:top w:val="nil"/>
              <w:left w:val="single" w:sz="4" w:space="0" w:color="auto"/>
              <w:bottom w:val="nil"/>
              <w:right w:val="single" w:sz="4" w:space="0" w:color="auto"/>
            </w:tcBorders>
          </w:tcPr>
          <w:p w:rsidR="003022F8" w:rsidRPr="00D97E64" w:rsidRDefault="003022F8" w:rsidP="00C4223F">
            <w:pPr>
              <w:spacing w:after="8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3022F8" w:rsidRPr="00D97E64" w:rsidRDefault="003022F8" w:rsidP="00C4223F">
            <w:pPr>
              <w:spacing w:after="80" w:line="240" w:lineRule="exact"/>
              <w:jc w:val="center"/>
              <w:rPr>
                <w:lang w:val="fr-FR"/>
              </w:rPr>
            </w:pPr>
            <w:r w:rsidRPr="00D97E64">
              <w:rPr>
                <w:bCs/>
                <w:lang w:val="fr-FR"/>
              </w:rPr>
              <w:t>–</w:t>
            </w:r>
          </w:p>
        </w:tc>
      </w:tr>
      <w:tr w:rsidR="003022F8" w:rsidRPr="00D97E64" w:rsidTr="0021340C">
        <w:tc>
          <w:tcPr>
            <w:tcW w:w="567" w:type="dxa"/>
            <w:tcBorders>
              <w:bottom w:val="nil"/>
            </w:tcBorders>
          </w:tcPr>
          <w:p w:rsidR="003022F8" w:rsidRPr="00D97E64" w:rsidRDefault="003022F8" w:rsidP="008D70B0">
            <w:pPr>
              <w:spacing w:before="40" w:after="80" w:line="240" w:lineRule="exact"/>
              <w:rPr>
                <w:bCs/>
                <w:lang w:val="fr-FR"/>
              </w:rPr>
            </w:pPr>
            <w:r w:rsidRPr="00D97E64">
              <w:rPr>
                <w:bCs/>
                <w:lang w:val="fr-FR"/>
              </w:rPr>
              <w:t>9.1</w:t>
            </w:r>
          </w:p>
        </w:tc>
        <w:tc>
          <w:tcPr>
            <w:tcW w:w="6843" w:type="dxa"/>
            <w:gridSpan w:val="2"/>
            <w:tcBorders>
              <w:bottom w:val="nil"/>
            </w:tcBorders>
          </w:tcPr>
          <w:p w:rsidR="003022F8" w:rsidRPr="00D97E64" w:rsidRDefault="003022F8" w:rsidP="008D70B0">
            <w:pPr>
              <w:spacing w:before="40" w:after="80" w:line="240" w:lineRule="exact"/>
              <w:rPr>
                <w:lang w:val="fr-FR"/>
              </w:rPr>
            </w:pPr>
            <w:r w:rsidRPr="00D97E64">
              <w:rPr>
                <w:lang w:val="fr-FR"/>
              </w:rPr>
              <w:t xml:space="preserve">La pression de </w:t>
            </w:r>
            <w:r>
              <w:rPr>
                <w:lang w:val="fr-FR"/>
              </w:rPr>
              <w:t>déclenchement</w:t>
            </w:r>
            <w:r w:rsidRPr="00D97E64">
              <w:rPr>
                <w:lang w:val="fr-FR"/>
              </w:rPr>
              <w:t xml:space="preserve"> des tuyauteries du bateau est-elle réglée sur la pression de service admissible de la station de réception (pression convenue</w:t>
            </w:r>
            <w:r>
              <w:rPr>
                <w:lang w:val="fr-FR"/>
              </w:rPr>
              <w:t> :</w:t>
            </w:r>
            <w:r w:rsidR="00662FDB">
              <w:rPr>
                <w:lang w:val="fr-FR"/>
              </w:rPr>
              <w:t xml:space="preserve"> _ </w:t>
            </w:r>
            <w:r w:rsidRPr="00D97E64">
              <w:rPr>
                <w:lang w:val="fr-FR"/>
              </w:rPr>
              <w:t xml:space="preserve">kPa) ? </w:t>
            </w:r>
          </w:p>
        </w:tc>
        <w:tc>
          <w:tcPr>
            <w:tcW w:w="812" w:type="dxa"/>
            <w:tcBorders>
              <w:bottom w:val="nil"/>
            </w:tcBorders>
          </w:tcPr>
          <w:p w:rsidR="003022F8" w:rsidRPr="00D97E64" w:rsidRDefault="003022F8" w:rsidP="008D70B0">
            <w:pPr>
              <w:spacing w:before="40" w:after="80" w:line="240" w:lineRule="exact"/>
              <w:jc w:val="center"/>
              <w:rPr>
                <w:bCs/>
                <w:lang w:val="fr-FR"/>
              </w:rPr>
            </w:pPr>
            <w:r w:rsidRPr="00D97E64">
              <w:rPr>
                <w:bCs/>
                <w:lang w:val="fr-FR"/>
              </w:rPr>
              <w:t>O</w:t>
            </w:r>
          </w:p>
        </w:tc>
        <w:tc>
          <w:tcPr>
            <w:tcW w:w="1323" w:type="dxa"/>
            <w:tcBorders>
              <w:bottom w:val="nil"/>
            </w:tcBorders>
          </w:tcPr>
          <w:p w:rsidR="003022F8" w:rsidRPr="00D97E64" w:rsidRDefault="003022F8" w:rsidP="008D70B0">
            <w:pPr>
              <w:spacing w:before="40" w:after="80" w:line="240" w:lineRule="exact"/>
              <w:jc w:val="center"/>
              <w:rPr>
                <w:bCs/>
                <w:lang w:val="fr-FR"/>
              </w:rPr>
            </w:pPr>
            <w:r w:rsidRPr="00D97E64">
              <w:rPr>
                <w:bCs/>
                <w:lang w:val="fr-FR"/>
              </w:rPr>
              <w:t>–</w:t>
            </w:r>
          </w:p>
        </w:tc>
      </w:tr>
      <w:tr w:rsidR="003022F8" w:rsidRPr="00D97E64" w:rsidTr="0021340C">
        <w:tc>
          <w:tcPr>
            <w:tcW w:w="567" w:type="dxa"/>
            <w:tcBorders>
              <w:top w:val="nil"/>
            </w:tcBorders>
          </w:tcPr>
          <w:p w:rsidR="003022F8" w:rsidRPr="00D97E64" w:rsidRDefault="003022F8" w:rsidP="008D70B0">
            <w:pPr>
              <w:spacing w:before="40" w:after="80" w:line="240" w:lineRule="exact"/>
              <w:rPr>
                <w:bCs/>
                <w:lang w:val="fr-FR"/>
              </w:rPr>
            </w:pPr>
            <w:r w:rsidRPr="00D97E64">
              <w:rPr>
                <w:bCs/>
                <w:lang w:val="fr-FR"/>
              </w:rPr>
              <w:t>9.2</w:t>
            </w:r>
          </w:p>
        </w:tc>
        <w:tc>
          <w:tcPr>
            <w:tcW w:w="6843" w:type="dxa"/>
            <w:gridSpan w:val="2"/>
            <w:tcBorders>
              <w:top w:val="nil"/>
            </w:tcBorders>
          </w:tcPr>
          <w:p w:rsidR="003022F8" w:rsidRPr="00D97E64" w:rsidRDefault="003022F8" w:rsidP="008D70B0">
            <w:pPr>
              <w:spacing w:before="40" w:after="80" w:line="240" w:lineRule="exact"/>
              <w:rPr>
                <w:lang w:val="fr-FR"/>
              </w:rPr>
            </w:pPr>
            <w:r w:rsidRPr="00D97E64">
              <w:rPr>
                <w:lang w:val="fr-FR"/>
              </w:rPr>
              <w:t xml:space="preserve">La pression de </w:t>
            </w:r>
            <w:r>
              <w:rPr>
                <w:lang w:val="fr-FR"/>
              </w:rPr>
              <w:t xml:space="preserve"> déclenchement</w:t>
            </w:r>
            <w:r w:rsidRPr="00D97E64">
              <w:rPr>
                <w:lang w:val="fr-FR"/>
              </w:rPr>
              <w:t xml:space="preserve"> des tuyauteries de la station de réception est-elle réglée sur la pression de service admissible de l</w:t>
            </w:r>
            <w:r>
              <w:rPr>
                <w:lang w:val="fr-FR"/>
              </w:rPr>
              <w:t>’</w:t>
            </w:r>
            <w:r w:rsidRPr="00D97E64">
              <w:rPr>
                <w:lang w:val="fr-FR"/>
              </w:rPr>
              <w:t>installation à bord (pression convenue</w:t>
            </w:r>
            <w:r>
              <w:rPr>
                <w:lang w:val="fr-FR"/>
              </w:rPr>
              <w:t> :</w:t>
            </w:r>
            <w:r w:rsidRPr="00D97E64">
              <w:rPr>
                <w:lang w:val="fr-FR"/>
              </w:rPr>
              <w:t xml:space="preserve"> _ kPa) ?</w:t>
            </w:r>
          </w:p>
        </w:tc>
        <w:tc>
          <w:tcPr>
            <w:tcW w:w="812" w:type="dxa"/>
            <w:tcBorders>
              <w:top w:val="nil"/>
            </w:tcBorders>
          </w:tcPr>
          <w:p w:rsidR="003022F8" w:rsidRPr="00D97E64" w:rsidRDefault="003022F8" w:rsidP="008D70B0">
            <w:pPr>
              <w:spacing w:before="40" w:after="80" w:line="240" w:lineRule="exact"/>
              <w:jc w:val="center"/>
              <w:rPr>
                <w:bCs/>
                <w:lang w:val="fr-FR"/>
              </w:rPr>
            </w:pPr>
            <w:r w:rsidRPr="00D97E64">
              <w:rPr>
                <w:bCs/>
                <w:lang w:val="fr-FR"/>
              </w:rPr>
              <w:t>–</w:t>
            </w:r>
          </w:p>
        </w:tc>
        <w:tc>
          <w:tcPr>
            <w:tcW w:w="1323" w:type="dxa"/>
            <w:tcBorders>
              <w:top w:val="nil"/>
            </w:tcBorders>
          </w:tcPr>
          <w:p w:rsidR="003022F8" w:rsidRPr="00D97E64" w:rsidRDefault="003022F8" w:rsidP="008D70B0">
            <w:pPr>
              <w:spacing w:before="40" w:after="80" w:line="240" w:lineRule="exact"/>
              <w:jc w:val="center"/>
              <w:rPr>
                <w:bCs/>
                <w:lang w:val="fr-FR"/>
              </w:rPr>
            </w:pPr>
            <w:r w:rsidRPr="00D97E64">
              <w:rPr>
                <w:bCs/>
                <w:lang w:val="fr-FR"/>
              </w:rPr>
              <w:t>O</w:t>
            </w:r>
          </w:p>
        </w:tc>
      </w:tr>
      <w:tr w:rsidR="003022F8" w:rsidRPr="00D97E64" w:rsidTr="0021340C">
        <w:tc>
          <w:tcPr>
            <w:tcW w:w="567" w:type="dxa"/>
            <w:tcBorders>
              <w:bottom w:val="single" w:sz="4" w:space="0" w:color="auto"/>
            </w:tcBorders>
          </w:tcPr>
          <w:p w:rsidR="003022F8" w:rsidRPr="00D97E64" w:rsidRDefault="003022F8" w:rsidP="008D70B0">
            <w:pPr>
              <w:spacing w:before="40" w:after="80" w:line="240" w:lineRule="exact"/>
              <w:rPr>
                <w:bCs/>
                <w:lang w:val="fr-FR"/>
              </w:rPr>
            </w:pPr>
            <w:r w:rsidRPr="00D97E64">
              <w:rPr>
                <w:bCs/>
                <w:lang w:val="fr-FR"/>
              </w:rPr>
              <w:t>10.</w:t>
            </w:r>
          </w:p>
        </w:tc>
        <w:tc>
          <w:tcPr>
            <w:tcW w:w="6843" w:type="dxa"/>
            <w:gridSpan w:val="2"/>
            <w:tcBorders>
              <w:bottom w:val="single" w:sz="4" w:space="0" w:color="auto"/>
            </w:tcBorders>
          </w:tcPr>
          <w:p w:rsidR="003022F8" w:rsidRPr="00D97E64" w:rsidRDefault="003022F8" w:rsidP="008D70B0">
            <w:pPr>
              <w:spacing w:before="40" w:after="80" w:line="240" w:lineRule="exact"/>
              <w:rPr>
                <w:lang w:val="fr-FR"/>
              </w:rPr>
            </w:pPr>
            <w:r w:rsidRPr="00D97E64">
              <w:rPr>
                <w:lang w:val="fr-FR"/>
              </w:rPr>
              <w:t xml:space="preserve">Les écoutilles </w:t>
            </w:r>
            <w:r>
              <w:rPr>
                <w:lang w:val="fr-FR"/>
              </w:rPr>
              <w:t xml:space="preserve">et </w:t>
            </w:r>
            <w:r w:rsidRPr="00D97E64">
              <w:rPr>
                <w:lang w:val="fr-FR"/>
              </w:rPr>
              <w:t>les orifices d</w:t>
            </w:r>
            <w:r>
              <w:rPr>
                <w:lang w:val="fr-FR"/>
              </w:rPr>
              <w:t>’</w:t>
            </w:r>
            <w:r w:rsidRPr="00D97E64">
              <w:rPr>
                <w:lang w:val="fr-FR"/>
              </w:rPr>
              <w:t>inspection, de jaugeage et de prise d</w:t>
            </w:r>
            <w:r>
              <w:rPr>
                <w:lang w:val="fr-FR"/>
              </w:rPr>
              <w:t>’</w:t>
            </w:r>
            <w:r w:rsidRPr="00D97E64">
              <w:rPr>
                <w:lang w:val="fr-FR"/>
              </w:rPr>
              <w:t>échantillons d</w:t>
            </w:r>
            <w:r>
              <w:rPr>
                <w:lang w:val="fr-FR"/>
              </w:rPr>
              <w:t>es citernes à cargaison sont-ils</w:t>
            </w:r>
            <w:r w:rsidRPr="00D97E64">
              <w:rPr>
                <w:lang w:val="fr-FR"/>
              </w:rPr>
              <w:t xml:space="preserve"> fermés ou protégés par des coupe-flammes en bon état ?</w:t>
            </w:r>
          </w:p>
        </w:tc>
        <w:tc>
          <w:tcPr>
            <w:tcW w:w="812" w:type="dxa"/>
            <w:tcBorders>
              <w:bottom w:val="single" w:sz="4" w:space="0" w:color="auto"/>
            </w:tcBorders>
          </w:tcPr>
          <w:p w:rsidR="003022F8" w:rsidRPr="00D97E64" w:rsidRDefault="003022F8" w:rsidP="008D70B0">
            <w:pPr>
              <w:spacing w:before="40" w:after="80" w:line="240" w:lineRule="exact"/>
              <w:jc w:val="center"/>
              <w:rPr>
                <w:bCs/>
                <w:lang w:val="fr-FR"/>
              </w:rPr>
            </w:pPr>
            <w:r w:rsidRPr="00D97E64">
              <w:rPr>
                <w:bCs/>
                <w:lang w:val="fr-FR"/>
              </w:rPr>
              <w:t>O</w:t>
            </w:r>
          </w:p>
        </w:tc>
        <w:tc>
          <w:tcPr>
            <w:tcW w:w="1323" w:type="dxa"/>
            <w:tcBorders>
              <w:bottom w:val="single" w:sz="4" w:space="0" w:color="auto"/>
            </w:tcBorders>
          </w:tcPr>
          <w:p w:rsidR="003022F8" w:rsidRPr="00D97E64" w:rsidRDefault="003022F8" w:rsidP="008D70B0">
            <w:pPr>
              <w:spacing w:before="40" w:after="80" w:line="240" w:lineRule="exact"/>
              <w:jc w:val="center"/>
              <w:rPr>
                <w:bCs/>
                <w:lang w:val="fr-FR"/>
              </w:rPr>
            </w:pPr>
            <w:r w:rsidRPr="00D97E64">
              <w:rPr>
                <w:bCs/>
                <w:lang w:val="fr-FR"/>
              </w:rPr>
              <w:t>–</w:t>
            </w:r>
          </w:p>
        </w:tc>
      </w:tr>
      <w:tr w:rsidR="003022F8" w:rsidRPr="00D97E64" w:rsidTr="0091165B">
        <w:tc>
          <w:tcPr>
            <w:tcW w:w="4678" w:type="dxa"/>
            <w:gridSpan w:val="2"/>
            <w:tcBorders>
              <w:bottom w:val="nil"/>
            </w:tcBorders>
          </w:tcPr>
          <w:p w:rsidR="003022F8" w:rsidRPr="00D97E64" w:rsidRDefault="003022F8" w:rsidP="008D70B0">
            <w:pPr>
              <w:spacing w:before="40" w:after="80" w:line="240" w:lineRule="exact"/>
              <w:rPr>
                <w:bCs/>
                <w:lang w:val="fr-FR"/>
              </w:rPr>
            </w:pPr>
            <w:r w:rsidRPr="00D97E64">
              <w:rPr>
                <w:lang w:val="fr-FR"/>
              </w:rPr>
              <w:t>Contrôlée, remplie et signée</w:t>
            </w:r>
          </w:p>
        </w:tc>
        <w:tc>
          <w:tcPr>
            <w:tcW w:w="4867" w:type="dxa"/>
            <w:gridSpan w:val="3"/>
            <w:tcBorders>
              <w:bottom w:val="nil"/>
            </w:tcBorders>
          </w:tcPr>
          <w:p w:rsidR="003022F8" w:rsidRPr="00D97E64" w:rsidRDefault="003022F8" w:rsidP="008D70B0">
            <w:pPr>
              <w:spacing w:before="40" w:after="80" w:line="240" w:lineRule="exact"/>
              <w:rPr>
                <w:bCs/>
                <w:lang w:val="fr-FR"/>
              </w:rPr>
            </w:pPr>
          </w:p>
        </w:tc>
      </w:tr>
      <w:tr w:rsidR="003022F8" w:rsidRPr="00D97E64" w:rsidTr="0091165B">
        <w:tc>
          <w:tcPr>
            <w:tcW w:w="4678" w:type="dxa"/>
            <w:gridSpan w:val="2"/>
            <w:tcBorders>
              <w:top w:val="nil"/>
              <w:bottom w:val="nil"/>
            </w:tcBorders>
          </w:tcPr>
          <w:p w:rsidR="003022F8" w:rsidRPr="00D97E64" w:rsidRDefault="003022F8" w:rsidP="008D70B0">
            <w:pPr>
              <w:spacing w:before="40" w:after="80" w:line="240" w:lineRule="exact"/>
              <w:rPr>
                <w:bCs/>
                <w:lang w:val="fr-FR"/>
              </w:rPr>
            </w:pPr>
            <w:r w:rsidRPr="00D97E64">
              <w:rPr>
                <w:lang w:val="fr-FR"/>
              </w:rPr>
              <w:t>pour le bateau :</w:t>
            </w:r>
          </w:p>
        </w:tc>
        <w:tc>
          <w:tcPr>
            <w:tcW w:w="4867" w:type="dxa"/>
            <w:gridSpan w:val="3"/>
            <w:tcBorders>
              <w:top w:val="nil"/>
              <w:bottom w:val="nil"/>
            </w:tcBorders>
          </w:tcPr>
          <w:p w:rsidR="003022F8" w:rsidRPr="00D97E64" w:rsidRDefault="003022F8" w:rsidP="008D70B0">
            <w:pPr>
              <w:spacing w:before="40" w:after="80" w:line="240" w:lineRule="exact"/>
              <w:rPr>
                <w:bCs/>
                <w:lang w:val="fr-FR"/>
              </w:rPr>
            </w:pPr>
            <w:r w:rsidRPr="00D97E64">
              <w:rPr>
                <w:bCs/>
                <w:lang w:val="fr-FR"/>
              </w:rPr>
              <w:t>pour la station de réception :</w:t>
            </w:r>
          </w:p>
        </w:tc>
      </w:tr>
      <w:tr w:rsidR="00B83428" w:rsidRPr="00D97E64" w:rsidTr="00B83428">
        <w:tc>
          <w:tcPr>
            <w:tcW w:w="4678" w:type="dxa"/>
            <w:gridSpan w:val="2"/>
            <w:tcBorders>
              <w:top w:val="nil"/>
              <w:bottom w:val="nil"/>
            </w:tcBorders>
          </w:tcPr>
          <w:p w:rsidR="00B83428" w:rsidRPr="00D97E64" w:rsidRDefault="00B83428" w:rsidP="00083AA3">
            <w:pPr>
              <w:tabs>
                <w:tab w:val="right" w:leader="dot" w:pos="4428"/>
              </w:tabs>
              <w:spacing w:before="40" w:after="80" w:line="240" w:lineRule="exact"/>
              <w:rPr>
                <w:bCs/>
                <w:lang w:val="fr-FR"/>
              </w:rPr>
            </w:pPr>
            <w:r w:rsidRPr="00D97E64">
              <w:rPr>
                <w:lang w:val="fr-FR"/>
              </w:rPr>
              <w:tab/>
            </w:r>
            <w:r>
              <w:rPr>
                <w:lang w:val="fr-FR"/>
              </w:rPr>
              <w:br/>
            </w:r>
            <w:r w:rsidRPr="00D97E64">
              <w:rPr>
                <w:lang w:val="fr-FR"/>
              </w:rPr>
              <w:t>(nom en majuscules)</w:t>
            </w:r>
          </w:p>
        </w:tc>
        <w:tc>
          <w:tcPr>
            <w:tcW w:w="4867" w:type="dxa"/>
            <w:gridSpan w:val="3"/>
            <w:tcBorders>
              <w:top w:val="nil"/>
              <w:bottom w:val="nil"/>
            </w:tcBorders>
          </w:tcPr>
          <w:p w:rsidR="00B83428" w:rsidRPr="00D97E64" w:rsidRDefault="00B83428" w:rsidP="00083AA3">
            <w:pPr>
              <w:tabs>
                <w:tab w:val="right" w:leader="dot" w:pos="4428"/>
              </w:tabs>
              <w:spacing w:before="40" w:after="80" w:line="240" w:lineRule="exact"/>
              <w:rPr>
                <w:bCs/>
                <w:lang w:val="fr-FR"/>
              </w:rPr>
            </w:pPr>
            <w:r w:rsidRPr="00D97E64">
              <w:rPr>
                <w:bCs/>
                <w:lang w:val="fr-FR"/>
              </w:rPr>
              <w:tab/>
            </w:r>
            <w:r>
              <w:rPr>
                <w:bCs/>
                <w:lang w:val="fr-FR"/>
              </w:rPr>
              <w:t xml:space="preserve"> </w:t>
            </w:r>
            <w:r>
              <w:rPr>
                <w:bCs/>
                <w:lang w:val="fr-FR"/>
              </w:rPr>
              <w:br/>
            </w:r>
            <w:r w:rsidRPr="00D97E64">
              <w:rPr>
                <w:lang w:val="fr-FR"/>
              </w:rPr>
              <w:t>(nom en majuscules)</w:t>
            </w:r>
          </w:p>
        </w:tc>
      </w:tr>
      <w:tr w:rsidR="003022F8" w:rsidRPr="00D97E64" w:rsidTr="00B83428">
        <w:tc>
          <w:tcPr>
            <w:tcW w:w="4678" w:type="dxa"/>
            <w:gridSpan w:val="2"/>
            <w:tcBorders>
              <w:top w:val="nil"/>
              <w:bottom w:val="single" w:sz="4" w:space="0" w:color="auto"/>
            </w:tcBorders>
          </w:tcPr>
          <w:p w:rsidR="003022F8" w:rsidRPr="00D97E64" w:rsidRDefault="003022F8" w:rsidP="00B83428">
            <w:pPr>
              <w:tabs>
                <w:tab w:val="right" w:leader="dot" w:pos="4428"/>
              </w:tabs>
              <w:spacing w:before="40" w:after="80" w:line="240" w:lineRule="exact"/>
              <w:rPr>
                <w:bCs/>
                <w:lang w:val="fr-FR"/>
              </w:rPr>
            </w:pPr>
            <w:r w:rsidRPr="00D97E64">
              <w:rPr>
                <w:lang w:val="fr-FR"/>
              </w:rPr>
              <w:tab/>
            </w:r>
            <w:r w:rsidR="00662FDB">
              <w:rPr>
                <w:lang w:val="fr-FR"/>
              </w:rPr>
              <w:br/>
            </w:r>
            <w:r w:rsidR="00662FDB" w:rsidRPr="00D97E64">
              <w:rPr>
                <w:lang w:val="fr-FR"/>
              </w:rPr>
              <w:t>(</w:t>
            </w:r>
            <w:r w:rsidR="00B83428">
              <w:rPr>
                <w:lang w:val="fr-FR"/>
              </w:rPr>
              <w:t>signature</w:t>
            </w:r>
            <w:r w:rsidR="00662FDB" w:rsidRPr="00D97E64">
              <w:rPr>
                <w:lang w:val="fr-FR"/>
              </w:rPr>
              <w:t>)</w:t>
            </w:r>
          </w:p>
        </w:tc>
        <w:tc>
          <w:tcPr>
            <w:tcW w:w="4867" w:type="dxa"/>
            <w:gridSpan w:val="3"/>
            <w:tcBorders>
              <w:top w:val="nil"/>
              <w:bottom w:val="single" w:sz="4" w:space="0" w:color="auto"/>
            </w:tcBorders>
          </w:tcPr>
          <w:p w:rsidR="003022F8" w:rsidRPr="00D97E64" w:rsidRDefault="003022F8" w:rsidP="00B83428">
            <w:pPr>
              <w:tabs>
                <w:tab w:val="right" w:leader="dot" w:pos="4428"/>
              </w:tabs>
              <w:spacing w:before="40" w:after="80" w:line="240" w:lineRule="exact"/>
              <w:rPr>
                <w:bCs/>
                <w:lang w:val="fr-FR"/>
              </w:rPr>
            </w:pPr>
            <w:r w:rsidRPr="00D97E64">
              <w:rPr>
                <w:bCs/>
                <w:lang w:val="fr-FR"/>
              </w:rPr>
              <w:tab/>
            </w:r>
            <w:r w:rsidR="00662FDB">
              <w:rPr>
                <w:bCs/>
                <w:lang w:val="fr-FR"/>
              </w:rPr>
              <w:t xml:space="preserve"> </w:t>
            </w:r>
            <w:r w:rsidR="00662FDB">
              <w:rPr>
                <w:bCs/>
                <w:lang w:val="fr-FR"/>
              </w:rPr>
              <w:br/>
            </w:r>
            <w:r w:rsidR="00662FDB" w:rsidRPr="00D97E64">
              <w:rPr>
                <w:lang w:val="fr-FR"/>
              </w:rPr>
              <w:t>(</w:t>
            </w:r>
            <w:r w:rsidR="00B83428">
              <w:rPr>
                <w:lang w:val="fr-FR"/>
              </w:rPr>
              <w:t>signature</w:t>
            </w:r>
            <w:r w:rsidR="00662FDB" w:rsidRPr="00D97E64">
              <w:rPr>
                <w:lang w:val="fr-FR"/>
              </w:rPr>
              <w:t>)</w:t>
            </w:r>
          </w:p>
        </w:tc>
      </w:tr>
    </w:tbl>
    <w:p w:rsidR="00092F98" w:rsidRPr="008635E2" w:rsidRDefault="00092F98" w:rsidP="00092F98">
      <w:pPr>
        <w:pStyle w:val="SingleTxtG"/>
        <w:spacing w:before="120" w:after="0" w:line="240" w:lineRule="exact"/>
        <w:ind w:left="0" w:right="0"/>
        <w:rPr>
          <w:bCs/>
          <w:sz w:val="18"/>
          <w:szCs w:val="18"/>
          <w:lang w:val="fr-FR"/>
        </w:rPr>
      </w:pPr>
      <w:r w:rsidRPr="008635E2">
        <w:rPr>
          <w:bCs/>
          <w:sz w:val="18"/>
          <w:szCs w:val="18"/>
          <w:lang w:val="fr-FR"/>
        </w:rPr>
        <w:t xml:space="preserve">* </w:t>
      </w:r>
      <w:r w:rsidRPr="00092F98">
        <w:rPr>
          <w:bCs/>
          <w:i/>
          <w:sz w:val="18"/>
          <w:szCs w:val="18"/>
          <w:lang w:val="fr-FR"/>
        </w:rPr>
        <w:t>Ne s’applique pas si le vide sert à générer des flux d’air</w:t>
      </w:r>
      <w:r w:rsidRPr="008635E2">
        <w:rPr>
          <w:bCs/>
          <w:sz w:val="18"/>
          <w:szCs w:val="18"/>
          <w:lang w:val="fr-FR"/>
        </w:rPr>
        <w:t xml:space="preserve">. </w:t>
      </w:r>
    </w:p>
    <w:p w:rsidR="00092F98" w:rsidRDefault="00092F98" w:rsidP="00092F98">
      <w:pPr>
        <w:spacing w:after="120" w:line="240" w:lineRule="exact"/>
        <w:rPr>
          <w:lang w:val="fr-FR"/>
        </w:rPr>
      </w:pPr>
      <w:r w:rsidRPr="008635E2">
        <w:rPr>
          <w:bCs/>
          <w:sz w:val="18"/>
          <w:szCs w:val="18"/>
          <w:lang w:val="fr-FR"/>
        </w:rPr>
        <w:t xml:space="preserve">** </w:t>
      </w:r>
      <w:r w:rsidRPr="00092F98">
        <w:rPr>
          <w:bCs/>
          <w:i/>
          <w:sz w:val="18"/>
          <w:szCs w:val="18"/>
          <w:lang w:val="fr-FR"/>
        </w:rPr>
        <w:t>Ne s’applique que si le vide sert à générer des flux d’air</w:t>
      </w:r>
      <w:r w:rsidRPr="008635E2">
        <w:rPr>
          <w:bCs/>
          <w:sz w:val="18"/>
          <w:szCs w:val="18"/>
          <w:lang w:val="fr-FR"/>
        </w:rPr>
        <w:t>.</w:t>
      </w:r>
    </w:p>
    <w:p w:rsidR="00092F98" w:rsidRDefault="00092F98" w:rsidP="00092F98">
      <w:pPr>
        <w:spacing w:before="120" w:line="240" w:lineRule="exact"/>
        <w:rPr>
          <w:lang w:val="fr-FR"/>
        </w:rPr>
      </w:pPr>
    </w:p>
    <w:p w:rsidR="003022F8" w:rsidRPr="00706FB7" w:rsidRDefault="003022F8" w:rsidP="00706FB7">
      <w:pPr>
        <w:pStyle w:val="HChG"/>
        <w:rPr>
          <w:bCs/>
          <w:lang w:val="fr-FR"/>
        </w:rPr>
      </w:pPr>
      <w:r w:rsidRPr="00D97E64">
        <w:rPr>
          <w:lang w:val="fr-FR"/>
        </w:rPr>
        <w:br w:type="page"/>
      </w:r>
      <w:r w:rsidR="00261BF5">
        <w:rPr>
          <w:lang w:val="fr-FR"/>
        </w:rPr>
        <w:tab/>
      </w:r>
      <w:r w:rsidR="00261BF5">
        <w:rPr>
          <w:lang w:val="fr-FR"/>
        </w:rPr>
        <w:tab/>
      </w:r>
      <w:r w:rsidRPr="00D97E64">
        <w:rPr>
          <w:lang w:val="fr-FR"/>
        </w:rPr>
        <w:t>Explications</w:t>
      </w:r>
    </w:p>
    <w:p w:rsidR="003022F8" w:rsidRPr="00D97E64" w:rsidRDefault="003022F8" w:rsidP="00706FB7">
      <w:pPr>
        <w:pStyle w:val="H1G"/>
        <w:rPr>
          <w:lang w:val="fr-FR"/>
        </w:rPr>
      </w:pPr>
      <w:r w:rsidRPr="00D97E64">
        <w:rPr>
          <w:lang w:val="fr-FR"/>
        </w:rPr>
        <w:tab/>
      </w:r>
      <w:r w:rsidRPr="00D97E64">
        <w:rPr>
          <w:lang w:val="fr-FR"/>
        </w:rPr>
        <w:tab/>
        <w:t>Question 1</w:t>
      </w:r>
    </w:p>
    <w:p w:rsidR="003022F8" w:rsidRPr="00D97E64" w:rsidRDefault="003022F8" w:rsidP="00D965D7">
      <w:pPr>
        <w:pStyle w:val="SingleTxtG"/>
        <w:ind w:firstLine="567"/>
        <w:rPr>
          <w:lang w:val="fr-FR"/>
        </w:rPr>
      </w:pPr>
      <w:r w:rsidRPr="00D97E64">
        <w:rPr>
          <w:lang w:val="fr-FR"/>
        </w:rPr>
        <w:t>Par « bien amarré », on entend que le bateau est fixé au débarcadère ou à la station de réception de telle manière que, sans intervention de tiers, il ne puisse bouger dans aucun sens pouvant entraver le dégazage. Il faut tenir compte des fluctuations locales données ou prévisibles du niveau d</w:t>
      </w:r>
      <w:r>
        <w:rPr>
          <w:lang w:val="fr-FR"/>
        </w:rPr>
        <w:t>’</w:t>
      </w:r>
      <w:r w:rsidRPr="00D97E64">
        <w:rPr>
          <w:lang w:val="fr-FR"/>
        </w:rPr>
        <w:t xml:space="preserve">eau et des particularités. </w:t>
      </w:r>
    </w:p>
    <w:p w:rsidR="003022F8" w:rsidRPr="00D97E64" w:rsidRDefault="003022F8" w:rsidP="00706FB7">
      <w:pPr>
        <w:pStyle w:val="H1G"/>
        <w:rPr>
          <w:lang w:val="fr-FR"/>
        </w:rPr>
      </w:pPr>
      <w:r w:rsidRPr="00D97E64">
        <w:rPr>
          <w:lang w:val="fr-FR"/>
        </w:rPr>
        <w:tab/>
      </w:r>
      <w:r w:rsidRPr="00D97E64">
        <w:rPr>
          <w:lang w:val="fr-FR"/>
        </w:rPr>
        <w:tab/>
        <w:t>Question 2</w:t>
      </w:r>
    </w:p>
    <w:p w:rsidR="003022F8" w:rsidRPr="00D97E64" w:rsidRDefault="003022F8" w:rsidP="00D965D7">
      <w:pPr>
        <w:pStyle w:val="SingleTxtG"/>
        <w:ind w:firstLine="567"/>
        <w:rPr>
          <w:lang w:val="fr-FR"/>
        </w:rPr>
      </w:pPr>
      <w:r w:rsidRPr="00D97E64">
        <w:rPr>
          <w:lang w:val="fr-FR"/>
        </w:rPr>
        <w:t xml:space="preserve">Une attestation de contrôle valable doit être </w:t>
      </w:r>
      <w:r>
        <w:rPr>
          <w:lang w:val="fr-FR"/>
        </w:rPr>
        <w:t xml:space="preserve">présente </w:t>
      </w:r>
      <w:r w:rsidRPr="00D97E64">
        <w:rPr>
          <w:lang w:val="fr-FR"/>
        </w:rPr>
        <w:t>à bord pour les tuyauteries flexibles. Le matériau des tuyauteries doit résister au débit prévu et convenir pour le dégazage. La tuyauterie entre le bateau et la station de réception doit être placée de manière à ne pas être endommagée par les mouvements habituels du bateau au cours du dégazage, ni par des fluctuations du niveau d</w:t>
      </w:r>
      <w:r>
        <w:rPr>
          <w:lang w:val="fr-FR"/>
        </w:rPr>
        <w:t>’</w:t>
      </w:r>
      <w:r w:rsidRPr="00D97E64">
        <w:rPr>
          <w:lang w:val="fr-FR"/>
        </w:rPr>
        <w:t>eau.</w:t>
      </w:r>
    </w:p>
    <w:p w:rsidR="003022F8" w:rsidRPr="00D97E64" w:rsidRDefault="003022F8" w:rsidP="003022F8">
      <w:pPr>
        <w:pStyle w:val="H1G"/>
        <w:spacing w:line="240" w:lineRule="exact"/>
        <w:rPr>
          <w:lang w:val="fr-FR"/>
        </w:rPr>
      </w:pPr>
      <w:r w:rsidRPr="00D97E64">
        <w:rPr>
          <w:lang w:val="fr-FR"/>
        </w:rPr>
        <w:tab/>
      </w:r>
      <w:r w:rsidRPr="00D97E64">
        <w:rPr>
          <w:lang w:val="fr-FR"/>
        </w:rPr>
        <w:tab/>
        <w:t>Question 4</w:t>
      </w:r>
    </w:p>
    <w:p w:rsidR="003022F8" w:rsidRPr="00D97E64" w:rsidRDefault="003022F8" w:rsidP="00D965D7">
      <w:pPr>
        <w:pStyle w:val="SingleTxtG"/>
        <w:ind w:firstLine="567"/>
        <w:rPr>
          <w:lang w:val="fr-FR"/>
        </w:rPr>
      </w:pPr>
      <w:r w:rsidRPr="00D97E64">
        <w:rPr>
          <w:lang w:val="fr-FR"/>
        </w:rPr>
        <w:t>Le dégazage doit être surveillé à bord et à la station de réception de manière que les dangers susceptibles de se produire à proximité de la tuyauterie entre le bateau et la sta</w:t>
      </w:r>
      <w:r w:rsidR="006F6085">
        <w:rPr>
          <w:lang w:val="fr-FR"/>
        </w:rPr>
        <w:t>tion de réception puissent être</w:t>
      </w:r>
      <w:r>
        <w:rPr>
          <w:lang w:val="fr-FR"/>
        </w:rPr>
        <w:t xml:space="preserve"> décelés</w:t>
      </w:r>
      <w:r w:rsidRPr="00D97E64">
        <w:rPr>
          <w:lang w:val="fr-FR"/>
        </w:rPr>
        <w:t xml:space="preserve"> immédiatement. Lorsque la surveillance est effectuée grâce à des moyens techniques auxiliaires, il doit être convenu entre la station de réception et le bateau de la manière dont elle est assurée. </w:t>
      </w:r>
    </w:p>
    <w:p w:rsidR="003022F8" w:rsidRPr="00D97E64" w:rsidRDefault="003022F8" w:rsidP="003022F8">
      <w:pPr>
        <w:pStyle w:val="H1G"/>
        <w:spacing w:line="240" w:lineRule="exact"/>
        <w:rPr>
          <w:lang w:val="fr-FR"/>
        </w:rPr>
      </w:pPr>
      <w:r w:rsidRPr="00D97E64">
        <w:rPr>
          <w:lang w:val="fr-FR"/>
        </w:rPr>
        <w:tab/>
      </w:r>
      <w:r w:rsidRPr="00D97E64">
        <w:rPr>
          <w:lang w:val="fr-FR"/>
        </w:rPr>
        <w:tab/>
        <w:t>Question 5</w:t>
      </w:r>
    </w:p>
    <w:p w:rsidR="003022F8" w:rsidRPr="00D97E64" w:rsidRDefault="003022F8" w:rsidP="00D965D7">
      <w:pPr>
        <w:pStyle w:val="SingleTxtG"/>
        <w:ind w:firstLine="567"/>
        <w:rPr>
          <w:lang w:val="fr-FR"/>
        </w:rPr>
      </w:pPr>
      <w:r w:rsidRPr="00D97E64">
        <w:rPr>
          <w:lang w:val="fr-FR"/>
        </w:rPr>
        <w:t>Une bonne communication entre le bateau et la terre est nécessaire au déroulement sûr du dégazage. À cet effet, les appareils téléphoniques et radiophoniques ne peuvent être utilisés que s</w:t>
      </w:r>
      <w:r>
        <w:rPr>
          <w:lang w:val="fr-FR"/>
        </w:rPr>
        <w:t>’</w:t>
      </w:r>
      <w:r w:rsidRPr="00D97E64">
        <w:rPr>
          <w:lang w:val="fr-FR"/>
        </w:rPr>
        <w:t>ils sont d</w:t>
      </w:r>
      <w:r>
        <w:rPr>
          <w:lang w:val="fr-FR"/>
        </w:rPr>
        <w:t>’</w:t>
      </w:r>
      <w:r w:rsidRPr="00D97E64">
        <w:rPr>
          <w:lang w:val="fr-FR"/>
        </w:rPr>
        <w:t>un type protégé contre les explosions et installés à portée de la personne chargée de la surveillance.</w:t>
      </w:r>
    </w:p>
    <w:p w:rsidR="003022F8" w:rsidRPr="00D97E64" w:rsidRDefault="003022F8" w:rsidP="003022F8">
      <w:pPr>
        <w:pStyle w:val="H1G"/>
        <w:spacing w:line="240" w:lineRule="exact"/>
        <w:rPr>
          <w:lang w:val="fr-FR"/>
        </w:rPr>
      </w:pPr>
      <w:r w:rsidRPr="00D97E64">
        <w:rPr>
          <w:lang w:val="fr-FR"/>
        </w:rPr>
        <w:tab/>
      </w:r>
      <w:r w:rsidRPr="00D97E64">
        <w:rPr>
          <w:lang w:val="fr-FR"/>
        </w:rPr>
        <w:tab/>
        <w:t>Question 7</w:t>
      </w:r>
    </w:p>
    <w:p w:rsidR="003022F8" w:rsidRPr="00D97E64" w:rsidRDefault="003022F8" w:rsidP="00261BF5">
      <w:pPr>
        <w:pStyle w:val="SingleTxtG"/>
        <w:ind w:firstLine="567"/>
        <w:rPr>
          <w:lang w:val="fr-FR"/>
        </w:rPr>
      </w:pPr>
      <w:r w:rsidRPr="00D97E64">
        <w:rPr>
          <w:lang w:val="fr-FR"/>
        </w:rPr>
        <w:t>Avant le début du dégazage, le représentant de la station de réception et le conducteur ou la personne qu</w:t>
      </w:r>
      <w:r>
        <w:rPr>
          <w:lang w:val="fr-FR"/>
        </w:rPr>
        <w:t>’</w:t>
      </w:r>
      <w:r w:rsidRPr="00D97E64">
        <w:rPr>
          <w:lang w:val="fr-FR"/>
        </w:rPr>
        <w:t>il a mandatée doivent s</w:t>
      </w:r>
      <w:r>
        <w:rPr>
          <w:lang w:val="fr-FR"/>
        </w:rPr>
        <w:t>’</w:t>
      </w:r>
      <w:r w:rsidRPr="00D97E64">
        <w:rPr>
          <w:lang w:val="fr-FR"/>
        </w:rPr>
        <w:t xml:space="preserve">entendre sur les procédures à suivre. Il faut tenir compte des propriétés particulières des matières à dégazer. </w:t>
      </w:r>
    </w:p>
    <w:p w:rsidR="003022F8" w:rsidRPr="00D97E64" w:rsidRDefault="006F6085" w:rsidP="00261BF5">
      <w:pPr>
        <w:pStyle w:val="SingleTxtG"/>
        <w:ind w:left="2268" w:hanging="1134"/>
        <w:rPr>
          <w:lang w:val="fr-FR"/>
        </w:rPr>
      </w:pPr>
      <w:r>
        <w:rPr>
          <w:lang w:val="fr-FR"/>
        </w:rPr>
        <w:t>9.3</w:t>
      </w:r>
      <w:r>
        <w:rPr>
          <w:lang w:val="fr-FR"/>
        </w:rPr>
        <w:tab/>
      </w:r>
      <w:r w:rsidR="003022F8" w:rsidRPr="00D97E64">
        <w:rPr>
          <w:lang w:val="fr-FR"/>
        </w:rPr>
        <w:t>Règles de construction des bateaux-citernes</w:t>
      </w:r>
    </w:p>
    <w:p w:rsidR="003022F8" w:rsidRPr="00D97E64" w:rsidRDefault="003022F8" w:rsidP="00261BF5">
      <w:pPr>
        <w:pStyle w:val="SingleTxtG"/>
        <w:ind w:left="2268" w:hanging="1134"/>
        <w:rPr>
          <w:lang w:val="fr-FR"/>
        </w:rPr>
      </w:pPr>
      <w:r w:rsidRPr="00D97E64">
        <w:rPr>
          <w:lang w:val="fr-FR"/>
        </w:rPr>
        <w:t>9.</w:t>
      </w:r>
      <w:proofErr w:type="gramStart"/>
      <w:r w:rsidRPr="00D97E64">
        <w:rPr>
          <w:lang w:val="fr-FR"/>
        </w:rPr>
        <w:t>3.X.</w:t>
      </w:r>
      <w:proofErr w:type="gramEnd"/>
      <w:r w:rsidRPr="00D97E64">
        <w:rPr>
          <w:lang w:val="fr-FR"/>
        </w:rPr>
        <w:t>11.3</w:t>
      </w:r>
      <w:r w:rsidRPr="00D97E64">
        <w:rPr>
          <w:lang w:val="fr-FR"/>
        </w:rPr>
        <w:tab/>
        <w:t>(…)</w:t>
      </w:r>
    </w:p>
    <w:p w:rsidR="003022F8" w:rsidRPr="00D97E64" w:rsidRDefault="003022F8" w:rsidP="00261BF5">
      <w:pPr>
        <w:pStyle w:val="SingleTxtG"/>
        <w:spacing w:line="240" w:lineRule="exact"/>
        <w:ind w:left="2835" w:hanging="567"/>
        <w:rPr>
          <w:lang w:val="fr-FR"/>
        </w:rPr>
      </w:pPr>
      <w:r w:rsidRPr="00D97E64">
        <w:rPr>
          <w:lang w:val="fr-FR"/>
        </w:rPr>
        <w:t>c)</w:t>
      </w:r>
      <w:r w:rsidRPr="00D97E64">
        <w:rPr>
          <w:lang w:val="fr-FR"/>
        </w:rPr>
        <w:tab/>
        <w:t>Tous les locaux situés dans la zone de cargaison doivent pouvoir être ventilés.</w:t>
      </w:r>
      <w:r w:rsidRPr="00D97E64">
        <w:rPr>
          <w:strike/>
          <w:lang w:val="fr-FR"/>
        </w:rPr>
        <w:t xml:space="preserve"> Il doit être prévu des moyens pour vérifier qu</w:t>
      </w:r>
      <w:r>
        <w:rPr>
          <w:strike/>
          <w:lang w:val="fr-FR"/>
        </w:rPr>
        <w:t>’</w:t>
      </w:r>
      <w:r w:rsidRPr="00D97E64">
        <w:rPr>
          <w:strike/>
          <w:lang w:val="fr-FR"/>
        </w:rPr>
        <w:t>ils ne contiennent pas de gaz.</w:t>
      </w:r>
      <w:r w:rsidRPr="00D97E64">
        <w:rPr>
          <w:lang w:val="fr-FR"/>
        </w:rPr>
        <w:t xml:space="preserve"> </w:t>
      </w:r>
      <w:r w:rsidRPr="00D97E64">
        <w:rPr>
          <w:b/>
          <w:u w:val="single"/>
          <w:lang w:val="fr-FR"/>
        </w:rPr>
        <w:t>Il doit être possible de vérifier qu</w:t>
      </w:r>
      <w:r>
        <w:rPr>
          <w:b/>
          <w:u w:val="single"/>
          <w:lang w:val="fr-FR"/>
        </w:rPr>
        <w:t>’</w:t>
      </w:r>
      <w:r w:rsidRPr="00D97E64">
        <w:rPr>
          <w:b/>
          <w:u w:val="single"/>
          <w:lang w:val="fr-FR"/>
        </w:rPr>
        <w:t>ils ne contiennent pas de gaz.</w:t>
      </w:r>
    </w:p>
    <w:p w:rsidR="003022F8" w:rsidRPr="00D97E64" w:rsidRDefault="003022F8" w:rsidP="00261BF5">
      <w:pPr>
        <w:pStyle w:val="SingleTxtG"/>
        <w:ind w:left="2268" w:hanging="1134"/>
        <w:rPr>
          <w:b/>
          <w:szCs w:val="18"/>
          <w:u w:val="single"/>
          <w:lang w:val="fr-FR"/>
        </w:rPr>
      </w:pPr>
      <w:r w:rsidRPr="00D97E64">
        <w:rPr>
          <w:b/>
          <w:szCs w:val="18"/>
          <w:u w:val="single"/>
          <w:lang w:val="fr-FR"/>
        </w:rPr>
        <w:t>9.</w:t>
      </w:r>
      <w:proofErr w:type="gramStart"/>
      <w:r w:rsidRPr="00D97E64">
        <w:rPr>
          <w:b/>
          <w:szCs w:val="18"/>
          <w:u w:val="single"/>
          <w:lang w:val="fr-FR"/>
        </w:rPr>
        <w:t>3.X.</w:t>
      </w:r>
      <w:proofErr w:type="gramEnd"/>
      <w:r w:rsidRPr="00D97E64">
        <w:rPr>
          <w:b/>
          <w:szCs w:val="18"/>
          <w:u w:val="single"/>
          <w:lang w:val="fr-FR"/>
        </w:rPr>
        <w:t>61</w:t>
      </w:r>
      <w:r w:rsidRPr="00D97E64">
        <w:rPr>
          <w:b/>
          <w:szCs w:val="18"/>
          <w:u w:val="single"/>
          <w:lang w:val="fr-FR"/>
        </w:rPr>
        <w:tab/>
      </w:r>
      <w:r>
        <w:rPr>
          <w:b/>
          <w:szCs w:val="18"/>
          <w:u w:val="single"/>
          <w:lang w:val="fr-FR"/>
        </w:rPr>
        <w:t xml:space="preserve"> Soupape</w:t>
      </w:r>
      <w:r w:rsidRPr="00D97E64">
        <w:rPr>
          <w:b/>
          <w:szCs w:val="18"/>
          <w:u w:val="single"/>
          <w:lang w:val="fr-FR"/>
        </w:rPr>
        <w:t xml:space="preserve"> pour </w:t>
      </w:r>
      <w:r>
        <w:rPr>
          <w:b/>
          <w:szCs w:val="18"/>
          <w:u w:val="single"/>
          <w:lang w:val="fr-FR"/>
        </w:rPr>
        <w:t xml:space="preserve">le </w:t>
      </w:r>
      <w:r w:rsidRPr="00D97E64">
        <w:rPr>
          <w:b/>
          <w:szCs w:val="18"/>
          <w:u w:val="single"/>
          <w:lang w:val="fr-FR"/>
        </w:rPr>
        <w:t xml:space="preserve">dégazage dans une station de réception </w:t>
      </w:r>
    </w:p>
    <w:p w:rsidR="003022F8" w:rsidRPr="00A85D63" w:rsidRDefault="00261BF5" w:rsidP="00261BF5">
      <w:pPr>
        <w:pStyle w:val="SingleTxtG"/>
        <w:ind w:left="2268"/>
        <w:rPr>
          <w:b/>
          <w:u w:val="single"/>
          <w:lang w:val="fr-FR"/>
        </w:rPr>
      </w:pPr>
      <w:r>
        <w:rPr>
          <w:b/>
          <w:u w:val="single"/>
          <w:lang w:val="fr-FR"/>
        </w:rPr>
        <w:t>Une</w:t>
      </w:r>
      <w:r w:rsidR="003022F8" w:rsidRPr="00A85D63">
        <w:rPr>
          <w:b/>
          <w:u w:val="single"/>
          <w:lang w:val="fr-FR"/>
        </w:rPr>
        <w:t xml:space="preserve"> soupape basse pression à ressort fixe ou mobile utilisée lors du dégazage dans une station de réception doit être raccordée à la tuyauterie d’aspiration d’air. Si la liste des matières du bateau selon le 1.16.1.2.5 contient des matières pour lesquelles la protection contre les explosions est exigée à la colonn</w:t>
      </w:r>
      <w:r>
        <w:rPr>
          <w:b/>
          <w:u w:val="single"/>
          <w:lang w:val="fr-FR"/>
        </w:rPr>
        <w:t>e (17) du tableau C du 3.2.3.2,</w:t>
      </w:r>
      <w:r w:rsidR="003022F8" w:rsidRPr="00A85D63">
        <w:rPr>
          <w:b/>
          <w:u w:val="single"/>
          <w:lang w:val="fr-FR"/>
        </w:rPr>
        <w:t xml:space="preserve"> la soupape doit être munie d’un coupe-flammes résistant aux déflagrations. Lorsque le bateau n’est pas en cours de dégazage </w:t>
      </w:r>
      <w:r>
        <w:rPr>
          <w:b/>
          <w:u w:val="single"/>
          <w:lang w:val="fr-FR"/>
        </w:rPr>
        <w:t xml:space="preserve">dans une station de réception, </w:t>
      </w:r>
      <w:r w:rsidR="003022F8" w:rsidRPr="00A85D63">
        <w:rPr>
          <w:b/>
          <w:u w:val="single"/>
          <w:lang w:val="fr-FR"/>
        </w:rPr>
        <w:t>la soupape doit être obturée par une bride borgne. La soupape basse pression doit être montée de manière que, dans des conditions normales d’exploitation, la soupape de dépression ne soit pas activée.</w:t>
      </w:r>
    </w:p>
    <w:p w:rsidR="003022F8" w:rsidRPr="00D97E64" w:rsidRDefault="003022F8" w:rsidP="00261BF5">
      <w:pPr>
        <w:suppressAutoHyphens w:val="0"/>
        <w:spacing w:after="120" w:line="240" w:lineRule="exact"/>
        <w:ind w:left="2257" w:right="1134"/>
        <w:jc w:val="both"/>
        <w:rPr>
          <w:b/>
          <w:i/>
          <w:szCs w:val="18"/>
          <w:u w:val="single"/>
          <w:lang w:val="fr-FR"/>
        </w:rPr>
      </w:pPr>
      <w:r w:rsidRPr="00D97E64">
        <w:rPr>
          <w:b/>
          <w:i/>
          <w:szCs w:val="18"/>
          <w:u w:val="single"/>
          <w:lang w:val="fr-FR"/>
        </w:rPr>
        <w:t>NOT</w:t>
      </w:r>
      <w:r w:rsidR="00B446DE">
        <w:rPr>
          <w:b/>
          <w:i/>
          <w:szCs w:val="18"/>
          <w:u w:val="single"/>
          <w:lang w:val="fr-FR"/>
        </w:rPr>
        <w:t>A</w:t>
      </w:r>
      <w:r w:rsidRPr="00D97E64">
        <w:rPr>
          <w:b/>
          <w:i/>
          <w:szCs w:val="18"/>
          <w:u w:val="single"/>
          <w:lang w:val="fr-FR"/>
        </w:rPr>
        <w:t xml:space="preserve"> </w:t>
      </w:r>
      <w:r w:rsidRPr="009F7B55">
        <w:rPr>
          <w:b/>
          <w:szCs w:val="18"/>
          <w:u w:val="single"/>
          <w:lang w:val="fr-FR"/>
        </w:rPr>
        <w:t xml:space="preserve">: </w:t>
      </w:r>
      <w:r w:rsidR="009F7B55">
        <w:rPr>
          <w:b/>
          <w:szCs w:val="18"/>
          <w:u w:val="single"/>
          <w:lang w:val="fr-FR"/>
        </w:rPr>
        <w:t xml:space="preserve">Le dégazage fait partie des conditions normales </w:t>
      </w:r>
      <w:r w:rsidRPr="009F7B55">
        <w:rPr>
          <w:b/>
          <w:szCs w:val="18"/>
          <w:u w:val="single"/>
          <w:lang w:val="fr-FR"/>
        </w:rPr>
        <w:t>d’exploitatio</w:t>
      </w:r>
      <w:r w:rsidR="00496D22">
        <w:rPr>
          <w:b/>
          <w:szCs w:val="18"/>
          <w:u w:val="single"/>
          <w:lang w:val="fr-FR"/>
        </w:rPr>
        <w:t>n</w:t>
      </w:r>
      <w:r w:rsidRPr="00D97E64">
        <w:rPr>
          <w:b/>
          <w:i/>
          <w:szCs w:val="18"/>
          <w:u w:val="single"/>
          <w:lang w:val="fr-FR"/>
        </w:rPr>
        <w:t xml:space="preserve">. </w:t>
      </w:r>
    </w:p>
    <w:p w:rsidR="003022F8" w:rsidRPr="00D97E64" w:rsidRDefault="003022F8" w:rsidP="003022F8">
      <w:pPr>
        <w:suppressAutoHyphens w:val="0"/>
        <w:spacing w:before="120" w:after="240" w:line="240" w:lineRule="exact"/>
        <w:ind w:left="2259" w:right="567" w:hanging="1125"/>
        <w:jc w:val="both"/>
        <w:rPr>
          <w:szCs w:val="18"/>
          <w:lang w:val="fr-FR"/>
        </w:rPr>
      </w:pPr>
      <w:r w:rsidRPr="00D97E64">
        <w:rPr>
          <w:szCs w:val="18"/>
          <w:lang w:val="fr-FR"/>
        </w:rPr>
        <w:t>9.3.X.6</w:t>
      </w:r>
      <w:r w:rsidRPr="00D97E64">
        <w:rPr>
          <w:strike/>
          <w:szCs w:val="18"/>
          <w:lang w:val="fr-FR"/>
        </w:rPr>
        <w:t>1</w:t>
      </w:r>
      <w:r w:rsidRPr="00D97E64">
        <w:rPr>
          <w:b/>
          <w:szCs w:val="18"/>
          <w:u w:val="single"/>
          <w:lang w:val="fr-FR"/>
        </w:rPr>
        <w:t>2</w:t>
      </w:r>
      <w:r w:rsidRPr="00D97E64">
        <w:rPr>
          <w:szCs w:val="18"/>
          <w:lang w:val="fr-FR"/>
        </w:rPr>
        <w:t xml:space="preserve"> à 9.3.X.70 (Réservés)</w:t>
      </w:r>
    </w:p>
    <w:p w:rsidR="003022F8" w:rsidRPr="00D97E64" w:rsidRDefault="003022F8" w:rsidP="00496D22">
      <w:pPr>
        <w:pStyle w:val="SingleTxtG"/>
        <w:ind w:left="2268" w:hanging="1134"/>
        <w:rPr>
          <w:szCs w:val="18"/>
          <w:lang w:val="fr-FR"/>
        </w:rPr>
      </w:pPr>
      <w:r w:rsidRPr="00D97E64">
        <w:rPr>
          <w:szCs w:val="18"/>
          <w:lang w:val="fr-FR"/>
        </w:rPr>
        <w:t>9.3.2.42.4</w:t>
      </w:r>
      <w:r w:rsidRPr="00D97E64">
        <w:rPr>
          <w:szCs w:val="18"/>
          <w:lang w:val="fr-FR"/>
        </w:rPr>
        <w:tab/>
        <w:t>Si l</w:t>
      </w:r>
      <w:r>
        <w:rPr>
          <w:szCs w:val="18"/>
          <w:lang w:val="fr-FR"/>
        </w:rPr>
        <w:t>’</w:t>
      </w:r>
      <w:r w:rsidRPr="00D97E64">
        <w:rPr>
          <w:szCs w:val="18"/>
          <w:lang w:val="fr-FR"/>
        </w:rPr>
        <w:t xml:space="preserve">installation de chauffage de la cargaison est utilisée lors du chargement, du déchargement ou du dégazage </w:t>
      </w:r>
      <w:r w:rsidRPr="00D97E64">
        <w:rPr>
          <w:b/>
          <w:szCs w:val="18"/>
          <w:u w:val="single"/>
          <w:lang w:val="fr-FR"/>
        </w:rPr>
        <w:t>avec une concentration provenant de la cargaison supérieure ou égale à 10</w:t>
      </w:r>
      <w:r w:rsidR="00496D22">
        <w:rPr>
          <w:b/>
          <w:szCs w:val="18"/>
          <w:u w:val="single"/>
          <w:lang w:val="fr-FR"/>
        </w:rPr>
        <w:t> </w:t>
      </w:r>
      <w:r w:rsidRPr="00D97E64">
        <w:rPr>
          <w:b/>
          <w:szCs w:val="18"/>
          <w:u w:val="single"/>
          <w:lang w:val="fr-FR"/>
        </w:rPr>
        <w:t>% de la LIE</w:t>
      </w:r>
      <w:r w:rsidRPr="00D97E64">
        <w:rPr>
          <w:szCs w:val="18"/>
          <w:lang w:val="fr-FR"/>
        </w:rPr>
        <w:t>, le local de service dans lequel est placée l</w:t>
      </w:r>
      <w:r>
        <w:rPr>
          <w:szCs w:val="18"/>
          <w:lang w:val="fr-FR"/>
        </w:rPr>
        <w:t>’</w:t>
      </w:r>
      <w:r w:rsidRPr="00D97E64">
        <w:rPr>
          <w:szCs w:val="18"/>
          <w:lang w:val="fr-FR"/>
        </w:rPr>
        <w:t>installation doit répondre entièrement aux prescriptions du</w:t>
      </w:r>
      <w:r w:rsidR="00496D22">
        <w:rPr>
          <w:szCs w:val="18"/>
          <w:lang w:val="fr-FR"/>
        </w:rPr>
        <w:t> </w:t>
      </w:r>
      <w:r w:rsidRPr="00D97E64">
        <w:rPr>
          <w:szCs w:val="18"/>
          <w:lang w:val="fr-FR"/>
        </w:rPr>
        <w:t>9.3.2.52.3. Cette prescription ne s</w:t>
      </w:r>
      <w:r>
        <w:rPr>
          <w:szCs w:val="18"/>
          <w:lang w:val="fr-FR"/>
        </w:rPr>
        <w:t>’</w:t>
      </w:r>
      <w:r w:rsidRPr="00D97E64">
        <w:rPr>
          <w:szCs w:val="18"/>
          <w:lang w:val="fr-FR"/>
        </w:rPr>
        <w:t>applique pas aux orifices d</w:t>
      </w:r>
      <w:r>
        <w:rPr>
          <w:szCs w:val="18"/>
          <w:lang w:val="fr-FR"/>
        </w:rPr>
        <w:t>’</w:t>
      </w:r>
      <w:r w:rsidRPr="00D97E64">
        <w:rPr>
          <w:szCs w:val="18"/>
          <w:lang w:val="fr-FR"/>
        </w:rPr>
        <w:t>aspiration du système de ventilation.</w:t>
      </w:r>
    </w:p>
    <w:p w:rsidR="003022F8" w:rsidRPr="00D97E64" w:rsidRDefault="003022F8" w:rsidP="0079691B">
      <w:pPr>
        <w:suppressAutoHyphens w:val="0"/>
        <w:spacing w:before="120" w:after="240" w:line="240" w:lineRule="exact"/>
        <w:ind w:left="2257" w:right="1134"/>
        <w:jc w:val="both"/>
        <w:rPr>
          <w:szCs w:val="18"/>
          <w:lang w:val="fr-FR"/>
        </w:rPr>
      </w:pPr>
      <w:r w:rsidRPr="00D97E64">
        <w:rPr>
          <w:szCs w:val="18"/>
          <w:lang w:val="fr-FR"/>
        </w:rPr>
        <w:t>(…)</w:t>
      </w:r>
    </w:p>
    <w:p w:rsidR="003022F8" w:rsidRPr="00D97E64" w:rsidRDefault="003022F8" w:rsidP="00496D22">
      <w:pPr>
        <w:pStyle w:val="SingleTxtG"/>
        <w:ind w:left="2268" w:hanging="1134"/>
        <w:rPr>
          <w:szCs w:val="18"/>
          <w:lang w:val="fr-FR"/>
        </w:rPr>
      </w:pPr>
      <w:r w:rsidRPr="00D97E64">
        <w:rPr>
          <w:szCs w:val="18"/>
          <w:lang w:val="fr-FR"/>
        </w:rPr>
        <w:t>9.3.3.42.4</w:t>
      </w:r>
      <w:r w:rsidRPr="00D97E64">
        <w:rPr>
          <w:szCs w:val="18"/>
          <w:lang w:val="fr-FR"/>
        </w:rPr>
        <w:tab/>
        <w:t>Si l</w:t>
      </w:r>
      <w:r>
        <w:rPr>
          <w:szCs w:val="18"/>
          <w:lang w:val="fr-FR"/>
        </w:rPr>
        <w:t>’</w:t>
      </w:r>
      <w:r w:rsidRPr="00D97E64">
        <w:rPr>
          <w:szCs w:val="18"/>
          <w:lang w:val="fr-FR"/>
        </w:rPr>
        <w:t xml:space="preserve">installation de chauffage de la cargaison est utilisée lors du chargement, du déchargement ou du dégazage </w:t>
      </w:r>
      <w:r w:rsidRPr="00D97E64">
        <w:rPr>
          <w:b/>
          <w:szCs w:val="18"/>
          <w:u w:val="single"/>
          <w:lang w:val="fr-FR"/>
        </w:rPr>
        <w:t>avec une concentration provenant de la cargaison supérieure ou égale à 10 % de la LIE</w:t>
      </w:r>
      <w:r w:rsidRPr="00D97E64">
        <w:rPr>
          <w:szCs w:val="18"/>
          <w:lang w:val="fr-FR"/>
        </w:rPr>
        <w:t>, le local de service dans lequel est placée l</w:t>
      </w:r>
      <w:r>
        <w:rPr>
          <w:szCs w:val="18"/>
          <w:lang w:val="fr-FR"/>
        </w:rPr>
        <w:t>’</w:t>
      </w:r>
      <w:r w:rsidRPr="00D97E64">
        <w:rPr>
          <w:szCs w:val="18"/>
          <w:lang w:val="fr-FR"/>
        </w:rPr>
        <w:t>installation doit répondre entièrement aux prescriptions du 9.3.3.52.3. Cette prescription ne s</w:t>
      </w:r>
      <w:r>
        <w:rPr>
          <w:szCs w:val="18"/>
          <w:lang w:val="fr-FR"/>
        </w:rPr>
        <w:t>’</w:t>
      </w:r>
      <w:r w:rsidRPr="00D97E64">
        <w:rPr>
          <w:szCs w:val="18"/>
          <w:lang w:val="fr-FR"/>
        </w:rPr>
        <w:t>applique pas aux orifices d</w:t>
      </w:r>
      <w:r>
        <w:rPr>
          <w:szCs w:val="18"/>
          <w:lang w:val="fr-FR"/>
        </w:rPr>
        <w:t>’</w:t>
      </w:r>
      <w:r w:rsidRPr="00D97E64">
        <w:rPr>
          <w:szCs w:val="18"/>
          <w:lang w:val="fr-FR"/>
        </w:rPr>
        <w:t>aspiration du système de ventilation.</w:t>
      </w:r>
    </w:p>
    <w:p w:rsidR="003466EC" w:rsidRDefault="003022F8" w:rsidP="00496D22">
      <w:pPr>
        <w:pStyle w:val="SingleTxtG"/>
        <w:ind w:left="2268"/>
        <w:rPr>
          <w:szCs w:val="18"/>
          <w:lang w:val="fr-FR"/>
        </w:rPr>
      </w:pPr>
      <w:r w:rsidRPr="00D97E64">
        <w:rPr>
          <w:szCs w:val="18"/>
          <w:lang w:val="fr-FR"/>
        </w:rPr>
        <w:t>(…)</w:t>
      </w:r>
    </w:p>
    <w:p w:rsidR="00BC377D" w:rsidRPr="00BC377D" w:rsidRDefault="00BC377D" w:rsidP="00BC377D">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BC377D" w:rsidRPr="00BC377D" w:rsidSect="00AA06D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77" w:rsidRDefault="00BF1977" w:rsidP="00F95C08">
      <w:pPr>
        <w:spacing w:line="240" w:lineRule="auto"/>
      </w:pPr>
    </w:p>
  </w:endnote>
  <w:endnote w:type="continuationSeparator" w:id="0">
    <w:p w:rsidR="00BF1977" w:rsidRPr="00AC3823" w:rsidRDefault="00BF1977" w:rsidP="00AC3823">
      <w:pPr>
        <w:pStyle w:val="Footer"/>
      </w:pPr>
    </w:p>
  </w:endnote>
  <w:endnote w:type="continuationNotice" w:id="1">
    <w:p w:rsidR="00BF1977" w:rsidRDefault="00BF19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77" w:rsidRPr="00AA06DE" w:rsidRDefault="00BF1977" w:rsidP="00AA06DE">
    <w:pPr>
      <w:pStyle w:val="Footer"/>
      <w:tabs>
        <w:tab w:val="right" w:pos="9638"/>
      </w:tabs>
    </w:pPr>
    <w:r w:rsidRPr="00AA06DE">
      <w:rPr>
        <w:b/>
        <w:sz w:val="18"/>
      </w:rPr>
      <w:fldChar w:fldCharType="begin"/>
    </w:r>
    <w:r w:rsidRPr="00AA06DE">
      <w:rPr>
        <w:b/>
        <w:sz w:val="18"/>
      </w:rPr>
      <w:instrText xml:space="preserve"> PAGE  \* MERGEFORMAT </w:instrText>
    </w:r>
    <w:r w:rsidRPr="00AA06DE">
      <w:rPr>
        <w:b/>
        <w:sz w:val="18"/>
      </w:rPr>
      <w:fldChar w:fldCharType="separate"/>
    </w:r>
    <w:r w:rsidR="00FE1C21">
      <w:rPr>
        <w:b/>
        <w:noProof/>
        <w:sz w:val="18"/>
      </w:rPr>
      <w:t>18</w:t>
    </w:r>
    <w:r w:rsidRPr="00AA06DE">
      <w:rPr>
        <w:b/>
        <w:sz w:val="18"/>
      </w:rPr>
      <w:fldChar w:fldCharType="end"/>
    </w:r>
    <w:r>
      <w:rPr>
        <w:b/>
        <w:sz w:val="18"/>
      </w:rPr>
      <w:tab/>
    </w:r>
    <w:r>
      <w:t>GE.17-09633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77" w:rsidRPr="00AA06DE" w:rsidRDefault="00BF1977" w:rsidP="00AA06DE">
    <w:pPr>
      <w:pStyle w:val="Footer"/>
      <w:tabs>
        <w:tab w:val="right" w:pos="9638"/>
      </w:tabs>
      <w:rPr>
        <w:b/>
        <w:sz w:val="18"/>
      </w:rPr>
    </w:pPr>
    <w:r>
      <w:t>GE.17-09633</w:t>
    </w:r>
    <w:r>
      <w:tab/>
    </w:r>
    <w:r w:rsidRPr="00AA06DE">
      <w:rPr>
        <w:b/>
        <w:sz w:val="18"/>
      </w:rPr>
      <w:fldChar w:fldCharType="begin"/>
    </w:r>
    <w:r w:rsidRPr="00AA06DE">
      <w:rPr>
        <w:b/>
        <w:sz w:val="18"/>
      </w:rPr>
      <w:instrText xml:space="preserve"> PAGE  \* MERGEFORMAT </w:instrText>
    </w:r>
    <w:r w:rsidRPr="00AA06DE">
      <w:rPr>
        <w:b/>
        <w:sz w:val="18"/>
      </w:rPr>
      <w:fldChar w:fldCharType="separate"/>
    </w:r>
    <w:r w:rsidR="00FE1C21">
      <w:rPr>
        <w:b/>
        <w:noProof/>
        <w:sz w:val="18"/>
      </w:rPr>
      <w:t>17</w:t>
    </w:r>
    <w:r w:rsidRPr="00AA06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77" w:rsidRPr="00AA06DE" w:rsidRDefault="00BF1977" w:rsidP="00AA06DE">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17-09633  (F)    110717    120717</w:t>
    </w:r>
    <w:r>
      <w:rPr>
        <w:sz w:val="20"/>
      </w:rPr>
      <w:br/>
    </w:r>
    <w:r w:rsidRPr="00AA06DE">
      <w:rPr>
        <w:rFonts w:ascii="C39T30Lfz" w:hAnsi="C39T30Lfz"/>
        <w:sz w:val="56"/>
      </w:rPr>
      <w:t></w:t>
    </w:r>
    <w:r w:rsidRPr="00AA06DE">
      <w:rPr>
        <w:rFonts w:ascii="C39T30Lfz" w:hAnsi="C39T30Lfz"/>
        <w:sz w:val="56"/>
      </w:rPr>
      <w:t></w:t>
    </w:r>
    <w:r w:rsidRPr="00AA06DE">
      <w:rPr>
        <w:rFonts w:ascii="C39T30Lfz" w:hAnsi="C39T30Lfz"/>
        <w:sz w:val="56"/>
      </w:rPr>
      <w:t></w:t>
    </w:r>
    <w:r w:rsidRPr="00AA06DE">
      <w:rPr>
        <w:rFonts w:ascii="C39T30Lfz" w:hAnsi="C39T30Lfz"/>
        <w:sz w:val="56"/>
      </w:rPr>
      <w:t></w:t>
    </w:r>
    <w:r w:rsidRPr="00AA06DE">
      <w:rPr>
        <w:rFonts w:ascii="C39T30Lfz" w:hAnsi="C39T30Lfz"/>
        <w:sz w:val="56"/>
      </w:rPr>
      <w:t></w:t>
    </w:r>
    <w:r w:rsidRPr="00AA06DE">
      <w:rPr>
        <w:rFonts w:ascii="C39T30Lfz" w:hAnsi="C39T30Lfz"/>
        <w:sz w:val="56"/>
      </w:rPr>
      <w:t></w:t>
    </w:r>
    <w:r w:rsidRPr="00AA06DE">
      <w:rPr>
        <w:rFonts w:ascii="C39T30Lfz" w:hAnsi="C39T30Lfz"/>
        <w:sz w:val="56"/>
      </w:rPr>
      <w:t></w:t>
    </w:r>
    <w:r w:rsidRPr="00AA06DE">
      <w:rPr>
        <w:rFonts w:ascii="C39T30Lfz" w:hAnsi="C39T30Lfz"/>
        <w:sz w:val="56"/>
      </w:rPr>
      <w:t></w:t>
    </w:r>
    <w:r w:rsidRPr="00AA06DE">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7/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4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77" w:rsidRPr="00AC3823" w:rsidRDefault="00BF1977" w:rsidP="00AC3823">
      <w:pPr>
        <w:pStyle w:val="Footer"/>
        <w:tabs>
          <w:tab w:val="right" w:pos="2155"/>
        </w:tabs>
        <w:spacing w:after="80" w:line="240" w:lineRule="atLeast"/>
        <w:ind w:left="680"/>
        <w:rPr>
          <w:u w:val="single"/>
        </w:rPr>
      </w:pPr>
      <w:r>
        <w:rPr>
          <w:u w:val="single"/>
        </w:rPr>
        <w:tab/>
      </w:r>
    </w:p>
  </w:footnote>
  <w:footnote w:type="continuationSeparator" w:id="0">
    <w:p w:rsidR="00BF1977" w:rsidRPr="00AC3823" w:rsidRDefault="00BF1977" w:rsidP="00AC3823">
      <w:pPr>
        <w:pStyle w:val="Footer"/>
        <w:tabs>
          <w:tab w:val="right" w:pos="2155"/>
        </w:tabs>
        <w:spacing w:after="80" w:line="240" w:lineRule="atLeast"/>
        <w:ind w:left="680"/>
        <w:rPr>
          <w:u w:val="single"/>
        </w:rPr>
      </w:pPr>
      <w:r>
        <w:rPr>
          <w:u w:val="single"/>
        </w:rPr>
        <w:tab/>
      </w:r>
    </w:p>
  </w:footnote>
  <w:footnote w:type="continuationNotice" w:id="1">
    <w:p w:rsidR="00BF1977" w:rsidRPr="00AC3823" w:rsidRDefault="00BF1977">
      <w:pPr>
        <w:spacing w:line="240" w:lineRule="auto"/>
        <w:rPr>
          <w:sz w:val="2"/>
          <w:szCs w:val="2"/>
        </w:rPr>
      </w:pPr>
    </w:p>
  </w:footnote>
  <w:footnote w:id="2">
    <w:p w:rsidR="00BF1977" w:rsidRPr="001558CC" w:rsidRDefault="00BF1977" w:rsidP="005D6C6A">
      <w:pPr>
        <w:pStyle w:val="FootnoteText"/>
      </w:pPr>
      <w:r>
        <w:rPr>
          <w:rStyle w:val="FootnoteReference"/>
        </w:rPr>
        <w:tab/>
      </w:r>
      <w:r w:rsidRPr="00BB52CA">
        <w:rPr>
          <w:rStyle w:val="FootnoteReference"/>
          <w:sz w:val="20"/>
          <w:vertAlign w:val="baseline"/>
        </w:rPr>
        <w:t>*</w:t>
      </w:r>
      <w:r>
        <w:rPr>
          <w:rStyle w:val="FootnoteReference"/>
          <w:sz w:val="20"/>
        </w:rPr>
        <w:tab/>
      </w:r>
      <w:r w:rsidRPr="00806DF8">
        <w:t>Diffusée en langue allemande par la Commission centrale pour la navigation du Rhin sous la cote CCNR-ZKR/ADN/WP.15/AC.2/2017/47.</w:t>
      </w:r>
    </w:p>
  </w:footnote>
  <w:footnote w:id="3">
    <w:p w:rsidR="00BF1977" w:rsidRPr="001558CC" w:rsidRDefault="00BF1977" w:rsidP="005D6C6A">
      <w:pPr>
        <w:pStyle w:val="FootnoteText"/>
      </w:pPr>
      <w:r>
        <w:rPr>
          <w:rStyle w:val="FootnoteReference"/>
        </w:rPr>
        <w:tab/>
      </w:r>
      <w:r w:rsidRPr="00BB52CA">
        <w:rPr>
          <w:rStyle w:val="FootnoteReference"/>
          <w:sz w:val="20"/>
          <w:vertAlign w:val="baseline"/>
        </w:rPr>
        <w:t>**</w:t>
      </w:r>
      <w:r w:rsidRPr="000C7F75">
        <w:rPr>
          <w:rStyle w:val="FootnoteReference"/>
          <w:sz w:val="20"/>
          <w:lang w:val="fr-FR"/>
        </w:rPr>
        <w:tab/>
      </w:r>
      <w:r w:rsidRPr="000C7F75">
        <w:t>Conformément</w:t>
      </w:r>
      <w:r w:rsidRPr="00806DF8">
        <w:t xml:space="preserve"> au programme de travail du Comité des transports intérieurs pour la période 2016</w:t>
      </w:r>
      <w:r>
        <w:noBreakHyphen/>
      </w:r>
      <w:r w:rsidRPr="00806DF8">
        <w:t xml:space="preserve">2017 </w:t>
      </w:r>
      <w:r>
        <w:t>(</w:t>
      </w:r>
      <w:r w:rsidRPr="0078793E">
        <w:t>ECE/TRANS/2016/28/Add.1</w:t>
      </w:r>
      <w:r>
        <w:t>, module 9.3)</w:t>
      </w:r>
      <w:r w:rsidRPr="0078793E">
        <w:t>.</w:t>
      </w:r>
    </w:p>
  </w:footnote>
  <w:footnote w:id="4">
    <w:p w:rsidR="00BF1977" w:rsidRPr="00806DF8" w:rsidRDefault="00BF1977" w:rsidP="005D6C6A">
      <w:pPr>
        <w:pStyle w:val="FootnoteText"/>
      </w:pPr>
      <w:r>
        <w:tab/>
      </w:r>
      <w:r w:rsidRPr="00806DF8">
        <w:rPr>
          <w:rStyle w:val="FootnoteReference"/>
        </w:rPr>
        <w:footnoteRef/>
      </w:r>
      <w:r>
        <w:tab/>
      </w:r>
      <w:r w:rsidRPr="00E71D41">
        <w:t xml:space="preserve">Journal </w:t>
      </w:r>
      <w:r>
        <w:t>officiel de l’Union européenne</w:t>
      </w:r>
      <w:r w:rsidRPr="00E71D41">
        <w:t xml:space="preserve"> L 96/309</w:t>
      </w:r>
      <w:r>
        <w:t>, daté du 29 mars 2014.</w:t>
      </w:r>
    </w:p>
  </w:footnote>
  <w:footnote w:id="5">
    <w:p w:rsidR="00BF1977" w:rsidRPr="007D5B54" w:rsidRDefault="00BF1977" w:rsidP="005D6C6A">
      <w:pPr>
        <w:pStyle w:val="FootnoteText"/>
        <w:rPr>
          <w:lang w:val="en-US"/>
        </w:rPr>
      </w:pPr>
      <w:r>
        <w:tab/>
      </w:r>
      <w:r w:rsidRPr="00806DF8">
        <w:rPr>
          <w:rStyle w:val="FootnoteReference"/>
        </w:rPr>
        <w:footnoteRef/>
      </w:r>
      <w:r w:rsidRPr="00806DF8">
        <w:rPr>
          <w:lang w:val="en-US"/>
        </w:rPr>
        <w:tab/>
      </w:r>
      <w:r w:rsidRPr="00CB00FE">
        <w:rPr>
          <w:i/>
          <w:lang w:val="en-US"/>
        </w:rPr>
        <w:t>A common regulatory framework for equipment used in environments with an explosive atmosphere</w:t>
      </w:r>
      <w:r>
        <w:rPr>
          <w:lang w:val="en-US"/>
        </w:rPr>
        <w:t xml:space="preserve">, </w:t>
      </w:r>
      <w:proofErr w:type="spellStart"/>
      <w:r>
        <w:rPr>
          <w:lang w:val="en-US"/>
        </w:rPr>
        <w:t>Organisation</w:t>
      </w:r>
      <w:proofErr w:type="spellEnd"/>
      <w:r>
        <w:rPr>
          <w:lang w:val="en-US"/>
        </w:rPr>
        <w:t xml:space="preserve"> des N</w:t>
      </w:r>
      <w:r w:rsidRPr="007D5B54">
        <w:rPr>
          <w:lang w:val="en-US"/>
        </w:rPr>
        <w:t>ations</w:t>
      </w:r>
      <w:r>
        <w:rPr>
          <w:lang w:val="en-US"/>
        </w:rPr>
        <w:t xml:space="preserve"> </w:t>
      </w:r>
      <w:proofErr w:type="spellStart"/>
      <w:r>
        <w:rPr>
          <w:lang w:val="en-US"/>
        </w:rPr>
        <w:t>Unies</w:t>
      </w:r>
      <w:proofErr w:type="spellEnd"/>
      <w:r>
        <w:rPr>
          <w:lang w:val="en-US"/>
        </w:rPr>
        <w:t>,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77" w:rsidRPr="00AA06DE" w:rsidRDefault="00FE1C21">
    <w:pPr>
      <w:pStyle w:val="Header"/>
    </w:pPr>
    <w:r>
      <w:fldChar w:fldCharType="begin"/>
    </w:r>
    <w:r>
      <w:instrText xml:space="preserve"> TITLE  \* MERGEFORMAT </w:instrText>
    </w:r>
    <w:r>
      <w:fldChar w:fldCharType="separate"/>
    </w:r>
    <w:r>
      <w:t>ECE/TRANS/WP.15/AC.2/2017/47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77" w:rsidRPr="00AA06DE" w:rsidRDefault="00FE1C21" w:rsidP="00AA06DE">
    <w:pPr>
      <w:pStyle w:val="Header"/>
      <w:jc w:val="right"/>
    </w:pPr>
    <w:r>
      <w:fldChar w:fldCharType="begin"/>
    </w:r>
    <w:r>
      <w:instrText xml:space="preserve"> TITLE  \* MERGEFORMAT </w:instrText>
    </w:r>
    <w:r>
      <w:fldChar w:fldCharType="separate"/>
    </w:r>
    <w:r>
      <w:t>ECE/TRANS/WP.15/AC.2/2017/47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2429"/>
        </w:tabs>
        <w:ind w:left="2429" w:hanging="170"/>
      </w:pPr>
      <w:rPr>
        <w:rFonts w:ascii="Times New Roman" w:hAnsi="Times New Roman" w:cs="Times New Roman" w:hint="default"/>
        <w:b w:val="0"/>
        <w:i w:val="0"/>
        <w:sz w:val="20"/>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6"/>
  </w:num>
  <w:num w:numId="16">
    <w:abstractNumId w:val="14"/>
  </w:num>
  <w:num w:numId="17">
    <w:abstractNumId w:val="12"/>
  </w:num>
  <w:num w:numId="18">
    <w:abstractNumId w:val="18"/>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7C"/>
    <w:rsid w:val="000179DB"/>
    <w:rsid w:val="00017F94"/>
    <w:rsid w:val="00023842"/>
    <w:rsid w:val="000334F9"/>
    <w:rsid w:val="000409F4"/>
    <w:rsid w:val="0004341B"/>
    <w:rsid w:val="00045FEB"/>
    <w:rsid w:val="00053DBA"/>
    <w:rsid w:val="0007796D"/>
    <w:rsid w:val="00092F98"/>
    <w:rsid w:val="00095B33"/>
    <w:rsid w:val="000A5CEB"/>
    <w:rsid w:val="000B7790"/>
    <w:rsid w:val="000C15B1"/>
    <w:rsid w:val="00101C98"/>
    <w:rsid w:val="00111F2F"/>
    <w:rsid w:val="00112977"/>
    <w:rsid w:val="001165CD"/>
    <w:rsid w:val="00135AA6"/>
    <w:rsid w:val="0014365E"/>
    <w:rsid w:val="00143C66"/>
    <w:rsid w:val="00153B78"/>
    <w:rsid w:val="001742C8"/>
    <w:rsid w:val="00176178"/>
    <w:rsid w:val="001912A2"/>
    <w:rsid w:val="001933DE"/>
    <w:rsid w:val="001D3BD8"/>
    <w:rsid w:val="001F18FA"/>
    <w:rsid w:val="001F525A"/>
    <w:rsid w:val="0021340C"/>
    <w:rsid w:val="00223272"/>
    <w:rsid w:val="0024779E"/>
    <w:rsid w:val="00251244"/>
    <w:rsid w:val="00257168"/>
    <w:rsid w:val="00261BF5"/>
    <w:rsid w:val="002744B8"/>
    <w:rsid w:val="0028090F"/>
    <w:rsid w:val="002816D2"/>
    <w:rsid w:val="002832AC"/>
    <w:rsid w:val="002A501E"/>
    <w:rsid w:val="002B3870"/>
    <w:rsid w:val="002C4FB3"/>
    <w:rsid w:val="002D7C93"/>
    <w:rsid w:val="002E5E5E"/>
    <w:rsid w:val="003022F8"/>
    <w:rsid w:val="00303B60"/>
    <w:rsid w:val="00305801"/>
    <w:rsid w:val="00337B5A"/>
    <w:rsid w:val="003466EC"/>
    <w:rsid w:val="003916DE"/>
    <w:rsid w:val="003B3210"/>
    <w:rsid w:val="003C5900"/>
    <w:rsid w:val="003D170A"/>
    <w:rsid w:val="00441C3B"/>
    <w:rsid w:val="00446FE5"/>
    <w:rsid w:val="00450090"/>
    <w:rsid w:val="00452396"/>
    <w:rsid w:val="00452BEB"/>
    <w:rsid w:val="00461023"/>
    <w:rsid w:val="00463D70"/>
    <w:rsid w:val="004837D8"/>
    <w:rsid w:val="00493472"/>
    <w:rsid w:val="00496D22"/>
    <w:rsid w:val="004B3AA1"/>
    <w:rsid w:val="004B5034"/>
    <w:rsid w:val="004D2E81"/>
    <w:rsid w:val="004E468C"/>
    <w:rsid w:val="0051528A"/>
    <w:rsid w:val="005505B7"/>
    <w:rsid w:val="00570C19"/>
    <w:rsid w:val="00573BE5"/>
    <w:rsid w:val="00580BC7"/>
    <w:rsid w:val="00585009"/>
    <w:rsid w:val="00586ED3"/>
    <w:rsid w:val="0059593B"/>
    <w:rsid w:val="00596AA9"/>
    <w:rsid w:val="005A3CD7"/>
    <w:rsid w:val="005B2808"/>
    <w:rsid w:val="005D6C6A"/>
    <w:rsid w:val="005E647A"/>
    <w:rsid w:val="00660E48"/>
    <w:rsid w:val="00662FDB"/>
    <w:rsid w:val="006B1B9E"/>
    <w:rsid w:val="006E0CB2"/>
    <w:rsid w:val="006F2C72"/>
    <w:rsid w:val="006F6085"/>
    <w:rsid w:val="00706FB7"/>
    <w:rsid w:val="0071601D"/>
    <w:rsid w:val="00765B9E"/>
    <w:rsid w:val="00767EC0"/>
    <w:rsid w:val="00791BA7"/>
    <w:rsid w:val="0079691B"/>
    <w:rsid w:val="00797F2D"/>
    <w:rsid w:val="007A540D"/>
    <w:rsid w:val="007A62E6"/>
    <w:rsid w:val="007F20FA"/>
    <w:rsid w:val="007F21C9"/>
    <w:rsid w:val="007F3C08"/>
    <w:rsid w:val="0080684C"/>
    <w:rsid w:val="00812A9E"/>
    <w:rsid w:val="008635E2"/>
    <w:rsid w:val="00871306"/>
    <w:rsid w:val="00871C75"/>
    <w:rsid w:val="008776DC"/>
    <w:rsid w:val="00882236"/>
    <w:rsid w:val="008B2FFD"/>
    <w:rsid w:val="008D5BA2"/>
    <w:rsid w:val="008D634B"/>
    <w:rsid w:val="008D70B0"/>
    <w:rsid w:val="00907D96"/>
    <w:rsid w:val="0091165B"/>
    <w:rsid w:val="00911CE2"/>
    <w:rsid w:val="009446C0"/>
    <w:rsid w:val="0095646A"/>
    <w:rsid w:val="009705C8"/>
    <w:rsid w:val="009921A6"/>
    <w:rsid w:val="009A1118"/>
    <w:rsid w:val="009C1CF4"/>
    <w:rsid w:val="009E20C0"/>
    <w:rsid w:val="009F6B74"/>
    <w:rsid w:val="009F7B55"/>
    <w:rsid w:val="00A00809"/>
    <w:rsid w:val="00A30353"/>
    <w:rsid w:val="00A4462B"/>
    <w:rsid w:val="00A51105"/>
    <w:rsid w:val="00A66EA5"/>
    <w:rsid w:val="00A85D63"/>
    <w:rsid w:val="00AA06DE"/>
    <w:rsid w:val="00AC3823"/>
    <w:rsid w:val="00AC4FC2"/>
    <w:rsid w:val="00AD216B"/>
    <w:rsid w:val="00AE323C"/>
    <w:rsid w:val="00AE61B7"/>
    <w:rsid w:val="00AF0CB5"/>
    <w:rsid w:val="00B00181"/>
    <w:rsid w:val="00B00B0D"/>
    <w:rsid w:val="00B446DE"/>
    <w:rsid w:val="00B5438A"/>
    <w:rsid w:val="00B666C3"/>
    <w:rsid w:val="00B675D8"/>
    <w:rsid w:val="00B765F7"/>
    <w:rsid w:val="00B83428"/>
    <w:rsid w:val="00B85658"/>
    <w:rsid w:val="00BA0CA9"/>
    <w:rsid w:val="00BB52CA"/>
    <w:rsid w:val="00BB7EB7"/>
    <w:rsid w:val="00BC377D"/>
    <w:rsid w:val="00BF1977"/>
    <w:rsid w:val="00C02897"/>
    <w:rsid w:val="00C24EFE"/>
    <w:rsid w:val="00C4223F"/>
    <w:rsid w:val="00C565A2"/>
    <w:rsid w:val="00C6632C"/>
    <w:rsid w:val="00C97039"/>
    <w:rsid w:val="00CA1E63"/>
    <w:rsid w:val="00CB1BE1"/>
    <w:rsid w:val="00CC03F3"/>
    <w:rsid w:val="00CC6784"/>
    <w:rsid w:val="00D12DB9"/>
    <w:rsid w:val="00D2419D"/>
    <w:rsid w:val="00D33289"/>
    <w:rsid w:val="00D3439C"/>
    <w:rsid w:val="00D34EDF"/>
    <w:rsid w:val="00D965D7"/>
    <w:rsid w:val="00DB1831"/>
    <w:rsid w:val="00DB77B2"/>
    <w:rsid w:val="00DD3BFD"/>
    <w:rsid w:val="00DF097B"/>
    <w:rsid w:val="00DF6678"/>
    <w:rsid w:val="00E031C9"/>
    <w:rsid w:val="00E30AFC"/>
    <w:rsid w:val="00E63480"/>
    <w:rsid w:val="00E85C74"/>
    <w:rsid w:val="00EA00C6"/>
    <w:rsid w:val="00EA6547"/>
    <w:rsid w:val="00EB72B1"/>
    <w:rsid w:val="00EC00C8"/>
    <w:rsid w:val="00EF2E22"/>
    <w:rsid w:val="00F078F7"/>
    <w:rsid w:val="00F1061D"/>
    <w:rsid w:val="00F13E77"/>
    <w:rsid w:val="00F35BAF"/>
    <w:rsid w:val="00F6416B"/>
    <w:rsid w:val="00F660DF"/>
    <w:rsid w:val="00F94664"/>
    <w:rsid w:val="00F9573C"/>
    <w:rsid w:val="00F95C08"/>
    <w:rsid w:val="00FA297C"/>
    <w:rsid w:val="00FE17BD"/>
    <w:rsid w:val="00FE1C2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FF1154-4640-4056-832F-8D05818E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locked/>
    <w:rsid w:val="005D6C6A"/>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A51105"/>
    <w:rPr>
      <w:sz w:val="18"/>
      <w:szCs w:val="18"/>
      <w:vertAlign w:val="superscript"/>
    </w:rPr>
  </w:style>
  <w:style w:type="character" w:styleId="EndnoteReference">
    <w:name w:val="endnote reference"/>
    <w:aliases w:val="1_G"/>
    <w:basedOn w:val="FootnoteReference"/>
    <w:qFormat/>
    <w:rsid w:val="00023842"/>
    <w:rPr>
      <w:rFonts w:ascii="Times New Roman" w:hAnsi="Times New Roman"/>
      <w:sz w:val="18"/>
      <w:szCs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highlight">
    <w:name w:val="highlight"/>
    <w:basedOn w:val="DefaultParagraphFont"/>
    <w:rsid w:val="005D6C6A"/>
  </w:style>
  <w:style w:type="character" w:styleId="CommentReference">
    <w:name w:val="annotation reference"/>
    <w:rsid w:val="003022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1DAF-9B6C-4A77-8A7C-2CB657F7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7512</Words>
  <Characters>42821</Characters>
  <Application>Microsoft Office Word</Application>
  <DocSecurity>0</DocSecurity>
  <Lines>356</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ECE/TRANS/WP.15/AC.2/2017/47</vt:lpstr>
      <vt:lpstr>ECE/TRANS/WP.15/AC.2/2017/47</vt:lpstr>
    </vt:vector>
  </TitlesOfParts>
  <Company>DCM</Company>
  <LinksUpToDate>false</LinksUpToDate>
  <CharactersWithSpaces>50233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ECE/TRANS/WP.15/AC.2/2017/47</dc:title>
  <dc:subject/>
  <dc:creator>Nath VITTOZ</dc:creator>
  <cp:keywords/>
  <cp:lastModifiedBy>Marie-Claude Collet</cp:lastModifiedBy>
  <cp:revision>3</cp:revision>
  <cp:lastPrinted>2017-07-17T12:24:00Z</cp:lastPrinted>
  <dcterms:created xsi:type="dcterms:W3CDTF">2017-07-17T12:24:00Z</dcterms:created>
  <dcterms:modified xsi:type="dcterms:W3CDTF">2017-07-17T12:24:00Z</dcterms:modified>
</cp:coreProperties>
</file>