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4C1D76" w:rsidP="004C1D76">
            <w:pPr>
              <w:suppressAutoHyphens w:val="0"/>
              <w:spacing w:after="20"/>
              <w:jc w:val="right"/>
            </w:pPr>
            <w:r w:rsidRPr="004C1D76">
              <w:rPr>
                <w:sz w:val="40"/>
              </w:rPr>
              <w:t>ECE</w:t>
            </w:r>
            <w:r>
              <w:t>/TRANS/WP.15/AC.2/2017/25</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4C1D76" w:rsidP="004C1D76">
            <w:pPr>
              <w:suppressAutoHyphens w:val="0"/>
              <w:spacing w:before="240" w:line="240" w:lineRule="exact"/>
            </w:pPr>
            <w:r>
              <w:t>Distr.: General</w:t>
            </w:r>
          </w:p>
          <w:p w:rsidR="004C1D76" w:rsidRDefault="004C1D76" w:rsidP="004C1D76">
            <w:pPr>
              <w:suppressAutoHyphens w:val="0"/>
            </w:pPr>
            <w:r>
              <w:t>24 May 2017</w:t>
            </w:r>
          </w:p>
          <w:p w:rsidR="004C1D76" w:rsidRDefault="004C1D76" w:rsidP="004C1D76">
            <w:pPr>
              <w:suppressAutoHyphens w:val="0"/>
            </w:pPr>
            <w:r>
              <w:t>English</w:t>
            </w:r>
          </w:p>
          <w:p w:rsidR="004C1D76" w:rsidRDefault="004C1D76" w:rsidP="004C1D76">
            <w:pPr>
              <w:suppressAutoHyphens w:val="0"/>
            </w:pPr>
            <w:r>
              <w:t>Original: French</w:t>
            </w:r>
          </w:p>
        </w:tc>
      </w:tr>
    </w:tbl>
    <w:p w:rsidR="00DD3F02" w:rsidRDefault="00DD3F02">
      <w:pPr>
        <w:spacing w:before="120"/>
        <w:rPr>
          <w:b/>
          <w:sz w:val="28"/>
          <w:szCs w:val="28"/>
        </w:rPr>
      </w:pPr>
      <w:r>
        <w:rPr>
          <w:b/>
          <w:sz w:val="28"/>
          <w:szCs w:val="28"/>
        </w:rPr>
        <w:t>Economic Commission for Europe</w:t>
      </w:r>
    </w:p>
    <w:p w:rsidR="00DD3F02" w:rsidRDefault="00DD3F02">
      <w:pPr>
        <w:spacing w:before="120"/>
        <w:rPr>
          <w:sz w:val="28"/>
          <w:szCs w:val="28"/>
        </w:rPr>
      </w:pPr>
      <w:r>
        <w:rPr>
          <w:sz w:val="28"/>
          <w:szCs w:val="28"/>
        </w:rPr>
        <w:t>Inland Transport Committee</w:t>
      </w:r>
    </w:p>
    <w:p w:rsidR="004C1D76" w:rsidRDefault="00DD3F02" w:rsidP="00D3651E">
      <w:pPr>
        <w:spacing w:before="120"/>
        <w:rPr>
          <w:b/>
          <w:sz w:val="24"/>
          <w:szCs w:val="24"/>
        </w:rPr>
      </w:pPr>
      <w:r>
        <w:rPr>
          <w:b/>
          <w:sz w:val="24"/>
          <w:szCs w:val="24"/>
        </w:rPr>
        <w:t xml:space="preserve">Working Party on the Transport of </w:t>
      </w:r>
      <w:r w:rsidR="004C1D76" w:rsidRPr="00D3651E">
        <w:rPr>
          <w:b/>
          <w:sz w:val="24"/>
          <w:szCs w:val="24"/>
        </w:rPr>
        <w:t>Dangerous Goods</w:t>
      </w:r>
    </w:p>
    <w:p w:rsidR="004C1D76" w:rsidRPr="00D3651E" w:rsidRDefault="004C1D76" w:rsidP="00D3651E">
      <w:pPr>
        <w:spacing w:before="120"/>
        <w:rPr>
          <w:b/>
        </w:rPr>
      </w:pPr>
      <w:r w:rsidRPr="00D3651E">
        <w:rPr>
          <w:b/>
        </w:rPr>
        <w:t>Joint Meeting of Experts on the Regulations annexed to the</w:t>
      </w:r>
    </w:p>
    <w:p w:rsidR="004C1D76" w:rsidRPr="00D3651E" w:rsidRDefault="004C1D76" w:rsidP="004C1D76">
      <w:pPr>
        <w:rPr>
          <w:b/>
        </w:rPr>
      </w:pPr>
      <w:r w:rsidRPr="00D3651E">
        <w:rPr>
          <w:b/>
        </w:rPr>
        <w:t xml:space="preserve">European Agreement concerning the International Carriage </w:t>
      </w:r>
    </w:p>
    <w:p w:rsidR="004C1D76" w:rsidRPr="00D3651E" w:rsidRDefault="004C1D76" w:rsidP="004C1D76">
      <w:pPr>
        <w:rPr>
          <w:b/>
        </w:rPr>
      </w:pPr>
      <w:r w:rsidRPr="00D3651E">
        <w:rPr>
          <w:b/>
        </w:rPr>
        <w:t>of Dangerous Goods by Inland Waterways (ADN)</w:t>
      </w:r>
    </w:p>
    <w:p w:rsidR="004C1D76" w:rsidRPr="00D3651E" w:rsidRDefault="004C1D76" w:rsidP="004C1D76">
      <w:pPr>
        <w:rPr>
          <w:b/>
        </w:rPr>
      </w:pPr>
      <w:r w:rsidRPr="00D3651E">
        <w:rPr>
          <w:b/>
        </w:rPr>
        <w:t>(ADN) Safety Committee</w:t>
      </w:r>
    </w:p>
    <w:p w:rsidR="004C1D76" w:rsidRPr="00D3651E" w:rsidRDefault="004C1D76" w:rsidP="00D40E08">
      <w:pPr>
        <w:spacing w:before="120"/>
        <w:rPr>
          <w:b/>
        </w:rPr>
      </w:pPr>
      <w:r w:rsidRPr="00D3651E">
        <w:rPr>
          <w:b/>
        </w:rPr>
        <w:t>Thirty-first session</w:t>
      </w:r>
    </w:p>
    <w:p w:rsidR="004C1D76" w:rsidRDefault="004C1D76" w:rsidP="004C1D76">
      <w:r>
        <w:t>Geneva, 28-31 August 2017</w:t>
      </w:r>
    </w:p>
    <w:p w:rsidR="004C1D76" w:rsidRDefault="004C1D76" w:rsidP="004C1D76">
      <w:r>
        <w:t>Item 4 (b) of the provisional agenda</w:t>
      </w:r>
    </w:p>
    <w:p w:rsidR="004C1D76" w:rsidRPr="00D3651E" w:rsidRDefault="004C1D76" w:rsidP="004C1D76">
      <w:pPr>
        <w:rPr>
          <w:b/>
        </w:rPr>
      </w:pPr>
      <w:r w:rsidRPr="00D3651E">
        <w:rPr>
          <w:b/>
        </w:rPr>
        <w:t xml:space="preserve">Proposals for amendments to the Regulations annexed to ADN: </w:t>
      </w:r>
    </w:p>
    <w:p w:rsidR="007268F9" w:rsidRDefault="004C1D76" w:rsidP="004C1D76">
      <w:pPr>
        <w:rPr>
          <w:b/>
        </w:rPr>
      </w:pPr>
      <w:r w:rsidRPr="00D3651E">
        <w:rPr>
          <w:b/>
        </w:rPr>
        <w:t>Other proposals</w:t>
      </w:r>
    </w:p>
    <w:p w:rsidR="00D40E08" w:rsidRPr="00B32417" w:rsidRDefault="00D40E08" w:rsidP="00D40E08">
      <w:pPr>
        <w:pStyle w:val="HChG"/>
      </w:pPr>
      <w:r>
        <w:tab/>
      </w:r>
      <w:r>
        <w:tab/>
      </w:r>
      <w:r w:rsidRPr="00B32417">
        <w:t>7.1.5.4.1 and 7.2.5.4.1 of ADN, Berthing</w:t>
      </w:r>
    </w:p>
    <w:p w:rsidR="00D40E08" w:rsidRDefault="00D40E08" w:rsidP="00D40E08">
      <w:pPr>
        <w:pStyle w:val="H1G"/>
        <w:rPr>
          <w:b w:val="0"/>
          <w:sz w:val="20"/>
        </w:rPr>
      </w:pPr>
      <w:r w:rsidRPr="00B32417">
        <w:tab/>
      </w:r>
      <w:r w:rsidRPr="00B32417">
        <w:tab/>
        <w:t>Transmitted by the Government of Germany</w:t>
      </w:r>
      <w:r w:rsidR="00933668" w:rsidRPr="00933668">
        <w:rPr>
          <w:rStyle w:val="FootnoteReference"/>
          <w:b w:val="0"/>
          <w:sz w:val="20"/>
          <w:vertAlign w:val="baseline"/>
        </w:rPr>
        <w:footnoteReference w:customMarkFollows="1" w:id="1"/>
        <w:t>*</w:t>
      </w:r>
      <w:r w:rsidRPr="006E7218">
        <w:rPr>
          <w:b w:val="0"/>
          <w:position w:val="8"/>
        </w:rPr>
        <w:t>,</w:t>
      </w:r>
      <w:r w:rsidR="00933668">
        <w:rPr>
          <w:b w:val="0"/>
          <w:position w:val="8"/>
        </w:rPr>
        <w:t xml:space="preserve"> </w:t>
      </w:r>
      <w:r w:rsidRPr="00CF395F">
        <w:rPr>
          <w:b w:val="0"/>
          <w:sz w:val="20"/>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6E7218" w:rsidTr="006E7218">
        <w:trPr>
          <w:jc w:val="center"/>
        </w:trPr>
        <w:tc>
          <w:tcPr>
            <w:tcW w:w="9637" w:type="dxa"/>
            <w:tcBorders>
              <w:bottom w:val="nil"/>
            </w:tcBorders>
          </w:tcPr>
          <w:p w:rsidR="006E7218" w:rsidRPr="006E7218" w:rsidRDefault="006E7218" w:rsidP="006E7218">
            <w:pPr>
              <w:tabs>
                <w:tab w:val="left" w:pos="255"/>
              </w:tabs>
              <w:suppressAutoHyphens w:val="0"/>
              <w:spacing w:before="240" w:after="120"/>
              <w:rPr>
                <w:sz w:val="24"/>
              </w:rPr>
            </w:pPr>
            <w:r>
              <w:tab/>
            </w:r>
            <w:r>
              <w:rPr>
                <w:i/>
                <w:sz w:val="24"/>
              </w:rPr>
              <w:t>Summary</w:t>
            </w:r>
          </w:p>
        </w:tc>
      </w:tr>
      <w:tr w:rsidR="006E7218" w:rsidTr="006E7218">
        <w:trPr>
          <w:jc w:val="center"/>
        </w:trPr>
        <w:tc>
          <w:tcPr>
            <w:tcW w:w="9637" w:type="dxa"/>
            <w:tcBorders>
              <w:top w:val="nil"/>
              <w:bottom w:val="nil"/>
            </w:tcBorders>
            <w:shd w:val="clear" w:color="auto" w:fill="auto"/>
          </w:tcPr>
          <w:p w:rsidR="006E7218" w:rsidRDefault="006E7218" w:rsidP="003E00F9">
            <w:pPr>
              <w:pStyle w:val="SingleTxtG"/>
              <w:ind w:left="3402" w:hanging="2268"/>
            </w:pPr>
            <w:r w:rsidRPr="004078A6">
              <w:rPr>
                <w:b/>
              </w:rPr>
              <w:t>Executive summary</w:t>
            </w:r>
            <w:r w:rsidRPr="006E7218">
              <w:t>:</w:t>
            </w:r>
            <w:r w:rsidRPr="006E7218">
              <w:tab/>
              <w:t>The wording of 7.1.5.4.1 and 7.2.5.4.1 differs, although (in the view of the German delegation) their content should be identical.</w:t>
            </w:r>
          </w:p>
        </w:tc>
      </w:tr>
      <w:tr w:rsidR="006E7218" w:rsidTr="004078A6">
        <w:trPr>
          <w:jc w:val="center"/>
        </w:trPr>
        <w:tc>
          <w:tcPr>
            <w:tcW w:w="9637" w:type="dxa"/>
            <w:tcBorders>
              <w:top w:val="nil"/>
              <w:bottom w:val="nil"/>
            </w:tcBorders>
          </w:tcPr>
          <w:p w:rsidR="006E7218" w:rsidRDefault="004078A6" w:rsidP="004078A6">
            <w:pPr>
              <w:pStyle w:val="SingleTxtG"/>
            </w:pPr>
            <w:r w:rsidRPr="004078A6">
              <w:rPr>
                <w:b/>
              </w:rPr>
              <w:t>Action to be taken</w:t>
            </w:r>
            <w:r w:rsidRPr="004078A6">
              <w:t>:</w:t>
            </w:r>
            <w:r w:rsidRPr="004078A6">
              <w:tab/>
            </w:r>
            <w:r w:rsidR="003E00F9">
              <w:tab/>
            </w:r>
            <w:r w:rsidRPr="004078A6">
              <w:t>Harmonization of 7.1.5.4.1 and 7.2.5.4.1</w:t>
            </w:r>
          </w:p>
        </w:tc>
      </w:tr>
      <w:tr w:rsidR="004078A6" w:rsidTr="004078A6">
        <w:trPr>
          <w:jc w:val="center"/>
        </w:trPr>
        <w:tc>
          <w:tcPr>
            <w:tcW w:w="9637" w:type="dxa"/>
            <w:tcBorders>
              <w:top w:val="nil"/>
              <w:bottom w:val="nil"/>
            </w:tcBorders>
          </w:tcPr>
          <w:p w:rsidR="004078A6" w:rsidRDefault="004078A6" w:rsidP="004078A6">
            <w:pPr>
              <w:pStyle w:val="SingleTxtG"/>
            </w:pPr>
            <w:r w:rsidRPr="004078A6">
              <w:rPr>
                <w:b/>
              </w:rPr>
              <w:t>Related documents</w:t>
            </w:r>
            <w:r w:rsidRPr="004078A6">
              <w:t>:</w:t>
            </w:r>
            <w:r w:rsidRPr="004078A6">
              <w:tab/>
            </w:r>
            <w:r w:rsidR="003E00F9">
              <w:tab/>
            </w:r>
            <w:r w:rsidRPr="004078A6">
              <w:t>None</w:t>
            </w:r>
          </w:p>
        </w:tc>
      </w:tr>
      <w:tr w:rsidR="004078A6" w:rsidTr="006E7218">
        <w:trPr>
          <w:jc w:val="center"/>
        </w:trPr>
        <w:tc>
          <w:tcPr>
            <w:tcW w:w="9637" w:type="dxa"/>
            <w:tcBorders>
              <w:top w:val="nil"/>
            </w:tcBorders>
          </w:tcPr>
          <w:p w:rsidR="004078A6" w:rsidRDefault="004078A6" w:rsidP="006E7218">
            <w:pPr>
              <w:suppressAutoHyphens w:val="0"/>
            </w:pPr>
          </w:p>
        </w:tc>
      </w:tr>
    </w:tbl>
    <w:p w:rsidR="00D40E08" w:rsidRPr="00B32417" w:rsidRDefault="00D40E08" w:rsidP="003E00F9">
      <w:pPr>
        <w:pStyle w:val="HChG"/>
      </w:pPr>
      <w:r w:rsidRPr="00B32417">
        <w:tab/>
        <w:t>I.</w:t>
      </w:r>
      <w:r w:rsidRPr="00B32417">
        <w:tab/>
        <w:t>Introduction</w:t>
      </w:r>
    </w:p>
    <w:p w:rsidR="00D40E08" w:rsidRPr="00B32417" w:rsidRDefault="00D40E08" w:rsidP="003E00F9">
      <w:pPr>
        <w:pStyle w:val="SingleTxtG"/>
      </w:pPr>
      <w:r w:rsidRPr="00B32417">
        <w:t>1.</w:t>
      </w:r>
      <w:r w:rsidRPr="00B32417">
        <w:tab/>
        <w:t>Relevant provisions:</w:t>
      </w:r>
    </w:p>
    <w:p w:rsidR="00D40E08" w:rsidRPr="00B32417" w:rsidRDefault="00D40E08" w:rsidP="003E00F9">
      <w:pPr>
        <w:pStyle w:val="SingleTxtG"/>
        <w:ind w:left="1701"/>
      </w:pPr>
      <w:r w:rsidRPr="00B32417">
        <w:t>“</w:t>
      </w:r>
      <w:r w:rsidRPr="003E00F9">
        <w:rPr>
          <w:b/>
        </w:rPr>
        <w:t>7.1.5.4</w:t>
      </w:r>
      <w:r w:rsidRPr="003E00F9">
        <w:rPr>
          <w:b/>
        </w:rPr>
        <w:tab/>
        <w:t>Berthing</w:t>
      </w:r>
    </w:p>
    <w:p w:rsidR="00D40E08" w:rsidRPr="00B32417" w:rsidRDefault="00D40E08" w:rsidP="003E00F9">
      <w:pPr>
        <w:pStyle w:val="SingleTxtG"/>
        <w:ind w:left="1701"/>
      </w:pPr>
      <w:r w:rsidRPr="00B32417">
        <w:lastRenderedPageBreak/>
        <w:t>7.1.5.4.1</w:t>
      </w:r>
      <w:r w:rsidRPr="00B32417">
        <w:tab/>
        <w:t>The distances to be kept by vessels carrying dangerous goods at berth from other vessels shall not be less than the distance prescribed by the European Code for Inland Waterways (CEVNI).”</w:t>
      </w:r>
    </w:p>
    <w:p w:rsidR="00D40E08" w:rsidRPr="00B32417" w:rsidRDefault="00D40E08" w:rsidP="003E00F9">
      <w:pPr>
        <w:pStyle w:val="SingleTxtG"/>
        <w:ind w:left="1701"/>
      </w:pPr>
      <w:r w:rsidRPr="00B32417">
        <w:t>“</w:t>
      </w:r>
      <w:r w:rsidRPr="003E00F9">
        <w:rPr>
          <w:b/>
        </w:rPr>
        <w:t>7.2.5.4</w:t>
      </w:r>
      <w:r w:rsidRPr="003E00F9">
        <w:rPr>
          <w:b/>
        </w:rPr>
        <w:tab/>
        <w:t>Berthing</w:t>
      </w:r>
    </w:p>
    <w:p w:rsidR="00D40E08" w:rsidRPr="00B32417" w:rsidRDefault="00D40E08" w:rsidP="003E00F9">
      <w:pPr>
        <w:pStyle w:val="SingleTxtG"/>
        <w:ind w:left="1701"/>
      </w:pPr>
      <w:r w:rsidRPr="00B32417">
        <w:t>7.2.5.4.1</w:t>
      </w:r>
      <w:r w:rsidRPr="00B32417">
        <w:tab/>
        <w:t>The distances from other vessels to be kept by berthed vessels carrying dangerous goods shall be not less than those prescribed by the Regulations referred to in 1.1.4.6.”</w:t>
      </w:r>
    </w:p>
    <w:p w:rsidR="00D40E08" w:rsidRPr="00B32417" w:rsidRDefault="00D40E08" w:rsidP="003E00F9">
      <w:pPr>
        <w:pStyle w:val="SingleTxtG"/>
      </w:pPr>
      <w:r w:rsidRPr="00B32417">
        <w:t>2.</w:t>
      </w:r>
      <w:r w:rsidRPr="00B32417">
        <w:tab/>
        <w:t>Subsection 1.1.4.6 of ADN refers to the “local, regional or international requirements generally applicable to the carri</w:t>
      </w:r>
      <w:r w:rsidR="009570C2">
        <w:t>age of goods by inland waterway”</w:t>
      </w:r>
      <w:r w:rsidRPr="00B32417">
        <w:t>.</w:t>
      </w:r>
    </w:p>
    <w:p w:rsidR="00D40E08" w:rsidRPr="00B32417" w:rsidRDefault="00D40E08" w:rsidP="003E00F9">
      <w:pPr>
        <w:pStyle w:val="SingleTxtG"/>
      </w:pPr>
      <w:r w:rsidRPr="00B32417">
        <w:t>3.</w:t>
      </w:r>
      <w:r w:rsidRPr="00B32417">
        <w:tab/>
        <w:t>The German delegation does not know whether the distinction between the two paragraphs has been made deliberately.</w:t>
      </w:r>
    </w:p>
    <w:p w:rsidR="00D40E08" w:rsidRPr="00B32417" w:rsidRDefault="00D40E08" w:rsidP="003E00F9">
      <w:pPr>
        <w:pStyle w:val="SingleTxtG"/>
      </w:pPr>
      <w:r w:rsidRPr="00B32417">
        <w:t>4.</w:t>
      </w:r>
      <w:r w:rsidRPr="00B32417">
        <w:tab/>
        <w:t>It is not specified whether CEVNI is included among the “international requirements generally applicable to the carriage of goods by inland waterway” mentioned in 1.1.4.6.</w:t>
      </w:r>
    </w:p>
    <w:p w:rsidR="00D40E08" w:rsidRPr="00B32417" w:rsidRDefault="00D40E08" w:rsidP="003E00F9">
      <w:pPr>
        <w:pStyle w:val="SingleTxtG"/>
      </w:pPr>
      <w:r w:rsidRPr="00B32417">
        <w:t>5.</w:t>
      </w:r>
      <w:r w:rsidRPr="00B32417">
        <w:tab/>
        <w:t>The discrepancy gives rise to concerns that different minimum distances could be applied for dry cargo vessels and tank vessels, depending on whether CEVNI or local regulations apply. This might complicate the task of the competent authorities.</w:t>
      </w:r>
    </w:p>
    <w:p w:rsidR="00D40E08" w:rsidRPr="00B32417" w:rsidRDefault="00D40E08" w:rsidP="003E00F9">
      <w:pPr>
        <w:pStyle w:val="HChG"/>
      </w:pPr>
      <w:r w:rsidRPr="00B32417">
        <w:tab/>
        <w:t>II.</w:t>
      </w:r>
      <w:r w:rsidRPr="00B32417">
        <w:tab/>
        <w:t>Proposal</w:t>
      </w:r>
    </w:p>
    <w:p w:rsidR="00D40E08" w:rsidRPr="00B32417" w:rsidRDefault="00D40E08" w:rsidP="003E00F9">
      <w:pPr>
        <w:pStyle w:val="SingleTxtG"/>
      </w:pPr>
      <w:r w:rsidRPr="00B32417">
        <w:t>6.</w:t>
      </w:r>
      <w:r w:rsidRPr="00B32417">
        <w:tab/>
        <w:t>Amend 7.2.5.4.1 of ADN to read as follows:</w:t>
      </w:r>
    </w:p>
    <w:p w:rsidR="00D40E08" w:rsidRPr="00B32417" w:rsidRDefault="00D40E08" w:rsidP="00E14FB4">
      <w:pPr>
        <w:pStyle w:val="SingleTxtG"/>
        <w:ind w:left="1701"/>
      </w:pPr>
      <w:r w:rsidRPr="00B32417">
        <w:t>“7.2.5.4.1</w:t>
      </w:r>
      <w:r w:rsidRPr="00B32417">
        <w:tab/>
        <w:t xml:space="preserve">The distances from other vessels to be kept by berthed vessels carrying dangerous goods shall be not less than those prescribed by </w:t>
      </w:r>
      <w:r w:rsidRPr="00E14FB4">
        <w:rPr>
          <w:strike/>
        </w:rPr>
        <w:t xml:space="preserve">the Regulations referred to in 1.1.4.6. </w:t>
      </w:r>
      <w:r w:rsidRPr="00E14FB4">
        <w:rPr>
          <w:u w:val="single"/>
        </w:rPr>
        <w:t>the European Code for Inland Waterways (CEVNI)</w:t>
      </w:r>
      <w:r w:rsidRPr="00B32417">
        <w:t>.”</w:t>
      </w:r>
    </w:p>
    <w:p w:rsidR="00D40E08" w:rsidRPr="00B32417" w:rsidRDefault="00D40E08" w:rsidP="003E00F9">
      <w:pPr>
        <w:pStyle w:val="SingleTxtG"/>
      </w:pPr>
      <w:r w:rsidRPr="00B32417">
        <w:t>7.</w:t>
      </w:r>
      <w:r w:rsidRPr="00B32417">
        <w:tab/>
        <w:t>ADN refers to CEVNI in the following sections and subsections:</w:t>
      </w:r>
    </w:p>
    <w:p w:rsidR="00D40E08" w:rsidRPr="00B32417" w:rsidRDefault="00D40E08" w:rsidP="00BB3AA1">
      <w:pPr>
        <w:pStyle w:val="Bullet1G"/>
      </w:pPr>
      <w:r w:rsidRPr="00B32417">
        <w:t>1.2.1 “Master”</w:t>
      </w:r>
    </w:p>
    <w:p w:rsidR="00D40E08" w:rsidRPr="00B32417" w:rsidRDefault="00D40E08" w:rsidP="00BB3AA1">
      <w:pPr>
        <w:pStyle w:val="Bullet1G"/>
      </w:pPr>
      <w:r w:rsidRPr="00B32417">
        <w:t>7.1.5.0.1</w:t>
      </w:r>
    </w:p>
    <w:p w:rsidR="00D40E08" w:rsidRPr="00B32417" w:rsidRDefault="00D40E08" w:rsidP="00BB3AA1">
      <w:pPr>
        <w:pStyle w:val="Bullet1G"/>
      </w:pPr>
      <w:r w:rsidRPr="00B32417">
        <w:t>7.1.5.0.5</w:t>
      </w:r>
    </w:p>
    <w:p w:rsidR="00D40E08" w:rsidRPr="00B32417" w:rsidRDefault="00D40E08" w:rsidP="00BB3AA1">
      <w:pPr>
        <w:pStyle w:val="Bullet1G"/>
      </w:pPr>
      <w:r w:rsidRPr="00B32417">
        <w:t>7.2.5.0.1</w:t>
      </w:r>
    </w:p>
    <w:p w:rsidR="00D40E08" w:rsidRPr="00B32417" w:rsidRDefault="00D40E08" w:rsidP="00BB3AA1">
      <w:pPr>
        <w:pStyle w:val="Bullet1G"/>
      </w:pPr>
      <w:r w:rsidRPr="00B32417">
        <w:t>7.2.5.0.3</w:t>
      </w:r>
    </w:p>
    <w:p w:rsidR="00D40E08" w:rsidRPr="00B32417" w:rsidRDefault="00D40E08" w:rsidP="00BB3AA1">
      <w:pPr>
        <w:pStyle w:val="Bullet1G"/>
      </w:pPr>
      <w:r w:rsidRPr="00B32417">
        <w:t>8.1.2.6</w:t>
      </w:r>
    </w:p>
    <w:p w:rsidR="00D40E08" w:rsidRPr="00B32417" w:rsidRDefault="00D40E08" w:rsidP="00BB3AA1">
      <w:pPr>
        <w:pStyle w:val="Bullet1G"/>
      </w:pPr>
      <w:r w:rsidRPr="00B32417">
        <w:t>8.1.2.7</w:t>
      </w:r>
    </w:p>
    <w:p w:rsidR="00D40E08" w:rsidRPr="00B32417" w:rsidRDefault="00D40E08" w:rsidP="00BB3AA1">
      <w:pPr>
        <w:pStyle w:val="Bullet1G"/>
      </w:pPr>
      <w:r w:rsidRPr="00B32417">
        <w:t>8.2.2.7.1.6</w:t>
      </w:r>
    </w:p>
    <w:p w:rsidR="00D40E08" w:rsidRPr="00B32417" w:rsidRDefault="00D40E08" w:rsidP="003E00F9">
      <w:pPr>
        <w:pStyle w:val="SingleTxtG"/>
      </w:pPr>
      <w:r w:rsidRPr="00B32417">
        <w:t>8.</w:t>
      </w:r>
      <w:r w:rsidRPr="00B32417">
        <w:tab/>
        <w:t>ADN refers to 1.1.4.6 in the following sections and subsections:</w:t>
      </w:r>
    </w:p>
    <w:p w:rsidR="00D40E08" w:rsidRPr="00B32417" w:rsidRDefault="00D40E08" w:rsidP="00BB3AA1">
      <w:pPr>
        <w:pStyle w:val="Bullet1G"/>
      </w:pPr>
      <w:r w:rsidRPr="00B32417">
        <w:t>7.x.4.76</w:t>
      </w:r>
    </w:p>
    <w:p w:rsidR="00D40E08" w:rsidRPr="00B32417" w:rsidRDefault="00D40E08" w:rsidP="00BB3AA1">
      <w:pPr>
        <w:pStyle w:val="Bullet1G"/>
      </w:pPr>
      <w:r w:rsidRPr="00B32417">
        <w:t>7.x.5.8.1</w:t>
      </w:r>
    </w:p>
    <w:p w:rsidR="00D40E08" w:rsidRPr="00B32417" w:rsidRDefault="00D40E08" w:rsidP="00BB3AA1">
      <w:pPr>
        <w:pStyle w:val="Bullet1G"/>
      </w:pPr>
      <w:r w:rsidRPr="00B32417">
        <w:t>7.2.3.29.1</w:t>
      </w:r>
    </w:p>
    <w:p w:rsidR="00D40E08" w:rsidRPr="00B32417" w:rsidRDefault="00D40E08" w:rsidP="00BB3AA1">
      <w:pPr>
        <w:pStyle w:val="Bullet1G"/>
      </w:pPr>
      <w:r w:rsidRPr="00B32417">
        <w:t>7.2.4.15.1</w:t>
      </w:r>
    </w:p>
    <w:p w:rsidR="00D40E08" w:rsidRPr="00B32417" w:rsidRDefault="00D40E08" w:rsidP="00BB3AA1">
      <w:pPr>
        <w:pStyle w:val="Bullet1G"/>
      </w:pPr>
      <w:r w:rsidRPr="00B32417">
        <w:t>7.2.5.4.1</w:t>
      </w:r>
    </w:p>
    <w:p w:rsidR="00D40E08" w:rsidRPr="00B32417" w:rsidRDefault="00D40E08" w:rsidP="00BB3AA1">
      <w:pPr>
        <w:pStyle w:val="Bullet1G"/>
      </w:pPr>
      <w:r w:rsidRPr="00B32417">
        <w:t>8.1.4</w:t>
      </w:r>
    </w:p>
    <w:p w:rsidR="00D40E08" w:rsidRPr="00B32417" w:rsidRDefault="00D40E08" w:rsidP="00BB3AA1">
      <w:pPr>
        <w:pStyle w:val="Bullet1G"/>
      </w:pPr>
      <w:r w:rsidRPr="00B32417">
        <w:t>9.x.0.94.2</w:t>
      </w:r>
    </w:p>
    <w:p w:rsidR="00D40E08" w:rsidRPr="00B32417" w:rsidRDefault="00D40E08" w:rsidP="00BB3AA1">
      <w:pPr>
        <w:pStyle w:val="Bullet1G"/>
      </w:pPr>
      <w:r w:rsidRPr="00B32417">
        <w:t>9.3.x.50.1</w:t>
      </w:r>
    </w:p>
    <w:p w:rsidR="00D40E08" w:rsidRPr="00B32417" w:rsidRDefault="00D40E08" w:rsidP="003E00F9">
      <w:pPr>
        <w:pStyle w:val="SingleTxtG"/>
      </w:pPr>
      <w:r w:rsidRPr="00B32417">
        <w:t>9.</w:t>
      </w:r>
      <w:r w:rsidRPr="00B32417">
        <w:tab/>
        <w:t>The German delegation does not see any logical system in the references. The ADN Safety Committee could consider the possibility of harmonizing them or explaining the reasons for the differences.</w:t>
      </w:r>
    </w:p>
    <w:p w:rsidR="00D40E08" w:rsidRPr="00B32417" w:rsidRDefault="00D40E08" w:rsidP="00BB3AA1">
      <w:pPr>
        <w:pStyle w:val="HChG"/>
      </w:pPr>
      <w:r w:rsidRPr="00B32417">
        <w:lastRenderedPageBreak/>
        <w:tab/>
        <w:t>III.</w:t>
      </w:r>
      <w:r w:rsidRPr="00B32417">
        <w:tab/>
        <w:t>Justification</w:t>
      </w:r>
    </w:p>
    <w:p w:rsidR="00D40E08" w:rsidRPr="00B32417" w:rsidRDefault="00D40E08" w:rsidP="003E00F9">
      <w:pPr>
        <w:pStyle w:val="SingleTxtG"/>
      </w:pPr>
      <w:r w:rsidRPr="00B32417">
        <w:t>10.</w:t>
      </w:r>
      <w:r w:rsidRPr="00B32417">
        <w:tab/>
        <w:t>We see no material grounds for subjecting dry cargo vessels and tank vessels to different requirements in respect of minimum distances. That being the case, this amendment simplifies application by the competent authority.</w:t>
      </w:r>
    </w:p>
    <w:p w:rsidR="00D40E08" w:rsidRPr="00B32417" w:rsidRDefault="00D40E08" w:rsidP="003E00F9">
      <w:pPr>
        <w:pStyle w:val="SingleTxtG"/>
      </w:pPr>
      <w:r w:rsidRPr="00B32417">
        <w:t>11.</w:t>
      </w:r>
      <w:r w:rsidRPr="00B32417">
        <w:tab/>
        <w:t>As an international agreement, ADN should prioritize references to other international agreements concluded at the same level.</w:t>
      </w:r>
    </w:p>
    <w:p w:rsidR="00D40E08" w:rsidRPr="00B32417" w:rsidRDefault="00D40E08" w:rsidP="00BB3AA1">
      <w:pPr>
        <w:pStyle w:val="HChG"/>
      </w:pPr>
      <w:r w:rsidRPr="00B32417">
        <w:tab/>
        <w:t>IV.</w:t>
      </w:r>
      <w:r w:rsidRPr="00B32417">
        <w:tab/>
        <w:t>Safety</w:t>
      </w:r>
    </w:p>
    <w:p w:rsidR="00D40E08" w:rsidRPr="00B32417" w:rsidRDefault="00D40E08" w:rsidP="003E00F9">
      <w:pPr>
        <w:pStyle w:val="SingleTxtG"/>
      </w:pPr>
      <w:r w:rsidRPr="00B32417">
        <w:t>12.</w:t>
      </w:r>
      <w:r w:rsidRPr="00B32417">
        <w:tab/>
        <w:t>This amendment does not affect transport safety or make changes to minimum distances, at least in Germany. CEVNI and other applicable national provisions include the same minimum distances.</w:t>
      </w:r>
    </w:p>
    <w:p w:rsidR="00D40E08" w:rsidRPr="00B32417" w:rsidRDefault="00D40E08" w:rsidP="00BB3AA1">
      <w:pPr>
        <w:pStyle w:val="HChG"/>
      </w:pPr>
      <w:r w:rsidRPr="00B32417">
        <w:tab/>
        <w:t>V.</w:t>
      </w:r>
      <w:r w:rsidRPr="00B32417">
        <w:tab/>
        <w:t>Implementation</w:t>
      </w:r>
    </w:p>
    <w:p w:rsidR="00D40E08" w:rsidRPr="00B32417" w:rsidRDefault="00D40E08" w:rsidP="003E00F9">
      <w:pPr>
        <w:pStyle w:val="SingleTxtG"/>
      </w:pPr>
      <w:r w:rsidRPr="00B32417">
        <w:t>13.</w:t>
      </w:r>
      <w:r w:rsidRPr="00B32417">
        <w:tab/>
        <w:t>This amendment would not imply any technical adaptation, investment by the sector or constraint upon the authorities. The absence of a distinction between dry cargo vessels and tank vessels would facilitate the application of ADN.</w:t>
      </w:r>
    </w:p>
    <w:p w:rsidR="007B166D" w:rsidRPr="00106A43" w:rsidRDefault="007B166D">
      <w:pPr>
        <w:spacing w:before="240"/>
        <w:jc w:val="center"/>
        <w:rPr>
          <w:u w:val="single"/>
        </w:rPr>
      </w:pPr>
      <w:r>
        <w:rPr>
          <w:u w:val="single"/>
        </w:rPr>
        <w:tab/>
      </w:r>
      <w:r>
        <w:rPr>
          <w:u w:val="single"/>
        </w:rPr>
        <w:tab/>
      </w:r>
      <w:r>
        <w:rPr>
          <w:u w:val="single"/>
        </w:rPr>
        <w:tab/>
      </w:r>
    </w:p>
    <w:sectPr w:rsidR="007B166D" w:rsidRPr="00106A43" w:rsidSect="004C1D7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DCB" w:rsidRPr="00FB1744" w:rsidRDefault="00145DCB" w:rsidP="00FB1744">
      <w:pPr>
        <w:pStyle w:val="Footer"/>
      </w:pPr>
    </w:p>
  </w:endnote>
  <w:endnote w:type="continuationSeparator" w:id="0">
    <w:p w:rsidR="00145DCB" w:rsidRPr="00FB1744" w:rsidRDefault="00145DC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76" w:rsidRPr="004C1D76" w:rsidRDefault="004C1D76" w:rsidP="004C1D76">
    <w:pPr>
      <w:pStyle w:val="Footer"/>
      <w:tabs>
        <w:tab w:val="right" w:pos="9598"/>
      </w:tabs>
    </w:pPr>
    <w:r w:rsidRPr="004C1D76">
      <w:rPr>
        <w:b/>
        <w:sz w:val="18"/>
      </w:rPr>
      <w:fldChar w:fldCharType="begin"/>
    </w:r>
    <w:r w:rsidRPr="004C1D76">
      <w:rPr>
        <w:b/>
        <w:sz w:val="18"/>
      </w:rPr>
      <w:instrText xml:space="preserve"> PAGE  \* MERGEFORMAT </w:instrText>
    </w:r>
    <w:r w:rsidRPr="004C1D76">
      <w:rPr>
        <w:b/>
        <w:sz w:val="18"/>
      </w:rPr>
      <w:fldChar w:fldCharType="separate"/>
    </w:r>
    <w:r w:rsidR="009C51E2">
      <w:rPr>
        <w:b/>
        <w:noProof/>
        <w:sz w:val="18"/>
      </w:rPr>
      <w:t>2</w:t>
    </w:r>
    <w:r w:rsidRPr="004C1D76">
      <w:rPr>
        <w:b/>
        <w:sz w:val="18"/>
      </w:rPr>
      <w:fldChar w:fldCharType="end"/>
    </w:r>
    <w:r>
      <w:rPr>
        <w:sz w:val="18"/>
      </w:rPr>
      <w:tab/>
    </w:r>
    <w:r>
      <w:t>GE.17-08407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76" w:rsidRPr="004C1D76" w:rsidRDefault="004C1D76" w:rsidP="004C1D76">
    <w:pPr>
      <w:pStyle w:val="Footer"/>
      <w:tabs>
        <w:tab w:val="right" w:pos="9598"/>
      </w:tabs>
      <w:rPr>
        <w:b/>
        <w:sz w:val="18"/>
      </w:rPr>
    </w:pPr>
    <w:r>
      <w:t>GE.17-08407</w:t>
    </w:r>
    <w:r>
      <w:tab/>
    </w:r>
    <w:r w:rsidRPr="004C1D76">
      <w:rPr>
        <w:b/>
        <w:sz w:val="18"/>
      </w:rPr>
      <w:fldChar w:fldCharType="begin"/>
    </w:r>
    <w:r w:rsidRPr="004C1D76">
      <w:rPr>
        <w:b/>
        <w:sz w:val="18"/>
      </w:rPr>
      <w:instrText xml:space="preserve"> PAGE  \* MERGEFORMAT </w:instrText>
    </w:r>
    <w:r w:rsidRPr="004C1D76">
      <w:rPr>
        <w:b/>
        <w:sz w:val="18"/>
      </w:rPr>
      <w:fldChar w:fldCharType="separate"/>
    </w:r>
    <w:r w:rsidR="009C51E2">
      <w:rPr>
        <w:b/>
        <w:noProof/>
        <w:sz w:val="18"/>
      </w:rPr>
      <w:t>3</w:t>
    </w:r>
    <w:r w:rsidRPr="004C1D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D76" w:rsidRDefault="004C1D76" w:rsidP="004C1D76">
    <w:r>
      <w:t>GE.17-08407  (E)</w:t>
    </w:r>
    <w:r w:rsidR="00F60805">
      <w:t xml:space="preserve">    210617    230617</w:t>
    </w:r>
  </w:p>
  <w:p w:rsidR="004C1D76" w:rsidRPr="004C1D76" w:rsidRDefault="004C1D76" w:rsidP="004C1D7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2/2017/2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2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DCB" w:rsidRPr="00FB1744" w:rsidRDefault="00145DCB" w:rsidP="00FB1744">
      <w:pPr>
        <w:tabs>
          <w:tab w:val="right" w:pos="2155"/>
        </w:tabs>
        <w:spacing w:after="80" w:line="240" w:lineRule="auto"/>
        <w:ind w:left="680"/>
      </w:pPr>
      <w:r>
        <w:rPr>
          <w:u w:val="single"/>
        </w:rPr>
        <w:tab/>
      </w:r>
    </w:p>
  </w:footnote>
  <w:footnote w:type="continuationSeparator" w:id="0">
    <w:p w:rsidR="00145DCB" w:rsidRPr="00FB1744" w:rsidRDefault="00145DCB" w:rsidP="00FB1744">
      <w:pPr>
        <w:tabs>
          <w:tab w:val="right" w:pos="2155"/>
        </w:tabs>
        <w:spacing w:after="80" w:line="240" w:lineRule="auto"/>
        <w:ind w:left="680"/>
      </w:pPr>
      <w:r>
        <w:rPr>
          <w:u w:val="single"/>
        </w:rPr>
        <w:tab/>
      </w:r>
    </w:p>
  </w:footnote>
  <w:footnote w:id="1">
    <w:p w:rsidR="00933668" w:rsidRPr="00933668" w:rsidRDefault="00933668">
      <w:pPr>
        <w:pStyle w:val="FootnoteText"/>
      </w:pPr>
      <w:r>
        <w:rPr>
          <w:rStyle w:val="FootnoteReference"/>
        </w:rPr>
        <w:tab/>
      </w:r>
      <w:r w:rsidRPr="00933668">
        <w:rPr>
          <w:rStyle w:val="FootnoteReference"/>
          <w:sz w:val="20"/>
          <w:vertAlign w:val="baseline"/>
        </w:rPr>
        <w:t>*</w:t>
      </w:r>
      <w:r>
        <w:rPr>
          <w:rStyle w:val="FootnoteReference"/>
          <w:sz w:val="20"/>
          <w:vertAlign w:val="baseline"/>
        </w:rPr>
        <w:tab/>
      </w:r>
      <w:r>
        <w:t>Distributed in German by the Central Commission for the Navigation of the Rhine under the symbol CCNR-ZKR/ADN/WP.15/AC.2/2017/25.</w:t>
      </w:r>
    </w:p>
  </w:footnote>
  <w:footnote w:id="2">
    <w:p w:rsidR="00D40E08" w:rsidRPr="00624D5D" w:rsidRDefault="00CF395F" w:rsidP="00CF395F">
      <w:pPr>
        <w:pStyle w:val="FootnoteText"/>
        <w:rPr>
          <w:szCs w:val="18"/>
        </w:rPr>
      </w:pPr>
      <w:r>
        <w:tab/>
      </w:r>
      <w:r w:rsidR="00D40E08" w:rsidRPr="00CF395F">
        <w:rPr>
          <w:sz w:val="20"/>
        </w:rPr>
        <w:t>**</w:t>
      </w:r>
      <w:r w:rsidR="00D40E08">
        <w:tab/>
        <w:t>In accordance with the programme of work of the Inland Transport Committee for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76" w:rsidRPr="004C1D76" w:rsidRDefault="004C1D76" w:rsidP="004C1D76">
    <w:pPr>
      <w:pStyle w:val="Header"/>
    </w:pPr>
    <w:r w:rsidRPr="004C1D76">
      <w:t>ECE/TRANS/WP.15/AC.2/2017/25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76" w:rsidRPr="004C1D76" w:rsidRDefault="004C1D76" w:rsidP="004C1D76">
    <w:pPr>
      <w:pStyle w:val="Header"/>
      <w:jc w:val="right"/>
    </w:pPr>
    <w:r w:rsidRPr="004C1D76">
      <w:t>ECE/TRANS/WP.15/AC.2/2017/25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CB"/>
    <w:rsid w:val="00046E92"/>
    <w:rsid w:val="000D1B89"/>
    <w:rsid w:val="00115BCD"/>
    <w:rsid w:val="001170DC"/>
    <w:rsid w:val="00145DCB"/>
    <w:rsid w:val="00247E2C"/>
    <w:rsid w:val="002D6C53"/>
    <w:rsid w:val="002F5595"/>
    <w:rsid w:val="00334F6A"/>
    <w:rsid w:val="00342AC8"/>
    <w:rsid w:val="003756DB"/>
    <w:rsid w:val="003B4550"/>
    <w:rsid w:val="003E00F9"/>
    <w:rsid w:val="004078A6"/>
    <w:rsid w:val="00461253"/>
    <w:rsid w:val="004C1D76"/>
    <w:rsid w:val="005042C2"/>
    <w:rsid w:val="00511A9E"/>
    <w:rsid w:val="0056599A"/>
    <w:rsid w:val="00587690"/>
    <w:rsid w:val="00671529"/>
    <w:rsid w:val="006E7218"/>
    <w:rsid w:val="00717266"/>
    <w:rsid w:val="007268F9"/>
    <w:rsid w:val="00762D59"/>
    <w:rsid w:val="007B166D"/>
    <w:rsid w:val="007C52B0"/>
    <w:rsid w:val="008A1EB3"/>
    <w:rsid w:val="00933668"/>
    <w:rsid w:val="009411B4"/>
    <w:rsid w:val="009570C2"/>
    <w:rsid w:val="009C51E2"/>
    <w:rsid w:val="009D0139"/>
    <w:rsid w:val="009F5CDC"/>
    <w:rsid w:val="00A775CF"/>
    <w:rsid w:val="00AB3C7E"/>
    <w:rsid w:val="00B06045"/>
    <w:rsid w:val="00BB3AA1"/>
    <w:rsid w:val="00C35A27"/>
    <w:rsid w:val="00CF395F"/>
    <w:rsid w:val="00D3651E"/>
    <w:rsid w:val="00D40E08"/>
    <w:rsid w:val="00DD3F02"/>
    <w:rsid w:val="00E02C2B"/>
    <w:rsid w:val="00E14FB4"/>
    <w:rsid w:val="00ED6C48"/>
    <w:rsid w:val="00F05FC2"/>
    <w:rsid w:val="00F6080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D1DEB10-465B-48AA-BED9-7C0AA86F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12B03-A488-4D91-89CD-07F4F364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1708407</vt:lpstr>
    </vt:vector>
  </TitlesOfParts>
  <Company>DCM</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1708407</dc:title>
  <dc:subject>ECE/TRANS/WP.15/AC.2/2017/25</dc:subject>
  <dc:creator>Cecile PACIS MAMANGUN</dc:creator>
  <cp:keywords/>
  <dc:description/>
  <cp:lastModifiedBy>Marie-Claude Collet</cp:lastModifiedBy>
  <cp:revision>2</cp:revision>
  <cp:lastPrinted>2017-06-23T08:32:00Z</cp:lastPrinted>
  <dcterms:created xsi:type="dcterms:W3CDTF">2017-06-27T10:08:00Z</dcterms:created>
  <dcterms:modified xsi:type="dcterms:W3CDTF">2017-06-27T10:08:00Z</dcterms:modified>
</cp:coreProperties>
</file>