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28" w:rsidRPr="00B56D64" w:rsidRDefault="00A02128" w:rsidP="00A02128">
      <w:pPr>
        <w:spacing w:line="240" w:lineRule="auto"/>
        <w:ind w:left="5387" w:right="-286"/>
        <w:outlineLvl w:val="0"/>
        <w:rPr>
          <w:rFonts w:ascii="Arial" w:hAnsi="Arial" w:cs="Arial"/>
          <w:snapToGrid w:val="0"/>
          <w:lang w:eastAsia="fr-FR" w:bidi="fr-FR"/>
        </w:rPr>
      </w:pPr>
      <w:bookmarkStart w:id="0" w:name="_GoBack"/>
      <w:bookmarkEnd w:id="0"/>
      <w:r w:rsidRPr="00B56D6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BB0E0A" wp14:editId="1C16719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D64">
        <w:rPr>
          <w:rFonts w:ascii="Arial" w:eastAsia="Arial" w:hAnsi="Arial" w:cs="Arial"/>
          <w:bCs/>
          <w:lang w:eastAsia="de-DE"/>
        </w:rPr>
        <w:t>CCNR-ZKR/ADN/WP.15/AC.2/2017/15</w:t>
      </w:r>
    </w:p>
    <w:p w:rsidR="00A02128" w:rsidRPr="00B56D64" w:rsidRDefault="00A02128" w:rsidP="00A02128">
      <w:pPr>
        <w:tabs>
          <w:tab w:val="left" w:pos="5670"/>
        </w:tabs>
        <w:spacing w:line="240" w:lineRule="auto"/>
        <w:ind w:left="5387"/>
        <w:rPr>
          <w:rFonts w:ascii="Arial" w:hAnsi="Arial" w:cs="Arial"/>
          <w:sz w:val="16"/>
          <w:lang w:val="de-DE" w:eastAsia="de-DE"/>
        </w:rPr>
      </w:pPr>
      <w:r w:rsidRPr="00B56D64">
        <w:rPr>
          <w:rFonts w:ascii="Arial" w:hAnsi="Arial" w:cs="Arial"/>
          <w:sz w:val="16"/>
          <w:lang w:val="de-DE" w:eastAsia="de-DE"/>
        </w:rPr>
        <w:t>Allgemeine Verteilung</w:t>
      </w:r>
    </w:p>
    <w:p w:rsidR="00A02128" w:rsidRPr="00B56D64" w:rsidRDefault="00A02128" w:rsidP="00A02128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lang w:val="de-DE" w:eastAsia="de-DE"/>
        </w:rPr>
      </w:pPr>
      <w:r w:rsidRPr="00B56D64">
        <w:rPr>
          <w:rFonts w:ascii="Arial" w:eastAsia="Arial" w:hAnsi="Arial" w:cs="Arial"/>
          <w:lang w:val="de-DE" w:eastAsia="de-DE"/>
        </w:rPr>
        <w:t>9. November 2016</w:t>
      </w:r>
    </w:p>
    <w:p w:rsidR="00A02128" w:rsidRPr="00B56D64" w:rsidRDefault="00A02128" w:rsidP="00A02128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B56D64">
        <w:rPr>
          <w:rFonts w:ascii="Arial" w:eastAsia="Arial" w:hAnsi="Arial" w:cs="Arial"/>
          <w:sz w:val="16"/>
          <w:lang w:val="de-DE" w:eastAsia="de-DE"/>
        </w:rPr>
        <w:t>Or. ENGLISCH</w:t>
      </w:r>
    </w:p>
    <w:p w:rsidR="00A02128" w:rsidRPr="00B56D64" w:rsidRDefault="00A02128" w:rsidP="00A02128">
      <w:pPr>
        <w:spacing w:line="240" w:lineRule="auto"/>
        <w:rPr>
          <w:rFonts w:ascii="Arial" w:hAnsi="Arial" w:cs="Arial"/>
          <w:sz w:val="16"/>
          <w:lang w:val="de-DE" w:eastAsia="de-DE"/>
        </w:rPr>
      </w:pPr>
    </w:p>
    <w:p w:rsidR="00A02128" w:rsidRPr="00B56D64" w:rsidRDefault="00A02128" w:rsidP="00A02128">
      <w:pPr>
        <w:spacing w:line="240" w:lineRule="auto"/>
        <w:rPr>
          <w:rFonts w:ascii="Arial" w:hAnsi="Arial" w:cs="Arial"/>
          <w:sz w:val="16"/>
          <w:lang w:val="de-DE" w:eastAsia="de-DE"/>
        </w:rPr>
      </w:pP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56D64">
        <w:rPr>
          <w:rFonts w:ascii="Arial" w:hAnsi="Arial" w:cs="Arial"/>
          <w:noProof/>
          <w:snapToGrid w:val="0"/>
          <w:sz w:val="16"/>
          <w:lang w:val="de-DE" w:eastAsia="fr-FR"/>
        </w:rPr>
        <w:t>GEMEINSAME EXPERTENTAGUNG FÜR DIE DEM</w:t>
      </w: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56D64">
        <w:rPr>
          <w:rFonts w:ascii="Arial" w:hAnsi="Arial" w:cs="Arial"/>
          <w:noProof/>
          <w:snapToGrid w:val="0"/>
          <w:sz w:val="16"/>
          <w:lang w:val="de-DE" w:eastAsia="fr-FR"/>
        </w:rPr>
        <w:t>ÜBEREINKOMMEN ÜBER DIE INTERNATIONALE BEFÖRDERUNG</w:t>
      </w: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56D64">
        <w:rPr>
          <w:rFonts w:ascii="Arial" w:hAnsi="Arial" w:cs="Arial"/>
          <w:noProof/>
          <w:snapToGrid w:val="0"/>
          <w:sz w:val="16"/>
          <w:lang w:val="de-DE" w:eastAsia="fr-FR"/>
        </w:rPr>
        <w:t>VON GEFÄHRLICHEN GÜTERN AUF BINNENWASSERSTRASSEN</w:t>
      </w: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position w:val="2"/>
          <w:sz w:val="16"/>
          <w:lang w:val="de-DE" w:eastAsia="fr-FR"/>
        </w:rPr>
      </w:pPr>
      <w:r w:rsidRPr="00B56D64">
        <w:rPr>
          <w:rFonts w:ascii="Arial" w:hAnsi="Arial" w:cs="Arial"/>
          <w:noProof/>
          <w:snapToGrid w:val="0"/>
          <w:sz w:val="16"/>
          <w:lang w:val="de-DE" w:eastAsia="fr-FR"/>
        </w:rPr>
        <w:t>BEIGEFÜGTE VERORDNUNG (ADN)</w:t>
      </w: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58"/>
        <w:rPr>
          <w:rFonts w:ascii="Arial" w:hAnsi="Arial" w:cs="Arial"/>
          <w:snapToGrid w:val="0"/>
          <w:sz w:val="16"/>
          <w:lang w:val="de-DE" w:eastAsia="fr-FR"/>
        </w:rPr>
      </w:pPr>
      <w:r w:rsidRPr="00B56D64">
        <w:rPr>
          <w:rFonts w:ascii="Arial" w:hAnsi="Arial" w:cs="Arial"/>
          <w:noProof/>
          <w:snapToGrid w:val="0"/>
          <w:position w:val="2"/>
          <w:sz w:val="16"/>
          <w:lang w:val="de-DE" w:eastAsia="fr-FR"/>
        </w:rPr>
        <w:t>(SICHERHEITSAUSSCHUSS)</w:t>
      </w: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60"/>
        <w:rPr>
          <w:rFonts w:ascii="Arial" w:hAnsi="Arial" w:cs="Arial"/>
          <w:noProof/>
          <w:snapToGrid w:val="0"/>
          <w:sz w:val="16"/>
          <w:lang w:val="de-DE" w:eastAsia="fr-FR"/>
        </w:rPr>
      </w:pPr>
      <w:r w:rsidRPr="00B56D64">
        <w:rPr>
          <w:rFonts w:ascii="Arial" w:hAnsi="Arial" w:cs="Arial"/>
          <w:snapToGrid w:val="0"/>
          <w:sz w:val="16"/>
          <w:lang w:val="de-DE" w:eastAsia="fr-FR"/>
        </w:rPr>
        <w:t xml:space="preserve">(30. </w:t>
      </w:r>
      <w:r w:rsidRPr="00B56D64">
        <w:rPr>
          <w:rFonts w:ascii="Arial" w:hAnsi="Arial" w:cs="Arial"/>
          <w:noProof/>
          <w:snapToGrid w:val="0"/>
          <w:sz w:val="16"/>
          <w:lang w:val="de-DE" w:eastAsia="fr-FR"/>
        </w:rPr>
        <w:t>Tagung, Genf, 23. bis 27. Januar 2017)</w:t>
      </w: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B56D64">
        <w:rPr>
          <w:rFonts w:ascii="Arial" w:hAnsi="Arial" w:cs="Arial"/>
          <w:sz w:val="16"/>
          <w:szCs w:val="16"/>
          <w:lang w:val="de-DE"/>
        </w:rPr>
        <w:t>Punkt 4 b) der vorläufigen Tagesordnung</w:t>
      </w:r>
    </w:p>
    <w:p w:rsidR="00A02128" w:rsidRPr="00B56D64" w:rsidRDefault="00A02128" w:rsidP="00A02128">
      <w:pPr>
        <w:tabs>
          <w:tab w:val="left" w:pos="2977"/>
        </w:tabs>
        <w:spacing w:line="240" w:lineRule="auto"/>
        <w:ind w:left="3960"/>
        <w:rPr>
          <w:rFonts w:ascii="Arial" w:hAnsi="Arial" w:cs="Arial"/>
          <w:b/>
          <w:sz w:val="16"/>
          <w:szCs w:val="16"/>
          <w:lang w:val="de-DE"/>
        </w:rPr>
      </w:pPr>
      <w:r w:rsidRPr="00B56D64">
        <w:rPr>
          <w:rFonts w:ascii="Arial" w:hAnsi="Arial" w:cs="Arial"/>
          <w:b/>
          <w:sz w:val="16"/>
          <w:szCs w:val="16"/>
          <w:lang w:val="de-DE"/>
        </w:rPr>
        <w:t>Durchführung des Europäischen Übereinkommens über die internationale Beförderung von gefährlichen Gütern auf Binnenwasserstraßen (ADN): Ausnahmegenehmigungen, Abweichungen und Gleichwertigkeiten</w:t>
      </w:r>
    </w:p>
    <w:p w:rsidR="00A02128" w:rsidRPr="00B56D64" w:rsidRDefault="00A02128" w:rsidP="00A02128">
      <w:pPr>
        <w:rPr>
          <w:rFonts w:ascii="Arial" w:hAnsi="Arial" w:cs="Arial"/>
          <w:lang w:val="de-DE"/>
        </w:rPr>
      </w:pPr>
    </w:p>
    <w:p w:rsidR="00D2078A" w:rsidRPr="00577AB0" w:rsidRDefault="00D2078A" w:rsidP="006D1372">
      <w:pPr>
        <w:pStyle w:val="HChG"/>
        <w:rPr>
          <w:lang w:val="de-DE"/>
        </w:rPr>
      </w:pPr>
      <w:r w:rsidRPr="00577AB0">
        <w:rPr>
          <w:lang w:val="de-DE"/>
        </w:rPr>
        <w:tab/>
      </w:r>
      <w:r w:rsidRPr="00577AB0">
        <w:rPr>
          <w:lang w:val="de-DE"/>
        </w:rPr>
        <w:tab/>
      </w:r>
      <w:r w:rsidR="006D1372" w:rsidRPr="00577AB0">
        <w:rPr>
          <w:lang w:val="de-DE"/>
        </w:rPr>
        <w:t>Antrag auf eine Abweichung für Don Quichot (ENI</w:t>
      </w:r>
      <w:r w:rsidR="00B61BD6">
        <w:rPr>
          <w:lang w:val="de-DE"/>
        </w:rPr>
        <w:t> </w:t>
      </w:r>
      <w:r w:rsidR="006D1372" w:rsidRPr="00577AB0">
        <w:rPr>
          <w:lang w:val="de-DE"/>
        </w:rPr>
        <w:t>02336771)</w:t>
      </w:r>
    </w:p>
    <w:p w:rsidR="00D2078A" w:rsidRPr="00577AB0" w:rsidRDefault="00D2078A" w:rsidP="00392E98">
      <w:pPr>
        <w:pStyle w:val="H1G"/>
        <w:rPr>
          <w:lang w:val="de-DE"/>
        </w:rPr>
      </w:pPr>
      <w:r w:rsidRPr="00577AB0">
        <w:rPr>
          <w:lang w:val="de-DE"/>
        </w:rPr>
        <w:tab/>
      </w:r>
      <w:r w:rsidRPr="00577AB0">
        <w:rPr>
          <w:lang w:val="de-DE"/>
        </w:rPr>
        <w:tab/>
      </w:r>
      <w:r w:rsidR="006D1372" w:rsidRPr="00577AB0">
        <w:rPr>
          <w:lang w:val="de-DE"/>
        </w:rPr>
        <w:t>Eingereicht von den Niederlanden</w:t>
      </w:r>
      <w:r w:rsidR="00A02128" w:rsidRPr="00577AB0">
        <w:rPr>
          <w:rStyle w:val="FootnoteReference"/>
          <w:sz w:val="24"/>
          <w:szCs w:val="24"/>
          <w:lang w:val="de-DE"/>
        </w:rPr>
        <w:footnoteReference w:customMarkFollows="1" w:id="1"/>
        <w:t>*</w:t>
      </w:r>
      <w:r w:rsidR="00A02128" w:rsidRPr="00577AB0">
        <w:rPr>
          <w:szCs w:val="24"/>
          <w:vertAlign w:val="superscript"/>
          <w:lang w:val="de-DE"/>
        </w:rPr>
        <w:t>,</w:t>
      </w:r>
      <w:r w:rsidR="00A02128" w:rsidRPr="00577AB0">
        <w:rPr>
          <w:rStyle w:val="FootnoteReference"/>
          <w:sz w:val="24"/>
          <w:szCs w:val="24"/>
          <w:lang w:val="de-DE"/>
        </w:rPr>
        <w:footnoteReference w:customMarkFollows="1" w:id="2"/>
        <w:t>**</w:t>
      </w:r>
    </w:p>
    <w:p w:rsidR="00D2078A" w:rsidRPr="00577AB0" w:rsidRDefault="00D2078A" w:rsidP="00774AB1">
      <w:pPr>
        <w:pStyle w:val="HChG"/>
        <w:tabs>
          <w:tab w:val="left" w:pos="810"/>
        </w:tabs>
        <w:rPr>
          <w:lang w:val="de-DE"/>
        </w:rPr>
      </w:pPr>
      <w:r w:rsidRPr="00577AB0">
        <w:rPr>
          <w:lang w:val="de-DE"/>
        </w:rPr>
        <w:tab/>
      </w:r>
      <w:r w:rsidR="00A02128" w:rsidRPr="00577AB0">
        <w:rPr>
          <w:lang w:val="de-DE"/>
        </w:rPr>
        <w:t>I</w:t>
      </w:r>
      <w:r w:rsidR="00774AB1" w:rsidRPr="00577AB0">
        <w:rPr>
          <w:lang w:val="de-DE"/>
        </w:rPr>
        <w:t>.</w:t>
      </w:r>
      <w:r w:rsidR="00C72375" w:rsidRPr="00577AB0">
        <w:rPr>
          <w:lang w:val="de-DE"/>
        </w:rPr>
        <w:tab/>
      </w:r>
      <w:r w:rsidR="00A02128" w:rsidRPr="00577AB0">
        <w:rPr>
          <w:lang w:val="de-DE"/>
        </w:rPr>
        <w:t>Einleitung</w:t>
      </w:r>
    </w:p>
    <w:p w:rsidR="00C72375" w:rsidRPr="00A535EB" w:rsidRDefault="00C72375" w:rsidP="008713EA">
      <w:pPr>
        <w:pStyle w:val="SingleTxtG"/>
        <w:rPr>
          <w:lang w:val="de-DE"/>
        </w:rPr>
      </w:pPr>
      <w:r w:rsidRPr="00577AB0">
        <w:rPr>
          <w:lang w:val="de-DE"/>
        </w:rPr>
        <w:t>1.</w:t>
      </w:r>
      <w:r w:rsidRPr="00577AB0">
        <w:rPr>
          <w:lang w:val="de-DE"/>
        </w:rPr>
        <w:tab/>
      </w:r>
      <w:r w:rsidR="001F23AA" w:rsidRPr="00A535EB">
        <w:rPr>
          <w:lang w:val="de-DE"/>
        </w:rPr>
        <w:t xml:space="preserve">Der </w:t>
      </w:r>
      <w:r w:rsidR="00C6349B" w:rsidRPr="00A535EB">
        <w:rPr>
          <w:lang w:val="de-DE"/>
        </w:rPr>
        <w:t>L</w:t>
      </w:r>
      <w:r w:rsidR="001F23AA" w:rsidRPr="00A535EB">
        <w:rPr>
          <w:lang w:val="de-DE"/>
        </w:rPr>
        <w:t xml:space="preserve">eichter </w:t>
      </w:r>
      <w:bookmarkStart w:id="1" w:name="WfCopyCase"/>
      <w:r w:rsidR="001F23AA" w:rsidRPr="00A535EB">
        <w:rPr>
          <w:lang w:val="de-DE"/>
        </w:rPr>
        <w:t>Don Quichot (ENI 02336771, Registernummer</w:t>
      </w:r>
      <w:bookmarkEnd w:id="1"/>
      <w:r w:rsidR="001F23AA" w:rsidRPr="00A535EB">
        <w:rPr>
          <w:lang w:val="de-DE"/>
        </w:rPr>
        <w:t xml:space="preserve"> BV 27930L) wird derzeit in den Niederlanden gebaut.</w:t>
      </w:r>
      <w:r w:rsidRPr="00A535EB">
        <w:rPr>
          <w:lang w:val="de-DE"/>
        </w:rPr>
        <w:t xml:space="preserve"> </w:t>
      </w:r>
      <w:r w:rsidR="001F23AA" w:rsidRPr="00A535EB">
        <w:rPr>
          <w:lang w:val="de-DE"/>
        </w:rPr>
        <w:t xml:space="preserve">Der Schiffseigner beabsichtigt, diesen </w:t>
      </w:r>
      <w:r w:rsidR="008713EA" w:rsidRPr="00A535EB">
        <w:rPr>
          <w:lang w:val="de-DE"/>
        </w:rPr>
        <w:t>L</w:t>
      </w:r>
      <w:r w:rsidR="001F23AA" w:rsidRPr="00A535EB">
        <w:rPr>
          <w:lang w:val="de-DE"/>
        </w:rPr>
        <w:t xml:space="preserve">eichter für die </w:t>
      </w:r>
      <w:r w:rsidR="008C3A9B" w:rsidRPr="00A535EB">
        <w:rPr>
          <w:lang w:val="de-DE"/>
        </w:rPr>
        <w:t xml:space="preserve">Sammlung von Dämpfen und Gasen aus </w:t>
      </w:r>
      <w:r w:rsidR="00B437EF" w:rsidRPr="00A535EB">
        <w:rPr>
          <w:lang w:val="de-DE"/>
        </w:rPr>
        <w:t>ent</w:t>
      </w:r>
      <w:r w:rsidR="00F32D37" w:rsidRPr="00A535EB">
        <w:rPr>
          <w:lang w:val="de-DE"/>
        </w:rPr>
        <w:t>leerten</w:t>
      </w:r>
      <w:r w:rsidR="008C3A9B" w:rsidRPr="00A535EB">
        <w:rPr>
          <w:lang w:val="de-DE"/>
        </w:rPr>
        <w:t xml:space="preserve"> Tanks von Binnenschiffen</w:t>
      </w:r>
      <w:r w:rsidR="00FA760D" w:rsidRPr="00A535EB">
        <w:rPr>
          <w:lang w:val="de-DE"/>
        </w:rPr>
        <w:t xml:space="preserve"> zu verwenden.</w:t>
      </w:r>
      <w:r w:rsidRPr="00A535EB">
        <w:rPr>
          <w:lang w:val="de-DE"/>
        </w:rPr>
        <w:t xml:space="preserve"> </w:t>
      </w:r>
      <w:r w:rsidR="00B437EF" w:rsidRPr="00A535EB">
        <w:rPr>
          <w:lang w:val="de-DE"/>
        </w:rPr>
        <w:t>In Anbetracht der jüngsten Entwicklung</w:t>
      </w:r>
      <w:r w:rsidR="00930F29" w:rsidRPr="00A535EB">
        <w:rPr>
          <w:lang w:val="de-DE"/>
        </w:rPr>
        <w:t>en</w:t>
      </w:r>
      <w:r w:rsidR="00B437EF" w:rsidRPr="00A535EB">
        <w:rPr>
          <w:lang w:val="de-DE"/>
        </w:rPr>
        <w:t xml:space="preserve"> wie </w:t>
      </w:r>
      <w:r w:rsidR="00930F29" w:rsidRPr="00A535EB">
        <w:rPr>
          <w:lang w:val="de-DE"/>
        </w:rPr>
        <w:t>der Revision des CDNI und de</w:t>
      </w:r>
      <w:r w:rsidR="006A2EFA" w:rsidRPr="00A535EB">
        <w:rPr>
          <w:lang w:val="de-DE"/>
        </w:rPr>
        <w:t>r</w:t>
      </w:r>
      <w:r w:rsidR="00930F29" w:rsidRPr="00A535EB">
        <w:rPr>
          <w:lang w:val="de-DE"/>
        </w:rPr>
        <w:t xml:space="preserve"> regionalen </w:t>
      </w:r>
      <w:r w:rsidR="006A2EFA" w:rsidRPr="00A535EB">
        <w:rPr>
          <w:lang w:val="de-DE"/>
        </w:rPr>
        <w:t>Entgasungsv</w:t>
      </w:r>
      <w:r w:rsidR="00930F29" w:rsidRPr="00A535EB">
        <w:rPr>
          <w:lang w:val="de-DE"/>
        </w:rPr>
        <w:t>e</w:t>
      </w:r>
      <w:r w:rsidR="006A2EFA" w:rsidRPr="00A535EB">
        <w:rPr>
          <w:lang w:val="de-DE"/>
        </w:rPr>
        <w:t>rbote</w:t>
      </w:r>
      <w:r w:rsidR="00930F29" w:rsidRPr="00A535EB">
        <w:rPr>
          <w:lang w:val="de-DE"/>
        </w:rPr>
        <w:t xml:space="preserve"> </w:t>
      </w:r>
      <w:r w:rsidR="006A2EFA" w:rsidRPr="00A535EB">
        <w:rPr>
          <w:lang w:val="de-DE"/>
        </w:rPr>
        <w:t xml:space="preserve">für entleerte Ladetanks </w:t>
      </w:r>
      <w:r w:rsidR="008713EA" w:rsidRPr="00A535EB">
        <w:rPr>
          <w:lang w:val="de-DE"/>
        </w:rPr>
        <w:t>unterstützt</w:t>
      </w:r>
      <w:r w:rsidR="00380393" w:rsidRPr="00A535EB">
        <w:rPr>
          <w:lang w:val="de-DE"/>
        </w:rPr>
        <w:t xml:space="preserve"> die niederländische Delegation die Entwicklung innovativer Projekte für die Sammlung gefährlicher Gase und Dämpfe.</w:t>
      </w:r>
    </w:p>
    <w:p w:rsidR="00C72375" w:rsidRPr="00577AB0" w:rsidRDefault="00C72375" w:rsidP="008B49AE">
      <w:pPr>
        <w:pStyle w:val="SingleTxtG"/>
        <w:rPr>
          <w:lang w:val="de-DE"/>
        </w:rPr>
      </w:pPr>
      <w:r w:rsidRPr="00A535EB">
        <w:rPr>
          <w:lang w:val="de-DE"/>
        </w:rPr>
        <w:t>2.</w:t>
      </w:r>
      <w:r w:rsidRPr="00A535EB">
        <w:rPr>
          <w:lang w:val="de-DE"/>
        </w:rPr>
        <w:tab/>
      </w:r>
      <w:r w:rsidR="00C6349B" w:rsidRPr="00A535EB">
        <w:rPr>
          <w:lang w:val="de-DE"/>
        </w:rPr>
        <w:t xml:space="preserve">Der Leichter ist als Schubleichter des Typs C </w:t>
      </w:r>
      <w:r w:rsidR="0048336C">
        <w:rPr>
          <w:lang w:val="de-DE"/>
        </w:rPr>
        <w:t>klassifiziert</w:t>
      </w:r>
      <w:r w:rsidR="00C9396B" w:rsidRPr="00A535EB">
        <w:rPr>
          <w:lang w:val="de-DE"/>
        </w:rPr>
        <w:t xml:space="preserve"> und </w:t>
      </w:r>
      <w:r w:rsidR="008713EA" w:rsidRPr="00A535EB">
        <w:rPr>
          <w:lang w:val="de-DE"/>
        </w:rPr>
        <w:t>sollte</w:t>
      </w:r>
      <w:r w:rsidR="00C9396B" w:rsidRPr="00A535EB">
        <w:rPr>
          <w:lang w:val="de-DE"/>
        </w:rPr>
        <w:t xml:space="preserve"> daher die Anforderungen </w:t>
      </w:r>
      <w:r w:rsidR="00D04F48" w:rsidRPr="00A535EB">
        <w:rPr>
          <w:lang w:val="de-DE"/>
        </w:rPr>
        <w:t>des</w:t>
      </w:r>
      <w:r w:rsidR="00C9396B" w:rsidRPr="00A535EB">
        <w:rPr>
          <w:lang w:val="de-DE"/>
        </w:rPr>
        <w:t xml:space="preserve"> Abschnitt</w:t>
      </w:r>
      <w:r w:rsidR="00D04F48" w:rsidRPr="00A535EB">
        <w:rPr>
          <w:lang w:val="de-DE"/>
        </w:rPr>
        <w:t>s</w:t>
      </w:r>
      <w:r w:rsidR="00C9396B" w:rsidRPr="00A535EB">
        <w:rPr>
          <w:lang w:val="de-DE"/>
        </w:rPr>
        <w:t xml:space="preserve"> 9.3.2 der dem ADN beigefügten Verordnung</w:t>
      </w:r>
      <w:r w:rsidR="00C9396B" w:rsidRPr="00577AB0">
        <w:rPr>
          <w:lang w:val="de-DE"/>
        </w:rPr>
        <w:t xml:space="preserve"> </w:t>
      </w:r>
      <w:r w:rsidR="00D04F48" w:rsidRPr="00577AB0">
        <w:rPr>
          <w:lang w:val="de-DE"/>
        </w:rPr>
        <w:t>erfüllen.</w:t>
      </w:r>
      <w:r w:rsidRPr="00577AB0">
        <w:rPr>
          <w:lang w:val="de-DE"/>
        </w:rPr>
        <w:t xml:space="preserve"> </w:t>
      </w:r>
      <w:r w:rsidR="00B35A60" w:rsidRPr="00577AB0">
        <w:rPr>
          <w:lang w:val="de-DE"/>
        </w:rPr>
        <w:t xml:space="preserve">Aufgrund seiner besonderen Bauart </w:t>
      </w:r>
      <w:r w:rsidR="008713EA" w:rsidRPr="00577AB0">
        <w:rPr>
          <w:lang w:val="de-DE"/>
        </w:rPr>
        <w:t>weicht</w:t>
      </w:r>
      <w:r w:rsidR="00B35A60" w:rsidRPr="00577AB0">
        <w:rPr>
          <w:lang w:val="de-DE"/>
        </w:rPr>
        <w:t xml:space="preserve"> der Leichter </w:t>
      </w:r>
      <w:r w:rsidR="008713EA" w:rsidRPr="00577AB0">
        <w:rPr>
          <w:lang w:val="de-DE"/>
        </w:rPr>
        <w:t xml:space="preserve">von </w:t>
      </w:r>
      <w:r w:rsidR="00B35A60" w:rsidRPr="00577AB0">
        <w:rPr>
          <w:lang w:val="de-DE"/>
        </w:rPr>
        <w:t xml:space="preserve">einigen </w:t>
      </w:r>
      <w:r w:rsidR="008B49AE" w:rsidRPr="00577AB0">
        <w:rPr>
          <w:lang w:val="de-DE"/>
        </w:rPr>
        <w:t>Vorschriften</w:t>
      </w:r>
      <w:r w:rsidR="00B35A60" w:rsidRPr="00577AB0">
        <w:rPr>
          <w:lang w:val="de-DE"/>
        </w:rPr>
        <w:t xml:space="preserve"> der dem ADN beigefügten Verordnung </w:t>
      </w:r>
      <w:r w:rsidR="008713EA" w:rsidRPr="00577AB0">
        <w:rPr>
          <w:lang w:val="de-DE"/>
        </w:rPr>
        <w:t>ab</w:t>
      </w:r>
      <w:r w:rsidR="00B35A60" w:rsidRPr="00577AB0">
        <w:rPr>
          <w:lang w:val="de-DE"/>
        </w:rPr>
        <w:t>.</w:t>
      </w:r>
      <w:r w:rsidRPr="00577AB0">
        <w:rPr>
          <w:lang w:val="de-DE"/>
        </w:rPr>
        <w:t xml:space="preserve"> </w:t>
      </w:r>
      <w:r w:rsidR="00563545" w:rsidRPr="00577AB0">
        <w:rPr>
          <w:lang w:val="de-DE"/>
        </w:rPr>
        <w:t>D</w:t>
      </w:r>
      <w:r w:rsidR="005102B7" w:rsidRPr="00577AB0">
        <w:rPr>
          <w:lang w:val="de-DE"/>
        </w:rPr>
        <w:t>urch di</w:t>
      </w:r>
      <w:r w:rsidR="00563545" w:rsidRPr="00577AB0">
        <w:rPr>
          <w:lang w:val="de-DE"/>
        </w:rPr>
        <w:t xml:space="preserve">ese </w:t>
      </w:r>
      <w:r w:rsidR="008B49AE" w:rsidRPr="00577AB0">
        <w:rPr>
          <w:lang w:val="de-DE"/>
        </w:rPr>
        <w:t>A</w:t>
      </w:r>
      <w:r w:rsidR="005102B7" w:rsidRPr="00577AB0">
        <w:rPr>
          <w:lang w:val="de-DE"/>
        </w:rPr>
        <w:t xml:space="preserve">bweichungen wird das Sicherheitsniveau an Bord des Leichters nicht </w:t>
      </w:r>
      <w:r w:rsidR="00A535EB">
        <w:rPr>
          <w:lang w:val="de-DE"/>
        </w:rPr>
        <w:t>beeinträchtigt</w:t>
      </w:r>
      <w:r w:rsidR="005102B7" w:rsidRPr="00577AB0">
        <w:rPr>
          <w:lang w:val="de-DE"/>
        </w:rPr>
        <w:t>.</w:t>
      </w:r>
      <w:r w:rsidRPr="00577AB0">
        <w:rPr>
          <w:lang w:val="de-DE"/>
        </w:rPr>
        <w:t xml:space="preserve"> </w:t>
      </w:r>
      <w:r w:rsidR="00B86F49" w:rsidRPr="00577AB0">
        <w:rPr>
          <w:lang w:val="de-DE"/>
        </w:rPr>
        <w:t xml:space="preserve">An Bord </w:t>
      </w:r>
      <w:r w:rsidR="009313DE" w:rsidRPr="00577AB0">
        <w:rPr>
          <w:lang w:val="de-DE"/>
        </w:rPr>
        <w:t>werden</w:t>
      </w:r>
      <w:r w:rsidR="00B86F49" w:rsidRPr="00577AB0">
        <w:rPr>
          <w:lang w:val="de-DE"/>
        </w:rPr>
        <w:t xml:space="preserve"> mehrere zusätzliche Sicherheitsmaßnahmen </w:t>
      </w:r>
      <w:r w:rsidR="009313DE" w:rsidRPr="00577AB0">
        <w:rPr>
          <w:lang w:val="de-DE"/>
        </w:rPr>
        <w:t xml:space="preserve">umgesetzt, um ein Sicherheitsniveau </w:t>
      </w:r>
      <w:r w:rsidR="003E7A09" w:rsidRPr="00577AB0">
        <w:rPr>
          <w:lang w:val="de-DE"/>
        </w:rPr>
        <w:t xml:space="preserve">zu gewährleisten, das dem </w:t>
      </w:r>
      <w:r w:rsidR="009313DE" w:rsidRPr="00577AB0">
        <w:rPr>
          <w:lang w:val="de-DE"/>
        </w:rPr>
        <w:t>ein</w:t>
      </w:r>
      <w:r w:rsidR="003E7A09" w:rsidRPr="00577AB0">
        <w:rPr>
          <w:lang w:val="de-DE"/>
        </w:rPr>
        <w:t>es</w:t>
      </w:r>
      <w:r w:rsidR="009313DE" w:rsidRPr="00577AB0">
        <w:rPr>
          <w:lang w:val="de-DE"/>
        </w:rPr>
        <w:t xml:space="preserve"> Leichter</w:t>
      </w:r>
      <w:r w:rsidR="003E7A09" w:rsidRPr="00577AB0">
        <w:rPr>
          <w:lang w:val="de-DE"/>
        </w:rPr>
        <w:t>s</w:t>
      </w:r>
      <w:r w:rsidR="009313DE" w:rsidRPr="00577AB0">
        <w:rPr>
          <w:lang w:val="de-DE"/>
        </w:rPr>
        <w:t>, der die baulichen Anforderungen vollständig erfüllt</w:t>
      </w:r>
      <w:r w:rsidR="00D64E43" w:rsidRPr="00577AB0">
        <w:rPr>
          <w:lang w:val="de-DE"/>
        </w:rPr>
        <w:t>, gleichwertig ist</w:t>
      </w:r>
      <w:r w:rsidR="009313DE" w:rsidRPr="00577AB0">
        <w:rPr>
          <w:lang w:val="de-DE"/>
        </w:rPr>
        <w:t>.</w:t>
      </w:r>
      <w:r w:rsidRPr="00577AB0">
        <w:rPr>
          <w:lang w:val="de-DE"/>
        </w:rPr>
        <w:t xml:space="preserve"> </w:t>
      </w:r>
    </w:p>
    <w:p w:rsidR="00B61BD6" w:rsidRDefault="00B61BD6">
      <w:pPr>
        <w:suppressAutoHyphens w:val="0"/>
        <w:spacing w:after="200" w:line="276" w:lineRule="auto"/>
        <w:rPr>
          <w:b/>
          <w:sz w:val="28"/>
          <w:lang w:val="de-DE"/>
        </w:rPr>
      </w:pPr>
      <w:r>
        <w:rPr>
          <w:lang w:val="de-DE"/>
        </w:rPr>
        <w:br w:type="page"/>
      </w:r>
    </w:p>
    <w:p w:rsidR="00C72375" w:rsidRPr="00577AB0" w:rsidRDefault="003131E2" w:rsidP="008B49AE">
      <w:pPr>
        <w:pStyle w:val="HChG"/>
        <w:ind w:left="420" w:firstLine="0"/>
        <w:rPr>
          <w:lang w:val="de-DE"/>
        </w:rPr>
      </w:pPr>
      <w:r w:rsidRPr="00577AB0">
        <w:rPr>
          <w:lang w:val="de-DE"/>
        </w:rPr>
        <w:lastRenderedPageBreak/>
        <w:tab/>
      </w:r>
      <w:r w:rsidR="00774AB1" w:rsidRPr="00577AB0">
        <w:rPr>
          <w:lang w:val="de-DE"/>
        </w:rPr>
        <w:t>II.</w:t>
      </w:r>
      <w:r w:rsidRPr="00577AB0">
        <w:rPr>
          <w:lang w:val="de-DE"/>
        </w:rPr>
        <w:tab/>
      </w:r>
      <w:r w:rsidR="00774AB1" w:rsidRPr="00577AB0">
        <w:rPr>
          <w:lang w:val="de-DE"/>
        </w:rPr>
        <w:t>Vorschlag</w:t>
      </w:r>
    </w:p>
    <w:p w:rsidR="00D2078A" w:rsidRPr="00577AB0" w:rsidRDefault="00C72375" w:rsidP="008B49AE">
      <w:pPr>
        <w:pStyle w:val="SingleTxtG"/>
        <w:rPr>
          <w:lang w:val="de-DE"/>
        </w:rPr>
      </w:pPr>
      <w:r w:rsidRPr="00577AB0">
        <w:rPr>
          <w:lang w:val="de-DE"/>
        </w:rPr>
        <w:t>3.</w:t>
      </w:r>
      <w:r w:rsidRPr="00577AB0">
        <w:rPr>
          <w:lang w:val="de-DE"/>
        </w:rPr>
        <w:tab/>
      </w:r>
      <w:r w:rsidR="00774AB1" w:rsidRPr="00577AB0">
        <w:rPr>
          <w:lang w:val="de-DE"/>
        </w:rPr>
        <w:t>Die niederländische Delegation ersucht den ADN-Verwaltungsausschuss daher, die zuständige niederländische Behörde zu ermächtigen, dem Leichter Don Quichot ein Versuchszulassungszeugnis auszustellen.</w:t>
      </w:r>
      <w:r w:rsidRPr="00577AB0">
        <w:rPr>
          <w:lang w:val="de-DE"/>
        </w:rPr>
        <w:t xml:space="preserve"> </w:t>
      </w:r>
      <w:r w:rsidR="00662509" w:rsidRPr="00577AB0">
        <w:rPr>
          <w:lang w:val="de-DE"/>
        </w:rPr>
        <w:t xml:space="preserve">Nachstehend </w:t>
      </w:r>
      <w:r w:rsidR="00A535EB">
        <w:rPr>
          <w:lang w:val="de-DE"/>
        </w:rPr>
        <w:t xml:space="preserve">ist </w:t>
      </w:r>
      <w:r w:rsidR="00662509" w:rsidRPr="00577AB0">
        <w:rPr>
          <w:lang w:val="de-DE"/>
        </w:rPr>
        <w:t xml:space="preserve">eine Übersicht </w:t>
      </w:r>
      <w:r w:rsidR="003A4017" w:rsidRPr="00577AB0">
        <w:rPr>
          <w:lang w:val="de-DE"/>
        </w:rPr>
        <w:t>der Abweichungen von der dem ADN beigefügten Verordnung und der zusätzlichen Sicherheitsmaßnahmen</w:t>
      </w:r>
      <w:r w:rsidR="00A535EB">
        <w:rPr>
          <w:lang w:val="de-DE"/>
        </w:rPr>
        <w:t xml:space="preserve"> </w:t>
      </w:r>
      <w:r w:rsidR="005F4515">
        <w:rPr>
          <w:lang w:val="de-DE"/>
        </w:rPr>
        <w:t>dargestellt</w:t>
      </w:r>
      <w:r w:rsidR="003A4017" w:rsidRPr="00577AB0">
        <w:rPr>
          <w:lang w:val="de-DE"/>
        </w:rPr>
        <w:t>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516"/>
        <w:gridCol w:w="2726"/>
      </w:tblGrid>
      <w:tr w:rsidR="00C72375" w:rsidRPr="00577AB0" w:rsidTr="00C72375">
        <w:trPr>
          <w:tblHeader/>
        </w:trPr>
        <w:tc>
          <w:tcPr>
            <w:tcW w:w="2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72375" w:rsidRPr="00577AB0" w:rsidRDefault="008B49AE" w:rsidP="00577AB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de-DE"/>
              </w:rPr>
            </w:pPr>
            <w:r w:rsidRPr="00577AB0">
              <w:rPr>
                <w:i/>
                <w:sz w:val="16"/>
                <w:lang w:val="de-DE"/>
              </w:rPr>
              <w:t>Vorschrift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72375" w:rsidRPr="00577AB0" w:rsidRDefault="003A4017" w:rsidP="00577AB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de-DE"/>
              </w:rPr>
            </w:pPr>
            <w:r w:rsidRPr="00577AB0">
              <w:rPr>
                <w:i/>
                <w:sz w:val="16"/>
                <w:lang w:val="de-DE"/>
              </w:rPr>
              <w:t>Bau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72375" w:rsidRPr="00577AB0" w:rsidRDefault="003A4017" w:rsidP="00577AB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de-DE"/>
              </w:rPr>
            </w:pPr>
            <w:r w:rsidRPr="00577AB0">
              <w:rPr>
                <w:i/>
                <w:sz w:val="16"/>
                <w:lang w:val="de-DE"/>
              </w:rPr>
              <w:t>Sicherheitsmaßnahme</w:t>
            </w:r>
          </w:p>
        </w:tc>
      </w:tr>
      <w:tr w:rsidR="00C72375" w:rsidRPr="00577AB0" w:rsidTr="00C72375">
        <w:tc>
          <w:tcPr>
            <w:tcW w:w="2128" w:type="dxa"/>
            <w:tcBorders>
              <w:top w:val="single" w:sz="12" w:space="0" w:color="auto"/>
            </w:tcBorders>
            <w:shd w:val="clear" w:color="auto" w:fill="auto"/>
          </w:tcPr>
          <w:p w:rsidR="00C72375" w:rsidRPr="00577AB0" w:rsidRDefault="003A4017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>1.2.1 (Typ-C-Schiff mit Glattdeck)</w:t>
            </w:r>
          </w:p>
        </w:tc>
        <w:tc>
          <w:tcPr>
            <w:tcW w:w="2516" w:type="dxa"/>
            <w:tcBorders>
              <w:top w:val="single" w:sz="12" w:space="0" w:color="auto"/>
            </w:tcBorders>
            <w:shd w:val="clear" w:color="auto" w:fill="auto"/>
          </w:tcPr>
          <w:p w:rsidR="00C72375" w:rsidRPr="00577AB0" w:rsidRDefault="003A4017" w:rsidP="0048336C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 xml:space="preserve">Der Leichter ist als Typ-C-Schiff </w:t>
            </w:r>
            <w:r w:rsidR="0048336C">
              <w:rPr>
                <w:lang w:val="de-DE"/>
              </w:rPr>
              <w:t>klassifiziert</w:t>
            </w:r>
            <w:r w:rsidRPr="00577AB0">
              <w:rPr>
                <w:lang w:val="de-DE"/>
              </w:rPr>
              <w:t xml:space="preserve">, </w:t>
            </w:r>
            <w:r w:rsidR="008B49AE" w:rsidRPr="00577AB0">
              <w:rPr>
                <w:lang w:val="de-DE"/>
              </w:rPr>
              <w:t>sein</w:t>
            </w:r>
            <w:r w:rsidRPr="00577AB0">
              <w:rPr>
                <w:lang w:val="de-DE"/>
              </w:rPr>
              <w:t xml:space="preserve"> </w:t>
            </w:r>
            <w:r w:rsidR="0000083C" w:rsidRPr="00577AB0">
              <w:rPr>
                <w:lang w:val="de-DE"/>
              </w:rPr>
              <w:t xml:space="preserve">Pumpenraum </w:t>
            </w:r>
            <w:r w:rsidR="008B49AE" w:rsidRPr="00577AB0">
              <w:rPr>
                <w:lang w:val="de-DE"/>
              </w:rPr>
              <w:t>erstreckt</w:t>
            </w:r>
            <w:r w:rsidR="0000083C" w:rsidRPr="00577AB0">
              <w:rPr>
                <w:lang w:val="de-DE"/>
              </w:rPr>
              <w:t xml:space="preserve"> </w:t>
            </w:r>
            <w:r w:rsidR="00AB7434" w:rsidRPr="00577AB0">
              <w:rPr>
                <w:lang w:val="de-DE"/>
              </w:rPr>
              <w:t xml:space="preserve">sich </w:t>
            </w:r>
            <w:r w:rsidR="008B49AE" w:rsidRPr="00577AB0">
              <w:rPr>
                <w:lang w:val="de-DE"/>
              </w:rPr>
              <w:t xml:space="preserve">jedoch </w:t>
            </w:r>
            <w:r w:rsidR="00FD30A9" w:rsidRPr="00577AB0">
              <w:rPr>
                <w:lang w:val="de-DE"/>
              </w:rPr>
              <w:t>über</w:t>
            </w:r>
            <w:r w:rsidR="00AB7434" w:rsidRPr="00577AB0">
              <w:rPr>
                <w:lang w:val="de-DE"/>
              </w:rPr>
              <w:t xml:space="preserve"> das Hauptdeck.</w:t>
            </w:r>
            <w:r w:rsidR="00C72375" w:rsidRPr="00577AB0">
              <w:rPr>
                <w:lang w:val="de-DE"/>
              </w:rPr>
              <w:t xml:space="preserve"> </w:t>
            </w:r>
            <w:r w:rsidR="0000083C" w:rsidRPr="00577AB0">
              <w:rPr>
                <w:lang w:val="de-DE"/>
              </w:rPr>
              <w:t xml:space="preserve">Die </w:t>
            </w:r>
            <w:r w:rsidR="00D516F5" w:rsidRPr="00577AB0">
              <w:rPr>
                <w:lang w:val="de-DE"/>
              </w:rPr>
              <w:t xml:space="preserve">auf dem Hauptdeck </w:t>
            </w:r>
            <w:r w:rsidR="00AC6BE8" w:rsidRPr="00577AB0">
              <w:rPr>
                <w:lang w:val="de-DE"/>
              </w:rPr>
              <w:t xml:space="preserve">um </w:t>
            </w:r>
            <w:r w:rsidR="00097A05" w:rsidRPr="00577AB0">
              <w:rPr>
                <w:lang w:val="de-DE"/>
              </w:rPr>
              <w:t xml:space="preserve">den Pumpenraum </w:t>
            </w:r>
            <w:r w:rsidR="00AC6BE8" w:rsidRPr="00577AB0">
              <w:rPr>
                <w:lang w:val="de-DE"/>
              </w:rPr>
              <w:t>befindlichen</w:t>
            </w:r>
            <w:r w:rsidR="008F744E" w:rsidRPr="00577AB0">
              <w:rPr>
                <w:lang w:val="de-DE"/>
              </w:rPr>
              <w:t xml:space="preserve"> </w:t>
            </w:r>
            <w:r w:rsidR="00097A05" w:rsidRPr="00577AB0">
              <w:rPr>
                <w:lang w:val="de-DE"/>
              </w:rPr>
              <w:t>Gefahrenzonen entsprechen den BV-Regeln NR 217, Teil D, Anh. 1, 1.7.2. Der Pumpenraum erfüllt die einschlägigen ADN-Anforderungen.</w:t>
            </w:r>
          </w:p>
        </w:tc>
        <w:tc>
          <w:tcPr>
            <w:tcW w:w="2726" w:type="dxa"/>
            <w:tcBorders>
              <w:top w:val="single" w:sz="12" w:space="0" w:color="auto"/>
            </w:tcBorders>
            <w:shd w:val="clear" w:color="auto" w:fill="auto"/>
          </w:tcPr>
          <w:p w:rsidR="00C72375" w:rsidRPr="00577AB0" w:rsidRDefault="00F60FD5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>E</w:t>
            </w:r>
            <w:r w:rsidR="00097A05" w:rsidRPr="00577AB0">
              <w:rPr>
                <w:lang w:val="de-DE"/>
              </w:rPr>
              <w:t xml:space="preserve">in </w:t>
            </w:r>
            <w:r w:rsidRPr="00577AB0">
              <w:rPr>
                <w:lang w:val="de-DE"/>
              </w:rPr>
              <w:t xml:space="preserve">an Deck installiertes </w:t>
            </w:r>
            <w:r w:rsidR="00097A05" w:rsidRPr="00577AB0">
              <w:rPr>
                <w:lang w:val="de-DE"/>
              </w:rPr>
              <w:t xml:space="preserve">Kamerasystem </w:t>
            </w:r>
            <w:r w:rsidRPr="00577AB0">
              <w:rPr>
                <w:lang w:val="de-DE"/>
              </w:rPr>
              <w:t>ermöglicht</w:t>
            </w:r>
            <w:r w:rsidR="00356EF3" w:rsidRPr="00577AB0">
              <w:rPr>
                <w:lang w:val="de-DE"/>
              </w:rPr>
              <w:t xml:space="preserve"> </w:t>
            </w:r>
            <w:r w:rsidRPr="00577AB0">
              <w:rPr>
                <w:lang w:val="de-DE"/>
              </w:rPr>
              <w:t xml:space="preserve">von den Betriebsräumen aus </w:t>
            </w:r>
            <w:r w:rsidR="00356EF3" w:rsidRPr="00577AB0">
              <w:rPr>
                <w:lang w:val="de-DE"/>
              </w:rPr>
              <w:t>einen vollständigen Überblick</w:t>
            </w:r>
            <w:r w:rsidRPr="00577AB0">
              <w:rPr>
                <w:lang w:val="de-DE"/>
              </w:rPr>
              <w:t xml:space="preserve"> an Bord</w:t>
            </w:r>
            <w:r w:rsidR="00356EF3" w:rsidRPr="00577AB0">
              <w:rPr>
                <w:lang w:val="de-DE"/>
              </w:rPr>
              <w:t>.</w:t>
            </w:r>
            <w:r w:rsidR="00C72375" w:rsidRPr="00577AB0">
              <w:rPr>
                <w:lang w:val="de-DE"/>
              </w:rPr>
              <w:t xml:space="preserve"> </w:t>
            </w:r>
            <w:r w:rsidR="00333ED3" w:rsidRPr="00577AB0">
              <w:rPr>
                <w:lang w:val="de-DE"/>
              </w:rPr>
              <w:t>Der Pumpenraum entspricht den BV-Klassenvorschriften.</w:t>
            </w:r>
            <w:r w:rsidR="00C72375" w:rsidRPr="00577AB0">
              <w:rPr>
                <w:lang w:val="de-DE"/>
              </w:rPr>
              <w:t xml:space="preserve">  </w:t>
            </w:r>
          </w:p>
        </w:tc>
      </w:tr>
      <w:tr w:rsidR="00C72375" w:rsidRPr="00B56D64" w:rsidTr="00D473BE">
        <w:tc>
          <w:tcPr>
            <w:tcW w:w="2128" w:type="dxa"/>
            <w:tcBorders>
              <w:bottom w:val="nil"/>
            </w:tcBorders>
            <w:shd w:val="clear" w:color="auto" w:fill="auto"/>
          </w:tcPr>
          <w:p w:rsidR="00C72375" w:rsidRPr="00577AB0" w:rsidRDefault="000000E7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>9.3.2.17.2 (Zugänge von Räumen und Öffnungen)</w:t>
            </w:r>
          </w:p>
        </w:tc>
        <w:tc>
          <w:tcPr>
            <w:tcW w:w="2516" w:type="dxa"/>
            <w:tcBorders>
              <w:bottom w:val="nil"/>
            </w:tcBorders>
            <w:shd w:val="clear" w:color="auto" w:fill="auto"/>
          </w:tcPr>
          <w:p w:rsidR="00C72375" w:rsidRPr="00577AB0" w:rsidRDefault="000000E7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>Die Tür zum Betriebsraum zeigt zum Ladungsbereich. Die Tür öffnet nach außen, um im Notfall die Flucht zu erleichtern.</w:t>
            </w:r>
          </w:p>
        </w:tc>
        <w:tc>
          <w:tcPr>
            <w:tcW w:w="2726" w:type="dxa"/>
            <w:tcBorders>
              <w:bottom w:val="nil"/>
            </w:tcBorders>
            <w:shd w:val="clear" w:color="auto" w:fill="auto"/>
          </w:tcPr>
          <w:p w:rsidR="00C72375" w:rsidRPr="00577AB0" w:rsidRDefault="006C2B41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>An der Tür ist ein</w:t>
            </w:r>
            <w:r w:rsidR="00447AAB" w:rsidRPr="00577AB0">
              <w:rPr>
                <w:lang w:val="de-DE"/>
              </w:rPr>
              <w:t>e</w:t>
            </w:r>
            <w:r w:rsidRPr="00577AB0">
              <w:rPr>
                <w:lang w:val="de-DE"/>
              </w:rPr>
              <w:t xml:space="preserve"> </w:t>
            </w:r>
            <w:r w:rsidR="00447AAB" w:rsidRPr="00577AB0">
              <w:rPr>
                <w:lang w:val="de-DE"/>
              </w:rPr>
              <w:t>Gasspüranlage installiert.</w:t>
            </w:r>
            <w:r w:rsidR="00C72375" w:rsidRPr="00577AB0">
              <w:rPr>
                <w:lang w:val="de-DE"/>
              </w:rPr>
              <w:t xml:space="preserve"> </w:t>
            </w:r>
            <w:r w:rsidR="00447AAB" w:rsidRPr="00577AB0">
              <w:rPr>
                <w:lang w:val="de-DE"/>
              </w:rPr>
              <w:t>Diese</w:t>
            </w:r>
            <w:r w:rsidR="000F452C" w:rsidRPr="00577AB0">
              <w:rPr>
                <w:lang w:val="de-DE"/>
              </w:rPr>
              <w:t xml:space="preserve"> Anlage</w:t>
            </w:r>
            <w:r w:rsidR="00447AAB" w:rsidRPr="00577AB0">
              <w:rPr>
                <w:lang w:val="de-DE"/>
              </w:rPr>
              <w:t xml:space="preserve"> </w:t>
            </w:r>
            <w:r w:rsidR="0092496D" w:rsidRPr="00577AB0">
              <w:rPr>
                <w:lang w:val="de-DE"/>
              </w:rPr>
              <w:t xml:space="preserve">ist mit einem </w:t>
            </w:r>
            <w:r w:rsidR="009A66E9" w:rsidRPr="00577AB0">
              <w:rPr>
                <w:lang w:val="de-DE"/>
              </w:rPr>
              <w:t>opti</w:t>
            </w:r>
            <w:r w:rsidR="0092496D" w:rsidRPr="00577AB0">
              <w:rPr>
                <w:lang w:val="de-DE"/>
              </w:rPr>
              <w:t>schen</w:t>
            </w:r>
            <w:r w:rsidR="009A66E9" w:rsidRPr="00577AB0">
              <w:rPr>
                <w:lang w:val="de-DE"/>
              </w:rPr>
              <w:t xml:space="preserve"> Signal</w:t>
            </w:r>
            <w:r w:rsidR="0092496D" w:rsidRPr="00577AB0">
              <w:rPr>
                <w:lang w:val="de-DE"/>
              </w:rPr>
              <w:t xml:space="preserve"> </w:t>
            </w:r>
            <w:r w:rsidR="00945F0C" w:rsidRPr="00577AB0">
              <w:rPr>
                <w:lang w:val="de-DE"/>
              </w:rPr>
              <w:t>ausgestattet</w:t>
            </w:r>
            <w:r w:rsidR="009A66E9" w:rsidRPr="00577AB0">
              <w:rPr>
                <w:lang w:val="de-DE"/>
              </w:rPr>
              <w:t>, das anzeigt, ob die Gasspüranlage ordnungsgemäß funktioniert.</w:t>
            </w:r>
          </w:p>
        </w:tc>
      </w:tr>
      <w:tr w:rsidR="00C72375" w:rsidRPr="00B56D64" w:rsidTr="00D473BE">
        <w:tc>
          <w:tcPr>
            <w:tcW w:w="212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72375" w:rsidRPr="00577AB0" w:rsidRDefault="00F82955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>9.3.2.17.6 und 9.3.2.28 (Alarm</w:t>
            </w:r>
            <w:r w:rsidR="00E77FA0" w:rsidRPr="00577AB0">
              <w:rPr>
                <w:lang w:val="de-DE"/>
              </w:rPr>
              <w:t>e</w:t>
            </w:r>
            <w:r w:rsidRPr="00577AB0">
              <w:rPr>
                <w:lang w:val="de-DE"/>
              </w:rPr>
              <w:t>, Signal</w:t>
            </w:r>
            <w:r w:rsidR="00E77FA0" w:rsidRPr="00577AB0">
              <w:rPr>
                <w:lang w:val="de-DE"/>
              </w:rPr>
              <w:t>e</w:t>
            </w:r>
            <w:r w:rsidRPr="00577AB0">
              <w:rPr>
                <w:lang w:val="de-DE"/>
              </w:rPr>
              <w:t xml:space="preserve"> </w:t>
            </w:r>
            <w:r w:rsidR="00E77FA0" w:rsidRPr="00577AB0">
              <w:rPr>
                <w:lang w:val="de-DE"/>
              </w:rPr>
              <w:t>u</w:t>
            </w:r>
            <w:r w:rsidRPr="00577AB0">
              <w:rPr>
                <w:lang w:val="de-DE"/>
              </w:rPr>
              <w:t xml:space="preserve">nd </w:t>
            </w:r>
            <w:r w:rsidR="00E77FA0" w:rsidRPr="00577AB0">
              <w:rPr>
                <w:lang w:val="de-DE"/>
              </w:rPr>
              <w:t>Auslösung</w:t>
            </w:r>
            <w:r w:rsidRPr="00577AB0">
              <w:rPr>
                <w:lang w:val="de-DE"/>
              </w:rPr>
              <w:t xml:space="preserve"> </w:t>
            </w:r>
            <w:r w:rsidR="00E77FA0" w:rsidRPr="00577AB0">
              <w:rPr>
                <w:lang w:val="de-DE"/>
              </w:rPr>
              <w:t>der</w:t>
            </w:r>
            <w:r w:rsidRPr="00577AB0">
              <w:rPr>
                <w:lang w:val="de-DE"/>
              </w:rPr>
              <w:t xml:space="preserve"> </w:t>
            </w:r>
            <w:r w:rsidR="00E77FA0" w:rsidRPr="00577AB0">
              <w:rPr>
                <w:lang w:val="de-DE"/>
              </w:rPr>
              <w:t>Sicher</w:t>
            </w:r>
            <w:r w:rsidR="00577AB0">
              <w:rPr>
                <w:lang w:val="de-DE"/>
              </w:rPr>
              <w:softHyphen/>
            </w:r>
            <w:r w:rsidR="00E77FA0" w:rsidRPr="00577AB0">
              <w:rPr>
                <w:lang w:val="de-DE"/>
              </w:rPr>
              <w:t>heitseinrichtungen</w:t>
            </w:r>
            <w:r w:rsidRPr="00577AB0">
              <w:rPr>
                <w:lang w:val="de-DE"/>
              </w:rPr>
              <w:t>)</w:t>
            </w:r>
          </w:p>
        </w:tc>
        <w:tc>
          <w:tcPr>
            <w:tcW w:w="251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72375" w:rsidRPr="00577AB0" w:rsidRDefault="00E77FA0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>Gemäß ADN müssen im Steuerhaus mehrere Alarme und Signale sowie Schalter zu</w:t>
            </w:r>
            <w:r w:rsidR="002661EC" w:rsidRPr="00577AB0">
              <w:rPr>
                <w:lang w:val="de-DE"/>
              </w:rPr>
              <w:t>m</w:t>
            </w:r>
            <w:r w:rsidRPr="00577AB0">
              <w:rPr>
                <w:lang w:val="de-DE"/>
              </w:rPr>
              <w:t xml:space="preserve"> </w:t>
            </w:r>
            <w:r w:rsidR="002661EC" w:rsidRPr="00577AB0">
              <w:rPr>
                <w:lang w:val="de-DE"/>
              </w:rPr>
              <w:t>Ein</w:t>
            </w:r>
            <w:r w:rsidRPr="00577AB0">
              <w:rPr>
                <w:lang w:val="de-DE"/>
              </w:rPr>
              <w:t>schalt</w:t>
            </w:r>
            <w:r w:rsidR="002661EC" w:rsidRPr="00577AB0">
              <w:rPr>
                <w:lang w:val="de-DE"/>
              </w:rPr>
              <w:t>en</w:t>
            </w:r>
            <w:r w:rsidRPr="00577AB0">
              <w:rPr>
                <w:lang w:val="de-DE"/>
              </w:rPr>
              <w:t xml:space="preserve"> </w:t>
            </w:r>
            <w:r w:rsidR="002661EC" w:rsidRPr="00577AB0">
              <w:rPr>
                <w:lang w:val="de-DE"/>
              </w:rPr>
              <w:t>der</w:t>
            </w:r>
            <w:r w:rsidRPr="00577AB0">
              <w:rPr>
                <w:lang w:val="de-DE"/>
              </w:rPr>
              <w:t xml:space="preserve"> Sicherheitseinrichtungen wie d</w:t>
            </w:r>
            <w:r w:rsidR="0045649F" w:rsidRPr="00577AB0">
              <w:rPr>
                <w:lang w:val="de-DE"/>
              </w:rPr>
              <w:t>e</w:t>
            </w:r>
            <w:r w:rsidR="002661EC" w:rsidRPr="00577AB0">
              <w:rPr>
                <w:lang w:val="de-DE"/>
              </w:rPr>
              <w:t>r</w:t>
            </w:r>
            <w:r w:rsidR="0045649F" w:rsidRPr="00577AB0">
              <w:rPr>
                <w:lang w:val="de-DE"/>
              </w:rPr>
              <w:t xml:space="preserve"> Wassersprühanlage</w:t>
            </w:r>
            <w:r w:rsidRPr="00577AB0">
              <w:rPr>
                <w:lang w:val="de-DE"/>
              </w:rPr>
              <w:t xml:space="preserve"> vorgesehen sein.</w:t>
            </w:r>
            <w:r w:rsidR="00C72375" w:rsidRPr="00577AB0">
              <w:rPr>
                <w:lang w:val="de-DE"/>
              </w:rPr>
              <w:t xml:space="preserve"> </w:t>
            </w:r>
            <w:r w:rsidR="0045649F" w:rsidRPr="00577AB0">
              <w:rPr>
                <w:lang w:val="de-DE"/>
              </w:rPr>
              <w:t xml:space="preserve">Der Schubleichter wird jedoch von den Betriebsräumen an Bord des Leichters und nicht vom Steuerhaus des </w:t>
            </w:r>
            <w:r w:rsidR="00B92DEA" w:rsidRPr="00577AB0">
              <w:rPr>
                <w:lang w:val="de-DE"/>
              </w:rPr>
              <w:t>Schubschiffes</w:t>
            </w:r>
            <w:r w:rsidR="00E029AD" w:rsidRPr="00577AB0">
              <w:rPr>
                <w:lang w:val="de-DE"/>
              </w:rPr>
              <w:t xml:space="preserve"> aus bedient</w:t>
            </w:r>
            <w:r w:rsidR="00B92DEA" w:rsidRPr="00577AB0">
              <w:rPr>
                <w:lang w:val="de-DE"/>
              </w:rPr>
              <w:t>.</w:t>
            </w:r>
          </w:p>
        </w:tc>
        <w:tc>
          <w:tcPr>
            <w:tcW w:w="27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72375" w:rsidRPr="00577AB0" w:rsidRDefault="00973F2A" w:rsidP="00577AB0">
            <w:pPr>
              <w:suppressAutoHyphens w:val="0"/>
              <w:spacing w:before="40" w:after="120" w:line="220" w:lineRule="exact"/>
              <w:ind w:right="113"/>
              <w:rPr>
                <w:lang w:val="de-DE"/>
              </w:rPr>
            </w:pPr>
            <w:r w:rsidRPr="00577AB0">
              <w:rPr>
                <w:lang w:val="de-DE"/>
              </w:rPr>
              <w:t xml:space="preserve">Alle relevanten Alarme, Signale und Schalter </w:t>
            </w:r>
            <w:r w:rsidR="00945F0C" w:rsidRPr="00577AB0">
              <w:rPr>
                <w:lang w:val="de-DE"/>
              </w:rPr>
              <w:t xml:space="preserve">zum Einschalten der Sicherheitseinrichtungen </w:t>
            </w:r>
            <w:r w:rsidRPr="00577AB0">
              <w:rPr>
                <w:lang w:val="de-DE"/>
              </w:rPr>
              <w:t>befinden sich in den Betriebsräumen an Bord des Leichters.</w:t>
            </w:r>
          </w:p>
        </w:tc>
      </w:tr>
    </w:tbl>
    <w:p w:rsidR="00C72375" w:rsidRPr="00577AB0" w:rsidRDefault="00C72375" w:rsidP="00E34113">
      <w:pPr>
        <w:pStyle w:val="SingleTxtG"/>
        <w:spacing w:before="120"/>
        <w:rPr>
          <w:lang w:val="de-DE"/>
        </w:rPr>
      </w:pPr>
      <w:r w:rsidRPr="00577AB0">
        <w:rPr>
          <w:lang w:val="de-DE"/>
        </w:rPr>
        <w:t>4.</w:t>
      </w:r>
      <w:r w:rsidRPr="00577AB0">
        <w:rPr>
          <w:lang w:val="de-DE"/>
        </w:rPr>
        <w:tab/>
      </w:r>
      <w:r w:rsidR="00973F2A" w:rsidRPr="00577AB0">
        <w:rPr>
          <w:lang w:val="de-DE"/>
        </w:rPr>
        <w:t xml:space="preserve">Anlage I enthält einen Textvorschlag für </w:t>
      </w:r>
      <w:r w:rsidR="00052D64" w:rsidRPr="00577AB0">
        <w:rPr>
          <w:lang w:val="de-DE"/>
        </w:rPr>
        <w:t>die g</w:t>
      </w:r>
      <w:r w:rsidR="00E9574C" w:rsidRPr="00577AB0">
        <w:rPr>
          <w:lang w:val="de-DE"/>
        </w:rPr>
        <w:t>e</w:t>
      </w:r>
      <w:r w:rsidR="00052D64" w:rsidRPr="00577AB0">
        <w:rPr>
          <w:lang w:val="de-DE"/>
        </w:rPr>
        <w:t>g</w:t>
      </w:r>
      <w:r w:rsidR="00E9574C" w:rsidRPr="00577AB0">
        <w:rPr>
          <w:lang w:val="de-DE"/>
        </w:rPr>
        <w:t>ebenen</w:t>
      </w:r>
      <w:r w:rsidR="00052D64" w:rsidRPr="00577AB0">
        <w:rPr>
          <w:lang w:val="de-DE"/>
        </w:rPr>
        <w:t>f</w:t>
      </w:r>
      <w:r w:rsidR="00E9574C" w:rsidRPr="00577AB0">
        <w:rPr>
          <w:lang w:val="de-DE"/>
        </w:rPr>
        <w:t>alls</w:t>
      </w:r>
      <w:r w:rsidR="00052D64" w:rsidRPr="00577AB0">
        <w:rPr>
          <w:lang w:val="de-DE"/>
        </w:rPr>
        <w:t xml:space="preserve"> zu gewährende</w:t>
      </w:r>
      <w:r w:rsidR="00973F2A" w:rsidRPr="00577AB0">
        <w:rPr>
          <w:lang w:val="de-DE"/>
        </w:rPr>
        <w:t xml:space="preserve"> Abweichung.</w:t>
      </w:r>
    </w:p>
    <w:p w:rsidR="00C72375" w:rsidRPr="00577AB0" w:rsidRDefault="00C72375" w:rsidP="00C72375">
      <w:pPr>
        <w:pStyle w:val="SingleTxtG"/>
        <w:spacing w:before="120"/>
        <w:rPr>
          <w:lang w:val="de-DE"/>
        </w:rPr>
      </w:pPr>
      <w:r w:rsidRPr="00577AB0">
        <w:rPr>
          <w:lang w:val="de-DE"/>
        </w:rPr>
        <w:br w:type="page"/>
      </w:r>
    </w:p>
    <w:p w:rsidR="00C72375" w:rsidRPr="00577AB0" w:rsidRDefault="00E34113" w:rsidP="00E34113">
      <w:pPr>
        <w:pStyle w:val="HChG"/>
        <w:rPr>
          <w:lang w:val="de-DE"/>
        </w:rPr>
      </w:pPr>
      <w:r w:rsidRPr="00577AB0">
        <w:rPr>
          <w:lang w:val="de-DE"/>
        </w:rPr>
        <w:lastRenderedPageBreak/>
        <w:t>Anlage I</w:t>
      </w:r>
    </w:p>
    <w:p w:rsidR="00C72375" w:rsidRPr="00577AB0" w:rsidRDefault="00C72375" w:rsidP="00E34113">
      <w:pPr>
        <w:pStyle w:val="HChG"/>
        <w:rPr>
          <w:lang w:val="de-DE"/>
        </w:rPr>
      </w:pPr>
      <w:r w:rsidRPr="00577AB0">
        <w:rPr>
          <w:lang w:val="de-DE"/>
        </w:rPr>
        <w:tab/>
      </w:r>
      <w:r w:rsidRPr="00577AB0">
        <w:rPr>
          <w:lang w:val="de-DE"/>
        </w:rPr>
        <w:tab/>
      </w:r>
      <w:r w:rsidR="00E34113" w:rsidRPr="00577AB0">
        <w:rPr>
          <w:lang w:val="de-DE"/>
        </w:rPr>
        <w:t>Entscheidung des ADN-Verwaltungsausschusses bezüglich des Leichters „Don Quichot“</w:t>
      </w:r>
    </w:p>
    <w:p w:rsidR="00C72375" w:rsidRPr="00577AB0" w:rsidRDefault="00C72375" w:rsidP="00E34113">
      <w:pPr>
        <w:pStyle w:val="H23G"/>
        <w:rPr>
          <w:lang w:val="de-DE"/>
        </w:rPr>
      </w:pPr>
      <w:r w:rsidRPr="00577AB0">
        <w:rPr>
          <w:lang w:val="de-DE"/>
        </w:rPr>
        <w:tab/>
      </w:r>
      <w:r w:rsidRPr="00577AB0">
        <w:rPr>
          <w:lang w:val="de-DE"/>
        </w:rPr>
        <w:tab/>
      </w:r>
      <w:r w:rsidR="00E34113" w:rsidRPr="00577AB0">
        <w:rPr>
          <w:lang w:val="de-DE"/>
        </w:rPr>
        <w:t>Abweichung Nr. xx/2017 vom 27. Januar 2017</w:t>
      </w:r>
    </w:p>
    <w:p w:rsidR="00C72375" w:rsidRPr="00577AB0" w:rsidRDefault="00E34113" w:rsidP="00FD30A9">
      <w:pPr>
        <w:pStyle w:val="SingleTxtG"/>
        <w:rPr>
          <w:lang w:val="de-DE"/>
        </w:rPr>
      </w:pPr>
      <w:r w:rsidRPr="00577AB0">
        <w:rPr>
          <w:lang w:val="de-DE"/>
        </w:rPr>
        <w:t>Die zuständige Behörde der Niederlande wird ermächtigt, dem Leichter Don Quichot (ENI</w:t>
      </w:r>
      <w:r w:rsidR="000D1A5F" w:rsidRPr="00577AB0">
        <w:rPr>
          <w:lang w:val="de-DE"/>
        </w:rPr>
        <w:t>-Nummer</w:t>
      </w:r>
      <w:r w:rsidRPr="00577AB0">
        <w:rPr>
          <w:lang w:val="de-DE"/>
        </w:rPr>
        <w:t xml:space="preserve"> 02336771 und Registernummer BV 27930L)</w:t>
      </w:r>
      <w:r w:rsidR="00E9220F" w:rsidRPr="00577AB0">
        <w:rPr>
          <w:lang w:val="de-DE"/>
        </w:rPr>
        <w:t xml:space="preserve"> als Typ-C-Schiff, so die Bezeichnung im ADN, ein Versuchszulassungszeugnis auszustellen.</w:t>
      </w:r>
    </w:p>
    <w:p w:rsidR="00C72375" w:rsidRPr="00577AB0" w:rsidRDefault="000D1A5F" w:rsidP="00FD30A9">
      <w:pPr>
        <w:pStyle w:val="SingleTxtG"/>
        <w:rPr>
          <w:lang w:val="de-DE"/>
        </w:rPr>
      </w:pPr>
      <w:r w:rsidRPr="00577AB0">
        <w:rPr>
          <w:lang w:val="de-DE"/>
        </w:rPr>
        <w:t>Gemäß Unterabschnitt 1.5.3.2 der dem ADN beigefügten Verordnung ist für dieses Schiff bis 31. Dezember 2021 eine Abweichung von den folgenden Anforderungen zulässig.</w:t>
      </w:r>
    </w:p>
    <w:p w:rsidR="00C72375" w:rsidRPr="00577AB0" w:rsidRDefault="00C72375" w:rsidP="00AE67F1">
      <w:pPr>
        <w:pStyle w:val="SingleTxtG"/>
        <w:rPr>
          <w:rFonts w:eastAsia="Calibri"/>
          <w:lang w:val="de-DE"/>
        </w:rPr>
      </w:pPr>
      <w:r w:rsidRPr="00577AB0">
        <w:rPr>
          <w:rFonts w:eastAsia="Calibri"/>
          <w:lang w:val="de-DE"/>
        </w:rPr>
        <w:t>1.</w:t>
      </w:r>
      <w:r w:rsidRPr="00577AB0">
        <w:rPr>
          <w:rFonts w:eastAsia="Calibri"/>
          <w:lang w:val="de-DE"/>
        </w:rPr>
        <w:tab/>
      </w:r>
      <w:r w:rsidR="000D1A5F" w:rsidRPr="00577AB0">
        <w:rPr>
          <w:rFonts w:eastAsia="Calibri"/>
          <w:lang w:val="de-DE"/>
        </w:rPr>
        <w:t>1.2.1, Typ C:</w:t>
      </w:r>
      <w:r w:rsidRPr="00577AB0">
        <w:rPr>
          <w:rFonts w:eastAsia="Calibri"/>
          <w:lang w:val="de-DE"/>
        </w:rPr>
        <w:t xml:space="preserve"> </w:t>
      </w:r>
      <w:r w:rsidR="000D1A5F" w:rsidRPr="00577AB0">
        <w:rPr>
          <w:rFonts w:eastAsia="Calibri"/>
          <w:lang w:val="de-DE"/>
        </w:rPr>
        <w:t xml:space="preserve">Der Leichter hat kein Glattdeck, da </w:t>
      </w:r>
      <w:r w:rsidR="00FD30A9" w:rsidRPr="00577AB0">
        <w:rPr>
          <w:rFonts w:eastAsia="Calibri"/>
          <w:lang w:val="de-DE"/>
        </w:rPr>
        <w:t>sein</w:t>
      </w:r>
      <w:r w:rsidR="000D1A5F" w:rsidRPr="00577AB0">
        <w:rPr>
          <w:rFonts w:eastAsia="Calibri"/>
          <w:lang w:val="de-DE"/>
        </w:rPr>
        <w:t xml:space="preserve"> Pumpenraum </w:t>
      </w:r>
      <w:r w:rsidR="00AE67F1" w:rsidRPr="00577AB0">
        <w:rPr>
          <w:rFonts w:eastAsia="Calibri"/>
          <w:lang w:val="de-DE"/>
        </w:rPr>
        <w:t xml:space="preserve">sich </w:t>
      </w:r>
      <w:r w:rsidR="00FD30A9" w:rsidRPr="00577AB0">
        <w:rPr>
          <w:lang w:val="de-DE"/>
        </w:rPr>
        <w:t>über</w:t>
      </w:r>
      <w:r w:rsidR="001D42BF" w:rsidRPr="00577AB0">
        <w:rPr>
          <w:lang w:val="de-DE"/>
        </w:rPr>
        <w:t xml:space="preserve"> das Hauptdeck erstreckt.</w:t>
      </w:r>
      <w:r w:rsidRPr="00577AB0">
        <w:rPr>
          <w:rFonts w:eastAsia="Calibri"/>
          <w:lang w:val="de-DE"/>
        </w:rPr>
        <w:t xml:space="preserve"> </w:t>
      </w:r>
      <w:r w:rsidR="00416588" w:rsidRPr="00577AB0">
        <w:rPr>
          <w:rFonts w:eastAsia="Calibri"/>
          <w:lang w:val="de-DE"/>
        </w:rPr>
        <w:t>Der Leichter ist mit einem Kamerasystem ausgerüstet und der Pumpenraum entspricht den BV-Klassenvorschriften.</w:t>
      </w:r>
    </w:p>
    <w:p w:rsidR="00C72375" w:rsidRPr="00577AB0" w:rsidRDefault="00C72375" w:rsidP="00AE67F1">
      <w:pPr>
        <w:pStyle w:val="SingleTxtG"/>
        <w:rPr>
          <w:rFonts w:eastAsia="Calibri"/>
          <w:lang w:val="de-DE"/>
        </w:rPr>
      </w:pPr>
      <w:r w:rsidRPr="00577AB0">
        <w:rPr>
          <w:rFonts w:eastAsia="Calibri"/>
          <w:lang w:val="de-DE"/>
        </w:rPr>
        <w:t>2.</w:t>
      </w:r>
      <w:r w:rsidRPr="00577AB0">
        <w:rPr>
          <w:rFonts w:eastAsia="Calibri"/>
          <w:lang w:val="de-DE"/>
        </w:rPr>
        <w:tab/>
      </w:r>
      <w:r w:rsidR="000F452C" w:rsidRPr="00577AB0">
        <w:rPr>
          <w:rFonts w:eastAsia="Calibri"/>
          <w:lang w:val="de-DE"/>
        </w:rPr>
        <w:t>9.3.2.17.2, Zugänge von Räumen und Öffnungen:</w:t>
      </w:r>
      <w:r w:rsidRPr="00577AB0">
        <w:rPr>
          <w:rFonts w:eastAsia="Calibri"/>
          <w:lang w:val="de-DE"/>
        </w:rPr>
        <w:t xml:space="preserve"> </w:t>
      </w:r>
      <w:r w:rsidR="000F452C" w:rsidRPr="00577AB0">
        <w:rPr>
          <w:rFonts w:eastAsia="Calibri"/>
          <w:lang w:val="de-DE"/>
        </w:rPr>
        <w:t>Die Tür des Betriebsraums zeigt zum Ladungsbereich und öffnet nach außen.</w:t>
      </w:r>
      <w:r w:rsidRPr="00577AB0">
        <w:rPr>
          <w:rFonts w:eastAsia="Calibri"/>
          <w:lang w:val="de-DE"/>
        </w:rPr>
        <w:t xml:space="preserve"> </w:t>
      </w:r>
      <w:r w:rsidR="000F452C" w:rsidRPr="00577AB0">
        <w:rPr>
          <w:rFonts w:eastAsia="Calibri"/>
          <w:lang w:val="de-DE"/>
        </w:rPr>
        <w:t xml:space="preserve">An der Tür ist eine Gasspüranlage installiert, die mit einem optischen Signal </w:t>
      </w:r>
      <w:r w:rsidR="00AE67F1" w:rsidRPr="00577AB0">
        <w:rPr>
          <w:rFonts w:eastAsia="Calibri"/>
          <w:lang w:val="de-DE"/>
        </w:rPr>
        <w:t>ausgestattet</w:t>
      </w:r>
      <w:r w:rsidR="000F452C" w:rsidRPr="00577AB0">
        <w:rPr>
          <w:rFonts w:eastAsia="Calibri"/>
          <w:lang w:val="de-DE"/>
        </w:rPr>
        <w:t xml:space="preserve"> ist, das anzeigt, ob die Gasspüranlage ordnungsgemäß funktioniert.</w:t>
      </w:r>
    </w:p>
    <w:p w:rsidR="00C72375" w:rsidRPr="00577AB0" w:rsidRDefault="00C72375" w:rsidP="001A6CE2">
      <w:pPr>
        <w:pStyle w:val="SingleTxtG"/>
        <w:rPr>
          <w:rFonts w:eastAsia="Calibri"/>
          <w:lang w:val="de-DE"/>
        </w:rPr>
      </w:pPr>
      <w:r w:rsidRPr="00577AB0">
        <w:rPr>
          <w:rFonts w:eastAsia="Calibri"/>
          <w:lang w:val="de-DE"/>
        </w:rPr>
        <w:t>3.</w:t>
      </w:r>
      <w:r w:rsidRPr="00577AB0">
        <w:rPr>
          <w:rFonts w:eastAsia="Calibri"/>
          <w:lang w:val="de-DE"/>
        </w:rPr>
        <w:tab/>
      </w:r>
      <w:r w:rsidR="005D1B71" w:rsidRPr="00577AB0">
        <w:rPr>
          <w:rFonts w:eastAsia="Calibri"/>
          <w:lang w:val="de-DE"/>
        </w:rPr>
        <w:t>9.3.2.17.6 und 9.3.2.28, Alarme, Signale und Auslösung der Sicherheitseinrichtungen:</w:t>
      </w:r>
      <w:r w:rsidRPr="00577AB0">
        <w:rPr>
          <w:rFonts w:eastAsia="Calibri"/>
          <w:lang w:val="de-DE"/>
        </w:rPr>
        <w:t xml:space="preserve"> </w:t>
      </w:r>
      <w:r w:rsidR="005D1B71" w:rsidRPr="00577AB0">
        <w:rPr>
          <w:rFonts w:eastAsia="Calibri"/>
          <w:lang w:val="de-DE"/>
        </w:rPr>
        <w:t xml:space="preserve">Alarme, Signale und Schalter </w:t>
      </w:r>
      <w:r w:rsidR="00AE67F1" w:rsidRPr="00577AB0">
        <w:rPr>
          <w:rFonts w:eastAsia="Calibri"/>
          <w:lang w:val="de-DE"/>
        </w:rPr>
        <w:t xml:space="preserve">zum Einschalten </w:t>
      </w:r>
      <w:r w:rsidR="00AA2FB0" w:rsidRPr="00577AB0">
        <w:rPr>
          <w:rFonts w:eastAsia="Calibri"/>
          <w:lang w:val="de-DE"/>
        </w:rPr>
        <w:t>der Sicherheitseinrichtungen befinden sich in den Betriebsräumen an Bord des Leichters, da der Leichter von diesen Betriebsräumen und nicht vom Steuerhaus des Schubschiffes aus bedient wird.</w:t>
      </w:r>
    </w:p>
    <w:p w:rsidR="00C72375" w:rsidRPr="00577AB0" w:rsidRDefault="00201A46" w:rsidP="001A6CE2">
      <w:pPr>
        <w:pStyle w:val="SingleTxtG"/>
        <w:rPr>
          <w:lang w:val="de-DE"/>
        </w:rPr>
      </w:pPr>
      <w:r w:rsidRPr="00577AB0">
        <w:rPr>
          <w:lang w:val="de-DE"/>
        </w:rPr>
        <w:t>Der Verwaltungsausschuss hat entschieden, dass die Bauart dieses Leichters hinreichend sicher ist, wenn folgende Bedingungen zu jeder Zeit erfüllt sind:</w:t>
      </w:r>
    </w:p>
    <w:p w:rsidR="00C72375" w:rsidRPr="00577AB0" w:rsidRDefault="00C72375" w:rsidP="001A6CE2">
      <w:pPr>
        <w:pStyle w:val="SingleTxtG"/>
        <w:rPr>
          <w:rFonts w:eastAsia="Calibri"/>
          <w:lang w:val="de-DE"/>
        </w:rPr>
      </w:pPr>
      <w:r w:rsidRPr="00577AB0">
        <w:rPr>
          <w:rFonts w:eastAsia="Calibri"/>
          <w:lang w:val="de-DE"/>
        </w:rPr>
        <w:t>1.</w:t>
      </w:r>
      <w:r w:rsidRPr="00577AB0">
        <w:rPr>
          <w:rFonts w:eastAsia="Calibri"/>
          <w:lang w:val="de-DE"/>
        </w:rPr>
        <w:tab/>
      </w:r>
      <w:r w:rsidR="00201A46" w:rsidRPr="00577AB0">
        <w:rPr>
          <w:rFonts w:eastAsia="Calibri"/>
          <w:lang w:val="de-DE"/>
        </w:rPr>
        <w:t>Der Leichter besitzt ein gültiges Zulassungszeugnis nach der Rheinschiffsuntersuchungsordnung.</w:t>
      </w:r>
    </w:p>
    <w:p w:rsidR="00C72375" w:rsidRPr="00577AB0" w:rsidRDefault="00C72375" w:rsidP="001A6CE2">
      <w:pPr>
        <w:pStyle w:val="SingleTxtG"/>
        <w:rPr>
          <w:lang w:val="de-DE"/>
        </w:rPr>
      </w:pPr>
      <w:r w:rsidRPr="00577AB0">
        <w:rPr>
          <w:rFonts w:eastAsia="Times New Roman"/>
          <w:lang w:val="de-DE" w:eastAsia="en-US"/>
        </w:rPr>
        <w:t>2.</w:t>
      </w:r>
      <w:r w:rsidRPr="00577AB0">
        <w:rPr>
          <w:rFonts w:eastAsia="Times New Roman"/>
          <w:lang w:val="de-DE" w:eastAsia="en-US"/>
        </w:rPr>
        <w:tab/>
      </w:r>
      <w:r w:rsidR="00201A46" w:rsidRPr="00577AB0">
        <w:rPr>
          <w:rFonts w:eastAsia="Times New Roman"/>
          <w:lang w:val="de-DE" w:eastAsia="en-US"/>
        </w:rPr>
        <w:t xml:space="preserve">Ereignet sich an Bord ein Zwischenfall, </w:t>
      </w:r>
      <w:r w:rsidR="000541BC" w:rsidRPr="00577AB0">
        <w:rPr>
          <w:rFonts w:eastAsia="Times New Roman"/>
          <w:lang w:val="de-DE" w:eastAsia="en-US"/>
        </w:rPr>
        <w:t>ist an das UN-ECE-Sekretariat</w:t>
      </w:r>
      <w:r w:rsidR="000E66C6" w:rsidRPr="00577AB0">
        <w:rPr>
          <w:rFonts w:eastAsia="Times New Roman"/>
          <w:lang w:val="de-DE" w:eastAsia="en-US"/>
        </w:rPr>
        <w:t xml:space="preserve"> zur Information des ADN-Sicherheitsausschusses</w:t>
      </w:r>
      <w:r w:rsidR="000541BC" w:rsidRPr="00577AB0">
        <w:rPr>
          <w:rFonts w:eastAsia="Times New Roman"/>
          <w:lang w:val="de-DE" w:eastAsia="en-US"/>
        </w:rPr>
        <w:t xml:space="preserve"> </w:t>
      </w:r>
      <w:r w:rsidR="000E66C6" w:rsidRPr="00577AB0">
        <w:rPr>
          <w:rFonts w:eastAsia="Times New Roman"/>
          <w:lang w:val="de-DE" w:eastAsia="en-US"/>
        </w:rPr>
        <w:t xml:space="preserve">ein Auswertungsbericht über </w:t>
      </w:r>
      <w:r w:rsidR="00D12260" w:rsidRPr="00577AB0">
        <w:rPr>
          <w:rFonts w:eastAsia="Times New Roman"/>
          <w:lang w:val="de-DE" w:eastAsia="en-US"/>
        </w:rPr>
        <w:t>die Anwendung</w:t>
      </w:r>
      <w:r w:rsidR="000E66C6" w:rsidRPr="00577AB0">
        <w:rPr>
          <w:rFonts w:eastAsia="Times New Roman"/>
          <w:lang w:val="de-DE" w:eastAsia="en-US"/>
        </w:rPr>
        <w:t xml:space="preserve"> der zusätzlichen Sicherheitsmaßnahmen </w:t>
      </w:r>
      <w:r w:rsidR="00D12260" w:rsidRPr="00577AB0">
        <w:rPr>
          <w:color w:val="000000"/>
          <w:lang w:val="de-DE"/>
        </w:rPr>
        <w:t xml:space="preserve">einschließlich der Betriebsdaten und des Prüfberichts der Klassifikationsgesellschaft, die die Klassifizierung des Schiffes vorgenommen hat, </w:t>
      </w:r>
      <w:r w:rsidR="00D12260" w:rsidRPr="00577AB0">
        <w:rPr>
          <w:rFonts w:eastAsia="Times New Roman"/>
          <w:lang w:val="de-DE" w:eastAsia="en-US"/>
        </w:rPr>
        <w:t>zu senden.</w:t>
      </w:r>
    </w:p>
    <w:p w:rsidR="00A81985" w:rsidRPr="00B56D64" w:rsidRDefault="00B56D64" w:rsidP="00D2078A">
      <w:pPr>
        <w:spacing w:before="120"/>
        <w:jc w:val="center"/>
        <w:rPr>
          <w:lang w:val="de-DE"/>
        </w:rPr>
      </w:pPr>
      <w:r w:rsidRPr="00B56D64">
        <w:rPr>
          <w:lang w:val="de-DE"/>
        </w:rPr>
        <w:t>***</w:t>
      </w:r>
    </w:p>
    <w:sectPr w:rsidR="00A81985" w:rsidRPr="00B56D64" w:rsidSect="00C32F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46" w:rsidRPr="00FB1744" w:rsidRDefault="00201A46" w:rsidP="00FB1744">
      <w:pPr>
        <w:pStyle w:val="Footer"/>
      </w:pPr>
    </w:p>
  </w:endnote>
  <w:endnote w:type="continuationSeparator" w:id="0">
    <w:p w:rsidR="00201A46" w:rsidRPr="00FB1744" w:rsidRDefault="00201A4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64" w:rsidRPr="00B56D64" w:rsidRDefault="00B56D64" w:rsidP="00B56D64">
    <w:pPr>
      <w:spacing w:line="240" w:lineRule="auto"/>
      <w:jc w:val="right"/>
      <w:rPr>
        <w:lang w:val="fr-FR"/>
      </w:rPr>
    </w:pPr>
    <w:r w:rsidRPr="003D5BD0">
      <w:rPr>
        <w:rFonts w:ascii="Arial" w:hAnsi="Arial"/>
        <w:noProof/>
        <w:sz w:val="12"/>
        <w:szCs w:val="24"/>
        <w:lang w:val="fr-FR" w:eastAsia="fr-FR"/>
      </w:rPr>
      <w:t>mm_ba/adn_wp15_ac2_2017_</w:t>
    </w:r>
    <w:r>
      <w:rPr>
        <w:rFonts w:ascii="Arial" w:hAnsi="Arial"/>
        <w:noProof/>
        <w:sz w:val="12"/>
        <w:szCs w:val="24"/>
        <w:lang w:val="fr-FR" w:eastAsia="fr-FR"/>
      </w:rPr>
      <w:t>15</w:t>
    </w:r>
    <w:r w:rsidRPr="003D5BD0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46" w:rsidRPr="00B56D64" w:rsidRDefault="00B56D64" w:rsidP="00B56D64">
    <w:pPr>
      <w:spacing w:line="240" w:lineRule="auto"/>
      <w:jc w:val="right"/>
      <w:rPr>
        <w:lang w:val="fr-FR"/>
      </w:rPr>
    </w:pPr>
    <w:r w:rsidRPr="003D5BD0">
      <w:rPr>
        <w:rFonts w:ascii="Arial" w:hAnsi="Arial"/>
        <w:noProof/>
        <w:sz w:val="12"/>
        <w:szCs w:val="24"/>
        <w:lang w:val="fr-FR" w:eastAsia="fr-FR"/>
      </w:rPr>
      <w:t>mm_ba/adn_wp15_ac2_2017_</w:t>
    </w:r>
    <w:r>
      <w:rPr>
        <w:rFonts w:ascii="Arial" w:hAnsi="Arial"/>
        <w:noProof/>
        <w:sz w:val="12"/>
        <w:szCs w:val="24"/>
        <w:lang w:val="fr-FR" w:eastAsia="fr-FR"/>
      </w:rPr>
      <w:t>15</w:t>
    </w:r>
    <w:r w:rsidRPr="003D5BD0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A46" w:rsidRPr="00D2078A" w:rsidRDefault="00201A46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46" w:rsidRPr="00FB1744" w:rsidRDefault="00201A4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201A46" w:rsidRPr="00FB1744" w:rsidRDefault="00201A4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01A46" w:rsidRPr="00B56D64" w:rsidRDefault="00201A46" w:rsidP="00392E98">
      <w:pPr>
        <w:pStyle w:val="FootnoteText"/>
        <w:rPr>
          <w:lang w:val="de-DE"/>
        </w:rPr>
      </w:pPr>
      <w:r>
        <w:tab/>
      </w:r>
      <w:r w:rsidRPr="00B56D64">
        <w:rPr>
          <w:rStyle w:val="FootnoteReference"/>
          <w:lang w:val="de-DE"/>
        </w:rPr>
        <w:t>*</w:t>
      </w:r>
      <w:r w:rsidRPr="00B56D64">
        <w:rPr>
          <w:lang w:val="de-DE"/>
        </w:rPr>
        <w:t xml:space="preserve"> </w:t>
      </w:r>
      <w:r w:rsidRPr="00B56D64">
        <w:rPr>
          <w:lang w:val="de-DE"/>
        </w:rPr>
        <w:tab/>
      </w:r>
      <w:r w:rsidRPr="00392E98">
        <w:rPr>
          <w:lang w:val="de-DE"/>
        </w:rPr>
        <w:t xml:space="preserve">Von der UN-ECE in Englisch, Französisch und Russisch unter dem Aktenzeichen </w:t>
      </w:r>
      <w:r w:rsidR="00B56D64" w:rsidRPr="00B56D64">
        <w:rPr>
          <w:lang w:val="de-DE"/>
        </w:rPr>
        <w:t>ECE/TRANS</w:t>
      </w:r>
      <w:r w:rsidRPr="00392E98">
        <w:rPr>
          <w:lang w:val="de-DE"/>
        </w:rPr>
        <w:t>/WP.15/AC.2/2017/15 verteilt.</w:t>
      </w:r>
    </w:p>
  </w:footnote>
  <w:footnote w:id="2">
    <w:p w:rsidR="00201A46" w:rsidRPr="00B56D64" w:rsidRDefault="00201A46" w:rsidP="001F31DD">
      <w:pPr>
        <w:pStyle w:val="FootnoteText"/>
        <w:rPr>
          <w:lang w:val="de-DE"/>
        </w:rPr>
      </w:pPr>
      <w:r w:rsidRPr="00B56D64">
        <w:rPr>
          <w:lang w:val="de-DE"/>
        </w:rPr>
        <w:tab/>
      </w:r>
      <w:r w:rsidRPr="00B56D64">
        <w:rPr>
          <w:rStyle w:val="FootnoteReference"/>
          <w:lang w:val="de-DE"/>
        </w:rPr>
        <w:t>**</w:t>
      </w:r>
      <w:r w:rsidRPr="00B56D64">
        <w:rPr>
          <w:lang w:val="de-DE"/>
        </w:rPr>
        <w:t xml:space="preserve"> </w:t>
      </w:r>
      <w:r w:rsidRPr="00B56D64">
        <w:rPr>
          <w:lang w:val="de-DE"/>
        </w:rPr>
        <w:tab/>
      </w:r>
      <w:r w:rsidRPr="001F31DD">
        <w:rPr>
          <w:lang w:val="de-DE"/>
        </w:rPr>
        <w:t>Gemäß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64" w:rsidRPr="00CE098E" w:rsidRDefault="00B56D64" w:rsidP="00B56D64">
    <w:pPr>
      <w:spacing w:line="240" w:lineRule="auto"/>
      <w:rPr>
        <w:rFonts w:ascii="Arial" w:hAnsi="Arial"/>
        <w:snapToGrid w:val="0"/>
        <w:sz w:val="16"/>
        <w:szCs w:val="16"/>
        <w:lang w:val="en-US" w:eastAsia="fr-FR"/>
      </w:rPr>
    </w:pPr>
    <w:r w:rsidRPr="00CE098E">
      <w:rPr>
        <w:rFonts w:ascii="Arial" w:hAnsi="Arial"/>
        <w:snapToGrid w:val="0"/>
        <w:sz w:val="16"/>
        <w:szCs w:val="16"/>
        <w:lang w:val="en-US" w:eastAsia="fr-FR"/>
      </w:rPr>
      <w:t>CCNR-ZKR/ADN/WP.15/AC.2/2017/</w:t>
    </w:r>
    <w:r>
      <w:rPr>
        <w:rFonts w:ascii="Arial" w:hAnsi="Arial"/>
        <w:snapToGrid w:val="0"/>
        <w:sz w:val="16"/>
        <w:szCs w:val="16"/>
        <w:lang w:val="en-US" w:eastAsia="fr-FR"/>
      </w:rPr>
      <w:t>15</w:t>
    </w:r>
  </w:p>
  <w:p w:rsidR="00201A46" w:rsidRPr="00B56D64" w:rsidRDefault="00B56D64" w:rsidP="00B56D64">
    <w:pPr>
      <w:pStyle w:val="Header"/>
      <w:pBdr>
        <w:bottom w:val="none" w:sz="0" w:space="0" w:color="auto"/>
      </w:pBdr>
    </w:pPr>
    <w:r w:rsidRPr="00CE098E">
      <w:rPr>
        <w:rFonts w:ascii="Arial" w:eastAsia="Times New Roman" w:hAnsi="Arial"/>
        <w:b w:val="0"/>
        <w:snapToGrid w:val="0"/>
        <w:sz w:val="16"/>
        <w:szCs w:val="16"/>
        <w:lang w:eastAsia="fr-FR"/>
      </w:rPr>
      <w:t xml:space="preserve">Seite </w: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begin"/>
    </w:r>
    <w:r w:rsidRPr="00CE098E">
      <w:rPr>
        <w:rFonts w:ascii="Arial" w:eastAsia="Times New Roman" w:hAnsi="Arial"/>
        <w:b w:val="0"/>
        <w:snapToGrid w:val="0"/>
        <w:sz w:val="16"/>
        <w:szCs w:val="16"/>
        <w:lang w:eastAsia="fr-FR"/>
      </w:rPr>
      <w:instrText xml:space="preserve"> PAGE  \* MERGEFORMAT </w:instrTex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separate"/>
    </w:r>
    <w:r w:rsidR="009E72AA" w:rsidRPr="009E72AA">
      <w:rPr>
        <w:rFonts w:ascii="Arial" w:eastAsia="Times New Roman" w:hAnsi="Arial"/>
        <w:noProof/>
        <w:snapToGrid w:val="0"/>
        <w:sz w:val="16"/>
        <w:szCs w:val="16"/>
        <w:lang w:eastAsia="fr-FR"/>
      </w:rPr>
      <w:t>2</w: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64" w:rsidRPr="00CE098E" w:rsidRDefault="00B56D64" w:rsidP="00B56D64">
    <w:pPr>
      <w:spacing w:line="240" w:lineRule="auto"/>
      <w:jc w:val="right"/>
      <w:rPr>
        <w:rFonts w:ascii="Arial" w:hAnsi="Arial"/>
        <w:snapToGrid w:val="0"/>
        <w:sz w:val="16"/>
        <w:szCs w:val="16"/>
        <w:lang w:val="en-US" w:eastAsia="fr-FR"/>
      </w:rPr>
    </w:pPr>
    <w:r w:rsidRPr="00CE098E">
      <w:rPr>
        <w:rFonts w:ascii="Arial" w:hAnsi="Arial"/>
        <w:snapToGrid w:val="0"/>
        <w:sz w:val="16"/>
        <w:szCs w:val="16"/>
        <w:lang w:val="en-US" w:eastAsia="fr-FR"/>
      </w:rPr>
      <w:t>CCNR-ZKR/ADN/WP.15/AC.2/2017/</w:t>
    </w:r>
    <w:r>
      <w:rPr>
        <w:rFonts w:ascii="Arial" w:hAnsi="Arial"/>
        <w:snapToGrid w:val="0"/>
        <w:sz w:val="16"/>
        <w:szCs w:val="16"/>
        <w:lang w:val="en-US" w:eastAsia="fr-FR"/>
      </w:rPr>
      <w:t>15</w:t>
    </w:r>
  </w:p>
  <w:p w:rsidR="00201A46" w:rsidRPr="00B56D64" w:rsidRDefault="00B56D64" w:rsidP="00B56D64">
    <w:pPr>
      <w:pStyle w:val="Header"/>
      <w:pBdr>
        <w:bottom w:val="none" w:sz="0" w:space="0" w:color="auto"/>
      </w:pBdr>
      <w:jc w:val="right"/>
    </w:pPr>
    <w:r w:rsidRPr="00CE098E">
      <w:rPr>
        <w:rFonts w:ascii="Arial" w:eastAsia="Times New Roman" w:hAnsi="Arial"/>
        <w:b w:val="0"/>
        <w:snapToGrid w:val="0"/>
        <w:sz w:val="16"/>
        <w:szCs w:val="16"/>
        <w:lang w:eastAsia="fr-FR"/>
      </w:rPr>
      <w:t xml:space="preserve">Seite </w: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begin"/>
    </w:r>
    <w:r w:rsidRPr="00CE098E">
      <w:rPr>
        <w:rFonts w:ascii="Arial" w:eastAsia="Times New Roman" w:hAnsi="Arial"/>
        <w:b w:val="0"/>
        <w:snapToGrid w:val="0"/>
        <w:sz w:val="16"/>
        <w:szCs w:val="16"/>
        <w:lang w:eastAsia="fr-FR"/>
      </w:rPr>
      <w:instrText xml:space="preserve"> PAGE  \* MERGEFORMAT </w:instrTex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separate"/>
    </w:r>
    <w:r w:rsidR="009E72AA" w:rsidRPr="009E72AA">
      <w:rPr>
        <w:rFonts w:ascii="Arial" w:eastAsia="Times New Roman" w:hAnsi="Arial"/>
        <w:noProof/>
        <w:snapToGrid w:val="0"/>
        <w:sz w:val="16"/>
        <w:szCs w:val="16"/>
        <w:lang w:eastAsia="fr-FR"/>
      </w:rPr>
      <w:t>3</w:t>
    </w:r>
    <w:r w:rsidRPr="00CE098E">
      <w:rPr>
        <w:rFonts w:ascii="Arial" w:eastAsia="Times New Roman" w:hAnsi="Arial"/>
        <w:snapToGrid w:val="0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E5160BA"/>
    <w:multiLevelType w:val="hybridMultilevel"/>
    <w:tmpl w:val="1CA400E8"/>
    <w:lvl w:ilvl="0" w:tplc="853CD8F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75726C8"/>
    <w:multiLevelType w:val="hybridMultilevel"/>
    <w:tmpl w:val="44829922"/>
    <w:lvl w:ilvl="0" w:tplc="30626D4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567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C:\Users\b.achhammer\AppData\Roaming\Microsoft\Word\STARTUP\WfContext.shd"/>
    <w:docVar w:name="WfCounter" w:val="Vs104_x0009_4550_x0009_0_x0009_0_x0009_0_x0009_0_x0009_0_x0009_0_x0009_0_x0009_"/>
    <w:docVar w:name="WfGraphics" w:val="X"/>
    <w:docVar w:name="WfID" w:val="14641048"/>
    <w:docVar w:name="WfLastSegment" w:val="10397 y"/>
    <w:docVar w:name="WfMT" w:val="0"/>
    <w:docVar w:name="WfProtection" w:val="1"/>
    <w:docVar w:name="WfSegPar" w:val="10010 -1 0 0 6"/>
    <w:docVar w:name="WfSetup" w:val="C:\users\b.achhammer\appdata\roaming\microsoft\word\startup\Wordfast.ini"/>
    <w:docVar w:name="WfStyles" w:val=" 279   no"/>
  </w:docVars>
  <w:rsids>
    <w:rsidRoot w:val="00D04710"/>
    <w:rsid w:val="000000E7"/>
    <w:rsid w:val="0000083C"/>
    <w:rsid w:val="00016B18"/>
    <w:rsid w:val="00046E92"/>
    <w:rsid w:val="00052D64"/>
    <w:rsid w:val="000541BC"/>
    <w:rsid w:val="00097A05"/>
    <w:rsid w:val="000B4F2F"/>
    <w:rsid w:val="000D1A5F"/>
    <w:rsid w:val="000E66C6"/>
    <w:rsid w:val="000F452C"/>
    <w:rsid w:val="001101FC"/>
    <w:rsid w:val="001170DC"/>
    <w:rsid w:val="00152562"/>
    <w:rsid w:val="00196E87"/>
    <w:rsid w:val="001A6CE2"/>
    <w:rsid w:val="001D42BF"/>
    <w:rsid w:val="001F23AA"/>
    <w:rsid w:val="001F31DD"/>
    <w:rsid w:val="00201A46"/>
    <w:rsid w:val="00204EB5"/>
    <w:rsid w:val="00233C0B"/>
    <w:rsid w:val="00247E2C"/>
    <w:rsid w:val="002661EC"/>
    <w:rsid w:val="002D6C53"/>
    <w:rsid w:val="002F5595"/>
    <w:rsid w:val="003131E2"/>
    <w:rsid w:val="00333ED3"/>
    <w:rsid w:val="00334F6A"/>
    <w:rsid w:val="00342AC8"/>
    <w:rsid w:val="00356EF3"/>
    <w:rsid w:val="00380393"/>
    <w:rsid w:val="0039132F"/>
    <w:rsid w:val="00392E98"/>
    <w:rsid w:val="003A4017"/>
    <w:rsid w:val="003B4550"/>
    <w:rsid w:val="003E7A09"/>
    <w:rsid w:val="00416588"/>
    <w:rsid w:val="0044523D"/>
    <w:rsid w:val="00447AAB"/>
    <w:rsid w:val="0045649F"/>
    <w:rsid w:val="00461253"/>
    <w:rsid w:val="0048336C"/>
    <w:rsid w:val="005042C2"/>
    <w:rsid w:val="005102B7"/>
    <w:rsid w:val="00510ADF"/>
    <w:rsid w:val="00563545"/>
    <w:rsid w:val="005747A1"/>
    <w:rsid w:val="00577AB0"/>
    <w:rsid w:val="00595889"/>
    <w:rsid w:val="005C3A1B"/>
    <w:rsid w:val="005D1599"/>
    <w:rsid w:val="005D1B71"/>
    <w:rsid w:val="005F3F8A"/>
    <w:rsid w:val="005F4515"/>
    <w:rsid w:val="005F4DAD"/>
    <w:rsid w:val="00616531"/>
    <w:rsid w:val="00631881"/>
    <w:rsid w:val="00662509"/>
    <w:rsid w:val="00671529"/>
    <w:rsid w:val="006A2EFA"/>
    <w:rsid w:val="006C2B41"/>
    <w:rsid w:val="006D1372"/>
    <w:rsid w:val="00717266"/>
    <w:rsid w:val="007268F9"/>
    <w:rsid w:val="007554AC"/>
    <w:rsid w:val="00774AB1"/>
    <w:rsid w:val="007C52B0"/>
    <w:rsid w:val="00804281"/>
    <w:rsid w:val="008074AB"/>
    <w:rsid w:val="00867096"/>
    <w:rsid w:val="008713EA"/>
    <w:rsid w:val="00894E1D"/>
    <w:rsid w:val="008A165A"/>
    <w:rsid w:val="008B49AE"/>
    <w:rsid w:val="008C3A9B"/>
    <w:rsid w:val="008E5B74"/>
    <w:rsid w:val="008F744E"/>
    <w:rsid w:val="009021E0"/>
    <w:rsid w:val="0092496D"/>
    <w:rsid w:val="00930F29"/>
    <w:rsid w:val="009313DE"/>
    <w:rsid w:val="009411B4"/>
    <w:rsid w:val="00945F0C"/>
    <w:rsid w:val="00973F2A"/>
    <w:rsid w:val="00997475"/>
    <w:rsid w:val="009A66E9"/>
    <w:rsid w:val="009D0139"/>
    <w:rsid w:val="009E6A9B"/>
    <w:rsid w:val="009E72AA"/>
    <w:rsid w:val="009F5CDC"/>
    <w:rsid w:val="00A02128"/>
    <w:rsid w:val="00A535EB"/>
    <w:rsid w:val="00A775CF"/>
    <w:rsid w:val="00A81985"/>
    <w:rsid w:val="00AA2FB0"/>
    <w:rsid w:val="00AA4B4C"/>
    <w:rsid w:val="00AA5A15"/>
    <w:rsid w:val="00AB3C7E"/>
    <w:rsid w:val="00AB7434"/>
    <w:rsid w:val="00AC6BE8"/>
    <w:rsid w:val="00AD54FE"/>
    <w:rsid w:val="00AE3951"/>
    <w:rsid w:val="00AE4C38"/>
    <w:rsid w:val="00AE67F1"/>
    <w:rsid w:val="00B06045"/>
    <w:rsid w:val="00B35A60"/>
    <w:rsid w:val="00B437EF"/>
    <w:rsid w:val="00B46836"/>
    <w:rsid w:val="00B56D64"/>
    <w:rsid w:val="00B61BD6"/>
    <w:rsid w:val="00B64A2E"/>
    <w:rsid w:val="00B86F49"/>
    <w:rsid w:val="00B92DEA"/>
    <w:rsid w:val="00BA59B7"/>
    <w:rsid w:val="00BE3A15"/>
    <w:rsid w:val="00C0141B"/>
    <w:rsid w:val="00C04418"/>
    <w:rsid w:val="00C125CF"/>
    <w:rsid w:val="00C32FBF"/>
    <w:rsid w:val="00C35A27"/>
    <w:rsid w:val="00C57AFC"/>
    <w:rsid w:val="00C6349B"/>
    <w:rsid w:val="00C72375"/>
    <w:rsid w:val="00C9396B"/>
    <w:rsid w:val="00D04710"/>
    <w:rsid w:val="00D04F48"/>
    <w:rsid w:val="00D1081B"/>
    <w:rsid w:val="00D12260"/>
    <w:rsid w:val="00D2078A"/>
    <w:rsid w:val="00D473BE"/>
    <w:rsid w:val="00D516F5"/>
    <w:rsid w:val="00D64E43"/>
    <w:rsid w:val="00E029AD"/>
    <w:rsid w:val="00E02C2B"/>
    <w:rsid w:val="00E030B2"/>
    <w:rsid w:val="00E34113"/>
    <w:rsid w:val="00E77FA0"/>
    <w:rsid w:val="00E9220F"/>
    <w:rsid w:val="00E9574C"/>
    <w:rsid w:val="00ED6C48"/>
    <w:rsid w:val="00F32D37"/>
    <w:rsid w:val="00F60FD5"/>
    <w:rsid w:val="00F65F5D"/>
    <w:rsid w:val="00F82955"/>
    <w:rsid w:val="00F86A3A"/>
    <w:rsid w:val="00FA760D"/>
    <w:rsid w:val="00FB1744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50D1FB4-119F-48E8-916E-239EEE35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w4winMark">
    <w:name w:val="tw4winMark"/>
    <w:basedOn w:val="DefaultParagraphFont"/>
    <w:rsid w:val="006D1372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5EDE-E694-4E56-AA26-E36AAF8D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1608944</vt:lpstr>
      <vt:lpstr>1608944</vt:lpstr>
      <vt:lpstr>1608944</vt:lpstr>
    </vt:vector>
  </TitlesOfParts>
  <Company>DCM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Lucille</cp:lastModifiedBy>
  <cp:revision>2</cp:revision>
  <cp:lastPrinted>2016-12-12T08:05:00Z</cp:lastPrinted>
  <dcterms:created xsi:type="dcterms:W3CDTF">2016-12-12T10:40:00Z</dcterms:created>
  <dcterms:modified xsi:type="dcterms:W3CDTF">2016-12-12T10:40:00Z</dcterms:modified>
</cp:coreProperties>
</file>