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95611F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616312">
              <w:fldChar w:fldCharType="begin"/>
            </w:r>
            <w:r w:rsidR="00616312">
              <w:instrText xml:space="preserve"> FILLIN  "Введите символ после ЕCE/"  \* MERGEFORMAT </w:instrText>
            </w:r>
            <w:r w:rsidR="00616312">
              <w:fldChar w:fldCharType="separate"/>
            </w:r>
            <w:r w:rsidR="0095611F">
              <w:t>TRANS/WP.15/AC.2/201</w:t>
            </w:r>
            <w:r w:rsidR="0095611F">
              <w:rPr>
                <w:lang w:val="fr-CH"/>
              </w:rPr>
              <w:t>7</w:t>
            </w:r>
            <w:r w:rsidR="00A679AC">
              <w:t>/</w:t>
            </w:r>
            <w:r w:rsidR="00616312">
              <w:fldChar w:fldCharType="end"/>
            </w:r>
            <w:r w:rsidR="0095611F">
              <w:rPr>
                <w:lang w:val="fr-CH"/>
              </w:rPr>
              <w:t>14</w:t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16312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95611F" w:rsidP="007B199D">
            <w:r>
              <w:rPr>
                <w:lang w:val="en-US"/>
              </w:rPr>
              <w:t>11</w:t>
            </w:r>
            <w:r w:rsidR="00A679AC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="00A679AC">
              <w:rPr>
                <w:lang w:val="en-US"/>
              </w:rPr>
              <w:t xml:space="preserve">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95611F" w:rsidRDefault="0095611F" w:rsidP="007B199D"/>
          <w:p w:rsidR="00A658DB" w:rsidRPr="00495EBF" w:rsidRDefault="00A658DB" w:rsidP="007B199D">
            <w:pPr>
              <w:rPr>
                <w:lang w:val="en-US"/>
              </w:rPr>
            </w:pPr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r w:rsidR="0095611F">
              <w:rPr>
                <w:lang w:val="en-US"/>
              </w:rPr>
              <w:t>Russian</w:t>
            </w:r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261E7" w:rsidRPr="00F261E7" w:rsidRDefault="00F261E7" w:rsidP="00F261E7">
      <w:pPr>
        <w:spacing w:before="120" w:line="240" w:lineRule="auto"/>
        <w:rPr>
          <w:sz w:val="28"/>
          <w:szCs w:val="28"/>
          <w:lang w:bidi="ru-RU"/>
        </w:rPr>
      </w:pPr>
      <w:r w:rsidRPr="00F261E7">
        <w:rPr>
          <w:sz w:val="28"/>
          <w:szCs w:val="28"/>
          <w:lang w:bidi="ru-RU"/>
        </w:rPr>
        <w:t>Комитет по внутреннему транспорту</w:t>
      </w:r>
    </w:p>
    <w:p w:rsidR="00F261E7" w:rsidRPr="00495EBF" w:rsidRDefault="00F261E7" w:rsidP="00495EBF">
      <w:pPr>
        <w:spacing w:before="120" w:after="120" w:line="240" w:lineRule="auto"/>
        <w:rPr>
          <w:b/>
          <w:sz w:val="24"/>
          <w:szCs w:val="24"/>
          <w:lang w:bidi="ru-RU"/>
        </w:rPr>
      </w:pPr>
      <w:r w:rsidRPr="00495EBF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F261E7" w:rsidRPr="00F261E7" w:rsidRDefault="00F261E7" w:rsidP="00F261E7">
      <w:pPr>
        <w:spacing w:line="240" w:lineRule="auto"/>
        <w:rPr>
          <w:b/>
          <w:lang w:bidi="ru-RU"/>
        </w:rPr>
      </w:pPr>
      <w:r w:rsidRPr="00F261E7">
        <w:rPr>
          <w:b/>
          <w:lang w:bidi="ru-RU"/>
        </w:rPr>
        <w:t xml:space="preserve">Совместное совещание экспертов по Правилам, </w:t>
      </w:r>
      <w:r w:rsidRPr="00F261E7">
        <w:rPr>
          <w:b/>
          <w:lang w:bidi="ru-RU"/>
        </w:rPr>
        <w:br/>
        <w:t xml:space="preserve">прилагаемым к Европейскому соглашению </w:t>
      </w:r>
      <w:r w:rsidRPr="00F261E7">
        <w:rPr>
          <w:b/>
          <w:lang w:bidi="ru-RU"/>
        </w:rPr>
        <w:br/>
        <w:t xml:space="preserve">о международной перевозке опасных грузов </w:t>
      </w:r>
      <w:r w:rsidRPr="00F261E7">
        <w:rPr>
          <w:b/>
          <w:lang w:bidi="ru-RU"/>
        </w:rPr>
        <w:br/>
        <w:t xml:space="preserve">по внутренним водным путям (ВОПОГ) </w:t>
      </w:r>
      <w:r w:rsidRPr="00F261E7">
        <w:rPr>
          <w:b/>
          <w:lang w:bidi="ru-RU"/>
        </w:rPr>
        <w:br/>
        <w:t>(Комитет по вопросам безопасности ВОПОГ)</w:t>
      </w:r>
    </w:p>
    <w:p w:rsidR="00F261E7" w:rsidRPr="00F261E7" w:rsidRDefault="0095611F" w:rsidP="00710F5D">
      <w:pPr>
        <w:spacing w:before="120" w:line="240" w:lineRule="auto"/>
        <w:rPr>
          <w:b/>
          <w:lang w:bidi="ru-RU"/>
        </w:rPr>
      </w:pPr>
      <w:r w:rsidRPr="0095611F">
        <w:rPr>
          <w:b/>
          <w:lang w:bidi="ru-RU"/>
        </w:rPr>
        <w:t>Тридцатая</w:t>
      </w:r>
      <w:r w:rsidR="00F261E7" w:rsidRPr="00F261E7">
        <w:rPr>
          <w:b/>
          <w:lang w:bidi="ru-RU"/>
        </w:rPr>
        <w:t xml:space="preserve"> сессия</w:t>
      </w:r>
    </w:p>
    <w:p w:rsidR="00F261E7" w:rsidRPr="00F261E7" w:rsidRDefault="0095611F" w:rsidP="00F261E7">
      <w:pPr>
        <w:spacing w:line="240" w:lineRule="auto"/>
        <w:rPr>
          <w:lang w:bidi="ru-RU"/>
        </w:rPr>
      </w:pPr>
      <w:r>
        <w:rPr>
          <w:lang w:bidi="ru-RU"/>
        </w:rPr>
        <w:t>Женева, 23</w:t>
      </w:r>
      <w:r w:rsidR="00F261E7" w:rsidRPr="00F261E7">
        <w:rPr>
          <w:lang w:bidi="ru-RU"/>
        </w:rPr>
        <w:t>–2</w:t>
      </w:r>
      <w:r w:rsidRPr="0095611F">
        <w:rPr>
          <w:lang w:bidi="ru-RU"/>
        </w:rPr>
        <w:t>7</w:t>
      </w:r>
      <w:r w:rsidR="00F261E7" w:rsidRPr="00F261E7">
        <w:rPr>
          <w:lang w:bidi="ru-RU"/>
        </w:rPr>
        <w:t xml:space="preserve"> </w:t>
      </w:r>
      <w:r w:rsidRPr="0095611F">
        <w:rPr>
          <w:lang w:bidi="ru-RU"/>
        </w:rPr>
        <w:t>января</w:t>
      </w:r>
      <w:r w:rsidR="00F261E7" w:rsidRPr="00F261E7">
        <w:rPr>
          <w:lang w:bidi="ru-RU"/>
        </w:rPr>
        <w:t xml:space="preserve"> 201</w:t>
      </w:r>
      <w:r w:rsidRPr="0095611F">
        <w:rPr>
          <w:lang w:bidi="ru-RU"/>
        </w:rPr>
        <w:t>7</w:t>
      </w:r>
      <w:r w:rsidR="00F261E7" w:rsidRPr="00F261E7">
        <w:rPr>
          <w:lang w:bidi="ru-RU"/>
        </w:rPr>
        <w:t xml:space="preserve"> года</w:t>
      </w:r>
    </w:p>
    <w:p w:rsidR="00F261E7" w:rsidRPr="00F261E7" w:rsidRDefault="00F261E7" w:rsidP="00F261E7">
      <w:pPr>
        <w:spacing w:line="240" w:lineRule="auto"/>
        <w:rPr>
          <w:lang w:bidi="ru-RU"/>
        </w:rPr>
      </w:pPr>
      <w:r w:rsidRPr="00F261E7">
        <w:rPr>
          <w:lang w:bidi="ru-RU"/>
        </w:rPr>
        <w:t>Пункт 4</w:t>
      </w:r>
      <w:r w:rsidRPr="00F261E7">
        <w:t xml:space="preserve"> </w:t>
      </w:r>
      <w:r w:rsidR="007A3DB1">
        <w:rPr>
          <w:lang w:val="en-US"/>
        </w:rPr>
        <w:t>d</w:t>
      </w:r>
      <w:r w:rsidRPr="00F261E7">
        <w:t>)</w:t>
      </w:r>
      <w:r w:rsidRPr="00F261E7">
        <w:rPr>
          <w:lang w:bidi="ru-RU"/>
        </w:rPr>
        <w:t xml:space="preserve"> предварительной повестки дня</w:t>
      </w:r>
      <w:bookmarkStart w:id="1" w:name="_GoBack"/>
      <w:bookmarkEnd w:id="1"/>
    </w:p>
    <w:p w:rsidR="00F261E7" w:rsidRPr="00F261E7" w:rsidRDefault="007A3DB1" w:rsidP="00F261E7">
      <w:pPr>
        <w:spacing w:line="240" w:lineRule="auto"/>
        <w:rPr>
          <w:b/>
        </w:rPr>
      </w:pPr>
      <w:r w:rsidRPr="007A3DB1">
        <w:rPr>
          <w:b/>
        </w:rPr>
        <w:t xml:space="preserve">Применение Европейского соглашения о международной перевозке </w:t>
      </w:r>
      <w:r w:rsidRPr="007A3DB1">
        <w:rPr>
          <w:b/>
        </w:rPr>
        <w:br/>
        <w:t>опасных грузов по внутренним водным путям (ВОПОГ):</w:t>
      </w:r>
      <w:r>
        <w:rPr>
          <w:b/>
        </w:rPr>
        <w:br/>
      </w:r>
      <w:r w:rsidRPr="007A3DB1">
        <w:rPr>
          <w:b/>
        </w:rPr>
        <w:t>подготовка экспертов</w:t>
      </w:r>
    </w:p>
    <w:p w:rsidR="00F261E7" w:rsidRDefault="00F261E7" w:rsidP="0095611F">
      <w:pPr>
        <w:pStyle w:val="HChGR"/>
        <w:keepNext w:val="0"/>
        <w:keepLines w:val="0"/>
      </w:pPr>
      <w:r w:rsidRPr="00F261E7">
        <w:tab/>
      </w:r>
      <w:r w:rsidRPr="00F261E7">
        <w:tab/>
      </w:r>
      <w:r w:rsidR="0095611F" w:rsidRPr="0095611F">
        <w:rPr>
          <w:bCs/>
        </w:rPr>
        <w:t xml:space="preserve">Подготовка </w:t>
      </w:r>
      <w:r w:rsidR="0095611F" w:rsidRPr="0095611F">
        <w:t>консультантов по вопросам безопасности (ВОПОГ, пункт</w:t>
      </w:r>
      <w:r w:rsidR="0095611F" w:rsidRPr="0095611F">
        <w:rPr>
          <w:lang w:val="en-US"/>
        </w:rPr>
        <w:t> </w:t>
      </w:r>
      <w:r w:rsidR="0095611F" w:rsidRPr="0095611F">
        <w:t>1.8.3)</w:t>
      </w:r>
    </w:p>
    <w:p w:rsidR="0095611F" w:rsidRPr="0095611F" w:rsidRDefault="0095611F" w:rsidP="0095611F">
      <w:pPr>
        <w:pStyle w:val="HChGR"/>
        <w:keepNext w:val="0"/>
        <w:keepLines w:val="0"/>
      </w:pPr>
      <w:r>
        <w:tab/>
      </w:r>
      <w:r>
        <w:tab/>
      </w:r>
      <w:proofErr w:type="spellStart"/>
      <w:r w:rsidRPr="0095611F">
        <w:t>Инициативa</w:t>
      </w:r>
      <w:proofErr w:type="spellEnd"/>
      <w:r w:rsidRPr="0095611F">
        <w:t xml:space="preserve"> Дунайской Комиссии в отношении подготовки консультантов по вопросам безопасности (ВОПОГ, пункт 1.8.3)</w:t>
      </w:r>
    </w:p>
    <w:p w:rsidR="00F261E7" w:rsidRPr="00F261E7" w:rsidRDefault="00F261E7" w:rsidP="00714E64">
      <w:pPr>
        <w:pStyle w:val="H1GR"/>
      </w:pPr>
      <w:r w:rsidRPr="00F261E7">
        <w:tab/>
      </w:r>
      <w:r w:rsidRPr="00F261E7">
        <w:tab/>
      </w:r>
      <w:r w:rsidR="00714E64" w:rsidRPr="00616312">
        <w:t xml:space="preserve"> </w:t>
      </w:r>
      <w:proofErr w:type="spellStart"/>
      <w:r w:rsidR="00714E64" w:rsidRPr="00616312">
        <w:rPr>
          <w:lang w:val="en-GB"/>
        </w:rPr>
        <w:t>Представлено</w:t>
      </w:r>
      <w:proofErr w:type="spellEnd"/>
      <w:r w:rsidR="00714E64" w:rsidRPr="00616312">
        <w:rPr>
          <w:lang w:val="en-GB"/>
        </w:rPr>
        <w:t xml:space="preserve"> </w:t>
      </w:r>
      <w:r w:rsidR="00616312" w:rsidRPr="00616312">
        <w:t xml:space="preserve">Дунайской Комиссии </w:t>
      </w:r>
      <w:r w:rsidR="00714E64" w:rsidRPr="00616312">
        <w:rPr>
          <w:rStyle w:val="FootnoteReference"/>
          <w:sz w:val="24"/>
          <w:szCs w:val="24"/>
          <w:lang w:val="en-GB"/>
        </w:rPr>
        <w:footnoteReference w:customMarkFollows="1" w:id="1"/>
        <w:t>*,</w:t>
      </w:r>
      <w:r w:rsidRPr="00616312">
        <w:rPr>
          <w:szCs w:val="24"/>
          <w:vertAlign w:val="superscript"/>
        </w:rPr>
        <w:t xml:space="preserve"> </w:t>
      </w:r>
      <w:r w:rsidR="00714E64" w:rsidRPr="00616312">
        <w:rPr>
          <w:rStyle w:val="FootnoteReference"/>
          <w:sz w:val="24"/>
          <w:szCs w:val="24"/>
        </w:rPr>
        <w:footnoteReference w:customMarkFollows="1" w:id="2"/>
        <w:t>**</w:t>
      </w:r>
    </w:p>
    <w:p w:rsidR="00714E64" w:rsidRPr="00714E64" w:rsidRDefault="00714E64" w:rsidP="00714E64">
      <w:pPr>
        <w:pStyle w:val="SingleTxtGR"/>
      </w:pPr>
      <w:r w:rsidRPr="00714E64">
        <w:t>1.</w:t>
      </w:r>
      <w:r w:rsidRPr="00714E64">
        <w:tab/>
        <w:t xml:space="preserve">При разработке этого документа следует иметь в виду, что согласно разделу </w:t>
      </w:r>
      <w:r w:rsidRPr="00714E64">
        <w:rPr>
          <w:lang w:val="en-US"/>
        </w:rPr>
        <w:t>I</w:t>
      </w:r>
      <w:r w:rsidRPr="00714E64">
        <w:t xml:space="preserve">.8.3 ВОПОГ 2015 (Том </w:t>
      </w:r>
      <w:r w:rsidRPr="00714E64">
        <w:rPr>
          <w:lang w:val="en-US"/>
        </w:rPr>
        <w:t>I</w:t>
      </w:r>
      <w:r w:rsidRPr="00714E64">
        <w:t xml:space="preserve">), </w:t>
      </w:r>
      <w:r w:rsidRPr="00714E64">
        <w:rPr>
          <w:i/>
        </w:rPr>
        <w:t>"каждое предприятие, деятельность которого включает перевозку опасных грузов по внутренним водным путям или связанные с ней операции по упаковке, погрузке, наполнению или разгрузке, назначает одного или нескольких консультантов по вопросам безопасности перевозки опас</w:t>
      </w:r>
      <w:r w:rsidRPr="00714E64">
        <w:rPr>
          <w:i/>
        </w:rPr>
        <w:lastRenderedPageBreak/>
        <w:t>ных грузов, именуемых далее "консультанты", задача которых состоит в содействии предотвращению присущей такого рода деятельности опасности для людей, имущества и окружающей среды"</w:t>
      </w:r>
      <w:r w:rsidRPr="00714E64">
        <w:t xml:space="preserve"> (</w:t>
      </w:r>
      <w:r w:rsidRPr="00714E64">
        <w:rPr>
          <w:lang w:val="en-US"/>
        </w:rPr>
        <w:t>I</w:t>
      </w:r>
      <w:r w:rsidRPr="00714E64">
        <w:t>.8.3.1).</w:t>
      </w:r>
    </w:p>
    <w:p w:rsidR="00714E64" w:rsidRPr="00714E64" w:rsidRDefault="00714E64" w:rsidP="00714E64">
      <w:pPr>
        <w:pStyle w:val="SingleTxtGR"/>
        <w:rPr>
          <w:i/>
        </w:rPr>
      </w:pPr>
      <w:r w:rsidRPr="00714E64">
        <w:rPr>
          <w:i/>
        </w:rPr>
        <w:t>"В связи с деятельностью предприятия консультант выполняет, в частности, следующие функции:</w:t>
      </w:r>
    </w:p>
    <w:p w:rsidR="00714E64" w:rsidRPr="00714E64" w:rsidRDefault="00714E64" w:rsidP="00714E64">
      <w:pPr>
        <w:pStyle w:val="SingleTxtGR"/>
        <w:ind w:left="1701" w:hanging="567"/>
        <w:rPr>
          <w:i/>
        </w:rPr>
      </w:pPr>
      <w:r w:rsidRPr="00714E64">
        <w:rPr>
          <w:i/>
        </w:rPr>
        <w:t xml:space="preserve">- </w:t>
      </w:r>
      <w:r>
        <w:rPr>
          <w:i/>
        </w:rPr>
        <w:tab/>
      </w:r>
      <w:r w:rsidRPr="00714E64">
        <w:rPr>
          <w:i/>
        </w:rPr>
        <w:t>наблюдение за выполнением предписаний, регулирующих перевозку опасных грузов;</w:t>
      </w:r>
    </w:p>
    <w:p w:rsidR="00714E64" w:rsidRPr="00714E64" w:rsidRDefault="00714E64" w:rsidP="00714E64">
      <w:pPr>
        <w:pStyle w:val="SingleTxtGR"/>
        <w:ind w:left="1701" w:hanging="567"/>
        <w:rPr>
          <w:i/>
        </w:rPr>
      </w:pPr>
      <w:r w:rsidRPr="00714E64">
        <w:rPr>
          <w:i/>
        </w:rPr>
        <w:t xml:space="preserve">- </w:t>
      </w:r>
      <w:r>
        <w:rPr>
          <w:i/>
        </w:rPr>
        <w:tab/>
      </w:r>
      <w:r w:rsidRPr="00714E64">
        <w:rPr>
          <w:i/>
        </w:rPr>
        <w:t>консультирование предприятия по вопросам, связанным с перевозкой опасных грузов;</w:t>
      </w:r>
    </w:p>
    <w:p w:rsidR="00714E64" w:rsidRPr="00714E64" w:rsidRDefault="00714E64" w:rsidP="00714E64">
      <w:pPr>
        <w:pStyle w:val="SingleTxtGR"/>
        <w:ind w:left="1701" w:hanging="567"/>
      </w:pPr>
      <w:r w:rsidRPr="00714E64">
        <w:rPr>
          <w:i/>
        </w:rPr>
        <w:t xml:space="preserve">- </w:t>
      </w:r>
      <w:r>
        <w:rPr>
          <w:i/>
        </w:rPr>
        <w:tab/>
      </w:r>
      <w:r w:rsidRPr="00714E64">
        <w:rPr>
          <w:i/>
        </w:rPr>
        <w:t>подготовка для администрации предприятия или, в случае необходимости, для местного органа власти ежегодного отчета о деятельности данного предприятия, связанной с перевозкой опасных грузов. Этот ежегодный отчет хранится в течение пяти лет и предоставляется национальным органам по их требованию"</w:t>
      </w:r>
      <w:r w:rsidRPr="00714E64">
        <w:t xml:space="preserve"> (I.8.3.3).</w:t>
      </w:r>
    </w:p>
    <w:p w:rsidR="00714E64" w:rsidRPr="00714E64" w:rsidRDefault="00714E64" w:rsidP="00714E64">
      <w:pPr>
        <w:pStyle w:val="SingleTxtGR"/>
      </w:pPr>
      <w:r w:rsidRPr="00714E64">
        <w:t>2.</w:t>
      </w:r>
      <w:r w:rsidRPr="00714E64">
        <w:tab/>
        <w:t>На 29-ой сессии Совместного совещания экспертов по Правилам, прилагаемым к Европейскому соглашению о международной перевозке опасных грузов по внутренним водным путям (Комитет по вопросам безопасности ВОПОГ) (</w:t>
      </w:r>
      <w:r w:rsidRPr="00714E64">
        <w:rPr>
          <w:i/>
        </w:rPr>
        <w:t>Женева, 22-26 августа 2016 г.</w:t>
      </w:r>
      <w:r w:rsidRPr="00714E64">
        <w:t xml:space="preserve">) при обсуждении вопроса о подготовке экспертов по перевозке опасных грузов представитель Секретариата ДК отметил, что в настоящее время в отношении консультанта по вопросам безопасности (ВОПОГ, пункт 1.8.3) единой процедуры не существует. </w:t>
      </w:r>
    </w:p>
    <w:p w:rsidR="00714E64" w:rsidRPr="00714E64" w:rsidRDefault="00714E64" w:rsidP="00714E64">
      <w:pPr>
        <w:pStyle w:val="SingleTxtGR"/>
      </w:pPr>
      <w:r w:rsidRPr="00714E64">
        <w:t>ДК может внести свой вклад в процесс подготовки документов для обучения. После консультаций в ДК и ЕЭК ООН, на заседании рабочей группы ДК по техническим вопросам 18-21 октября 2016 г. было признано целесообразным дать согласие на направление указанной инициативы в ЕЭК ООН.</w:t>
      </w:r>
    </w:p>
    <w:p w:rsidR="00714E64" w:rsidRPr="00714E64" w:rsidRDefault="00714E64" w:rsidP="00714E64">
      <w:pPr>
        <w:pStyle w:val="SingleTxtGR"/>
      </w:pPr>
      <w:r w:rsidRPr="00714E64">
        <w:t>3.</w:t>
      </w:r>
      <w:r w:rsidRPr="00714E64">
        <w:tab/>
        <w:t>Секретариат планирует составить Справочник, в который войдет не менее 1000 вопросов (и ответов), а также не менее 200 практических заданий. Придунайские страны совместно с Секретариатом Дунайской Комиссии подготовят этот документ до конца 2017 г. Справочник будет использоваться странами-членами ДК, начиная с 2018 г.</w:t>
      </w:r>
    </w:p>
    <w:p w:rsidR="00714E64" w:rsidRPr="00714E64" w:rsidRDefault="00714E64" w:rsidP="00714E64">
      <w:pPr>
        <w:pStyle w:val="SingleTxtGR"/>
      </w:pPr>
      <w:r w:rsidRPr="00714E64">
        <w:t>4.</w:t>
      </w:r>
      <w:r w:rsidRPr="00714E64">
        <w:tab/>
        <w:t>Если будут позитивные результаты, все страны, подписавшие Соглашение ВОПОГ, в 2019 г. будут пользоваться этим Справочником в обязательном порядке.</w:t>
      </w:r>
    </w:p>
    <w:p w:rsidR="00714E64" w:rsidRPr="00714E64" w:rsidRDefault="00714E64" w:rsidP="00714E64">
      <w:pPr>
        <w:pStyle w:val="SingleTxtGR"/>
      </w:pPr>
      <w:r w:rsidRPr="00714E64">
        <w:t>5.</w:t>
      </w:r>
      <w:r w:rsidRPr="00714E64">
        <w:tab/>
        <w:t>Секретариат ДК поддерживает эту инициативу и считает целесообразным продолжать консультации со странами-членами ДК и с секретариатом ЕЭК ООН до принятия окончательного решения по вопросу подготовки Справочника. Рабочая группа ДК по техническим вопросам поддержала это предложение Секретариата ДК. Оно будет представлено в качестве инициативы на 30-ю сессию Комитета по вопросам безопасности ВОПОГ (</w:t>
      </w:r>
      <w:r w:rsidRPr="00714E64">
        <w:rPr>
          <w:i/>
        </w:rPr>
        <w:t>Женева, 23</w:t>
      </w:r>
      <w:r w:rsidRPr="00714E64">
        <w:rPr>
          <w:i/>
        </w:rPr>
        <w:noBreakHyphen/>
        <w:t>27 января 2017 г.</w:t>
      </w:r>
      <w:r w:rsidRPr="00714E64">
        <w:t xml:space="preserve">). </w:t>
      </w:r>
    </w:p>
    <w:p w:rsidR="00C5281D" w:rsidRPr="00937315" w:rsidRDefault="00C5281D" w:rsidP="00C5281D">
      <w:pPr>
        <w:spacing w:before="240"/>
        <w:jc w:val="center"/>
        <w:rPr>
          <w:u w:val="single"/>
        </w:rPr>
      </w:pPr>
      <w:r w:rsidRPr="00937315">
        <w:rPr>
          <w:u w:val="single"/>
        </w:rPr>
        <w:tab/>
      </w:r>
      <w:r w:rsidRPr="00937315">
        <w:rPr>
          <w:u w:val="single"/>
        </w:rPr>
        <w:tab/>
      </w:r>
      <w:r w:rsidRPr="00937315">
        <w:rPr>
          <w:u w:val="single"/>
        </w:rPr>
        <w:tab/>
      </w:r>
    </w:p>
    <w:sectPr w:rsidR="00C5281D" w:rsidRPr="00937315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AC" w:rsidRDefault="00A679AC" w:rsidP="00B471C5">
      <w:r>
        <w:separator/>
      </w:r>
    </w:p>
  </w:endnote>
  <w:endnote w:type="continuationSeparator" w:id="0">
    <w:p w:rsidR="00A679AC" w:rsidRDefault="00A679A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16312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14E64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AC" w:rsidRPr="009141DC" w:rsidRDefault="00A679A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679AC" w:rsidRPr="00D1261C" w:rsidRDefault="00A679A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14E64" w:rsidRPr="00714E64" w:rsidRDefault="00714E64">
      <w:pPr>
        <w:pStyle w:val="FootnoteText"/>
        <w:rPr>
          <w:lang w:val="ru-RU"/>
        </w:rPr>
      </w:pPr>
      <w:r w:rsidRPr="00714E64">
        <w:rPr>
          <w:rStyle w:val="FootnoteReference"/>
          <w:lang w:val="ru-RU"/>
        </w:rPr>
        <w:tab/>
      </w:r>
      <w:r w:rsidRPr="00714E64">
        <w:rPr>
          <w:rStyle w:val="FootnoteReference"/>
          <w:b/>
          <w:szCs w:val="18"/>
          <w:lang w:val="ru-RU"/>
        </w:rPr>
        <w:t>*</w:t>
      </w:r>
      <w:r w:rsidRPr="00714E64">
        <w:rPr>
          <w:rStyle w:val="FootnoteReference"/>
          <w:sz w:val="20"/>
          <w:vertAlign w:val="baseline"/>
          <w:lang w:val="ru-RU"/>
        </w:rPr>
        <w:tab/>
      </w:r>
      <w:r w:rsidRPr="00714E64">
        <w:rPr>
          <w:lang w:val="ru-RU"/>
        </w:rPr>
        <w:t>Распространено на немецком языке Центральной комиссией судоходства по Рейну под</w:t>
      </w:r>
      <w:r w:rsidRPr="00714E64">
        <w:rPr>
          <w:lang w:val="en-US"/>
        </w:rPr>
        <w:t> </w:t>
      </w:r>
      <w:r w:rsidRPr="00714E64">
        <w:rPr>
          <w:lang w:val="ru-RU"/>
        </w:rPr>
        <w:t>условным обозначением CCNR-ZKR/ADN/WP.15/AC.2/2017/14.</w:t>
      </w:r>
    </w:p>
  </w:footnote>
  <w:footnote w:id="2">
    <w:p w:rsidR="00714E64" w:rsidRPr="00714E64" w:rsidRDefault="00714E64">
      <w:pPr>
        <w:pStyle w:val="FootnoteText"/>
        <w:rPr>
          <w:lang w:val="ru-RU"/>
        </w:rPr>
      </w:pPr>
      <w:r w:rsidRPr="00714E64">
        <w:rPr>
          <w:rStyle w:val="FootnoteReference"/>
          <w:b/>
          <w:szCs w:val="18"/>
          <w:lang w:val="ru-RU"/>
        </w:rPr>
        <w:tab/>
        <w:t>**</w:t>
      </w:r>
      <w:r>
        <w:rPr>
          <w:rStyle w:val="FootnoteReference"/>
          <w:lang w:val="ru-RU"/>
        </w:rPr>
        <w:tab/>
      </w:r>
      <w:r w:rsidRPr="00714E64">
        <w:rPr>
          <w:spacing w:val="4"/>
          <w:w w:val="103"/>
          <w:sz w:val="20"/>
          <w:lang w:val="ru-RU" w:eastAsia="en-US"/>
        </w:rPr>
        <w:t xml:space="preserve"> </w:t>
      </w:r>
      <w:r w:rsidRPr="00714E64">
        <w:rPr>
          <w:lang w:val="ru-RU"/>
        </w:rPr>
        <w:t xml:space="preserve">В соответствии с программой работы Комитета по внутреннему транспорту </w:t>
      </w:r>
      <w:r w:rsidRPr="00714E64">
        <w:rPr>
          <w:lang w:val="ru-RU"/>
        </w:rPr>
        <w:br/>
        <w:t>на 2016–2017 годы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95611F">
      <w:rPr>
        <w:lang w:val="en-US"/>
      </w:rPr>
      <w:t>TRANS/WP.15/AC.2/2017/14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1A3A93" w:rsidRPr="001A3A93">
      <w:rPr>
        <w:lang w:val="en-US"/>
      </w:rPr>
      <w:t>TRANS/WP.15/AC.2/2016/38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658"/>
    <w:multiLevelType w:val="hybridMultilevel"/>
    <w:tmpl w:val="4774B990"/>
    <w:lvl w:ilvl="0" w:tplc="6630BB8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CDA"/>
    <w:multiLevelType w:val="hybridMultilevel"/>
    <w:tmpl w:val="E380297A"/>
    <w:lvl w:ilvl="0" w:tplc="FFD674A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AC"/>
    <w:rsid w:val="000450D1"/>
    <w:rsid w:val="00045619"/>
    <w:rsid w:val="000B1FD5"/>
    <w:rsid w:val="000B5696"/>
    <w:rsid w:val="000F01AD"/>
    <w:rsid w:val="000F2A4F"/>
    <w:rsid w:val="001445DC"/>
    <w:rsid w:val="001640FC"/>
    <w:rsid w:val="001A3A93"/>
    <w:rsid w:val="00203F84"/>
    <w:rsid w:val="00275188"/>
    <w:rsid w:val="0028687D"/>
    <w:rsid w:val="002B091C"/>
    <w:rsid w:val="002B3D40"/>
    <w:rsid w:val="002D0CCB"/>
    <w:rsid w:val="00315ED8"/>
    <w:rsid w:val="00345C79"/>
    <w:rsid w:val="00366A39"/>
    <w:rsid w:val="00443467"/>
    <w:rsid w:val="0048005C"/>
    <w:rsid w:val="00495EBF"/>
    <w:rsid w:val="004D639B"/>
    <w:rsid w:val="004E242B"/>
    <w:rsid w:val="00544379"/>
    <w:rsid w:val="00566944"/>
    <w:rsid w:val="005D56BF"/>
    <w:rsid w:val="00602005"/>
    <w:rsid w:val="00616312"/>
    <w:rsid w:val="0062027E"/>
    <w:rsid w:val="00621B82"/>
    <w:rsid w:val="00643644"/>
    <w:rsid w:val="00665D8D"/>
    <w:rsid w:val="006A7A3B"/>
    <w:rsid w:val="006B0935"/>
    <w:rsid w:val="006B6B57"/>
    <w:rsid w:val="006F49F1"/>
    <w:rsid w:val="007005EE"/>
    <w:rsid w:val="00705394"/>
    <w:rsid w:val="00710F5D"/>
    <w:rsid w:val="00714E64"/>
    <w:rsid w:val="00743F62"/>
    <w:rsid w:val="00760D3A"/>
    <w:rsid w:val="00773BA8"/>
    <w:rsid w:val="007A1F42"/>
    <w:rsid w:val="007A3DB1"/>
    <w:rsid w:val="007C76D4"/>
    <w:rsid w:val="007D76DD"/>
    <w:rsid w:val="008717E8"/>
    <w:rsid w:val="008D01AE"/>
    <w:rsid w:val="008E0423"/>
    <w:rsid w:val="009141DC"/>
    <w:rsid w:val="009174A1"/>
    <w:rsid w:val="00937315"/>
    <w:rsid w:val="0095611F"/>
    <w:rsid w:val="00981FA5"/>
    <w:rsid w:val="0098674D"/>
    <w:rsid w:val="00990D14"/>
    <w:rsid w:val="00997ACA"/>
    <w:rsid w:val="009A2650"/>
    <w:rsid w:val="009E3B5B"/>
    <w:rsid w:val="00A03FB7"/>
    <w:rsid w:val="00A12864"/>
    <w:rsid w:val="00A3035C"/>
    <w:rsid w:val="00A55C56"/>
    <w:rsid w:val="00A658DB"/>
    <w:rsid w:val="00A679AC"/>
    <w:rsid w:val="00A75A11"/>
    <w:rsid w:val="00A9606E"/>
    <w:rsid w:val="00AD7EAD"/>
    <w:rsid w:val="00B35A32"/>
    <w:rsid w:val="00B432C6"/>
    <w:rsid w:val="00B471C5"/>
    <w:rsid w:val="00B6474A"/>
    <w:rsid w:val="00B96071"/>
    <w:rsid w:val="00BE1742"/>
    <w:rsid w:val="00C5281D"/>
    <w:rsid w:val="00D1261C"/>
    <w:rsid w:val="00D26030"/>
    <w:rsid w:val="00D75DCE"/>
    <w:rsid w:val="00D832B2"/>
    <w:rsid w:val="00DD35AC"/>
    <w:rsid w:val="00DD479F"/>
    <w:rsid w:val="00E15E48"/>
    <w:rsid w:val="00E353E1"/>
    <w:rsid w:val="00EB0723"/>
    <w:rsid w:val="00EB2957"/>
    <w:rsid w:val="00EE6F37"/>
    <w:rsid w:val="00F1599F"/>
    <w:rsid w:val="00F261E7"/>
    <w:rsid w:val="00F31EF2"/>
    <w:rsid w:val="00F87386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17AC28D-1B0A-48E9-B330-F26D49F9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3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71"/>
    <w:rPr>
      <w:rFonts w:ascii="Segoe UI" w:eastAsia="Times New Roman" w:hAnsi="Segoe UI" w:cs="Segoe UI"/>
      <w:spacing w:val="4"/>
      <w:w w:val="103"/>
      <w:kern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1EFD-A08D-43C8-A61E-4E805F10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Caillot</cp:lastModifiedBy>
  <cp:revision>6</cp:revision>
  <cp:lastPrinted>2016-11-10T16:31:00Z</cp:lastPrinted>
  <dcterms:created xsi:type="dcterms:W3CDTF">2016-11-10T16:28:00Z</dcterms:created>
  <dcterms:modified xsi:type="dcterms:W3CDTF">2016-11-11T12:51:00Z</dcterms:modified>
</cp:coreProperties>
</file>