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42276" w:rsidP="00642276">
            <w:pPr>
              <w:suppressAutoHyphens w:val="0"/>
              <w:spacing w:after="20"/>
              <w:jc w:val="right"/>
            </w:pPr>
            <w:r w:rsidRPr="00642276">
              <w:rPr>
                <w:sz w:val="40"/>
              </w:rPr>
              <w:t>ECE</w:t>
            </w:r>
            <w:r>
              <w:t>/TRANS/WP.15/AC.2/2017/6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42276" w:rsidP="00642276">
            <w:pPr>
              <w:suppressAutoHyphens w:val="0"/>
              <w:spacing w:before="240" w:line="240" w:lineRule="exact"/>
            </w:pPr>
            <w:r>
              <w:t>Distr.: General</w:t>
            </w:r>
          </w:p>
          <w:p w:rsidR="00642276" w:rsidRDefault="00642276" w:rsidP="00642276">
            <w:pPr>
              <w:suppressAutoHyphens w:val="0"/>
            </w:pPr>
            <w:r>
              <w:t>9 November 2016</w:t>
            </w:r>
          </w:p>
          <w:p w:rsidR="00642276" w:rsidRDefault="00642276" w:rsidP="00642276">
            <w:pPr>
              <w:suppressAutoHyphens w:val="0"/>
            </w:pPr>
            <w:r>
              <w:t>English</w:t>
            </w:r>
          </w:p>
          <w:p w:rsidR="00642276" w:rsidRDefault="00642276" w:rsidP="00642276">
            <w:pPr>
              <w:suppressAutoHyphens w:val="0"/>
            </w:pPr>
            <w:r>
              <w:t>Original: French</w:t>
            </w:r>
          </w:p>
        </w:tc>
      </w:tr>
    </w:tbl>
    <w:p w:rsidR="00642276" w:rsidRDefault="00642276">
      <w:pPr>
        <w:spacing w:before="120"/>
        <w:rPr>
          <w:b/>
          <w:sz w:val="28"/>
          <w:szCs w:val="28"/>
        </w:rPr>
      </w:pPr>
      <w:r>
        <w:rPr>
          <w:b/>
          <w:sz w:val="28"/>
          <w:szCs w:val="28"/>
        </w:rPr>
        <w:t>Economic Commission for Europe</w:t>
      </w:r>
    </w:p>
    <w:p w:rsidR="00642276" w:rsidRDefault="00642276">
      <w:pPr>
        <w:spacing w:before="120"/>
        <w:rPr>
          <w:sz w:val="28"/>
          <w:szCs w:val="28"/>
        </w:rPr>
      </w:pPr>
      <w:r>
        <w:rPr>
          <w:sz w:val="28"/>
          <w:szCs w:val="28"/>
        </w:rPr>
        <w:t>Inland Transport Committee</w:t>
      </w:r>
    </w:p>
    <w:p w:rsidR="00642276" w:rsidRDefault="00642276" w:rsidP="00642276">
      <w:pPr>
        <w:spacing w:before="120"/>
        <w:rPr>
          <w:b/>
          <w:sz w:val="24"/>
          <w:szCs w:val="24"/>
        </w:rPr>
      </w:pPr>
      <w:r>
        <w:rPr>
          <w:b/>
          <w:sz w:val="24"/>
          <w:szCs w:val="24"/>
        </w:rPr>
        <w:t xml:space="preserve">Working Party on the Transport of </w:t>
      </w:r>
      <w:r w:rsidRPr="00642276">
        <w:rPr>
          <w:b/>
          <w:sz w:val="24"/>
          <w:szCs w:val="24"/>
        </w:rPr>
        <w:t>Dangerous Goods</w:t>
      </w:r>
    </w:p>
    <w:p w:rsidR="00642276" w:rsidRPr="00642276" w:rsidRDefault="00642276" w:rsidP="00642276">
      <w:pPr>
        <w:pStyle w:val="BodyText"/>
      </w:pPr>
      <w:r w:rsidRPr="00642276">
        <w:t>Joint Meeting of Experts on the Regulations annexed to the</w:t>
      </w:r>
      <w:r w:rsidRPr="00642276">
        <w:br/>
        <w:t>European Agreement concerning the International Carriage</w:t>
      </w:r>
      <w:r w:rsidRPr="00642276">
        <w:br/>
        <w:t>of Dangerous Goods by Inland Waterways (ADN)</w:t>
      </w:r>
      <w:r w:rsidRPr="00642276">
        <w:br/>
        <w:t>(ADN Safety Committee)</w:t>
      </w:r>
    </w:p>
    <w:p w:rsidR="00642276" w:rsidRPr="00642276" w:rsidRDefault="00642276" w:rsidP="00642276">
      <w:pPr>
        <w:spacing w:before="120"/>
        <w:rPr>
          <w:b/>
          <w:bCs/>
        </w:rPr>
      </w:pPr>
      <w:r w:rsidRPr="00642276">
        <w:rPr>
          <w:b/>
          <w:bCs/>
        </w:rPr>
        <w:t>Thirtieth session</w:t>
      </w:r>
    </w:p>
    <w:p w:rsidR="00642276" w:rsidRPr="000C653B" w:rsidRDefault="00642276" w:rsidP="00642276">
      <w:r w:rsidRPr="000C653B">
        <w:t>Geneva, 23-27 January 2017</w:t>
      </w:r>
    </w:p>
    <w:p w:rsidR="00642276" w:rsidRPr="000C653B" w:rsidRDefault="00642276" w:rsidP="00642276">
      <w:r w:rsidRPr="000C653B">
        <w:t>Item 5 (b) of the provisional agenda</w:t>
      </w:r>
    </w:p>
    <w:p w:rsidR="00642276" w:rsidRPr="00642276" w:rsidRDefault="00642276" w:rsidP="00642276">
      <w:pPr>
        <w:rPr>
          <w:b/>
          <w:bCs/>
        </w:rPr>
      </w:pPr>
      <w:r w:rsidRPr="00642276">
        <w:rPr>
          <w:b/>
          <w:bCs/>
        </w:rPr>
        <w:t>Proposals for amendments to the Regulations annexed to ADN:</w:t>
      </w:r>
    </w:p>
    <w:p w:rsidR="00642276" w:rsidRPr="00642276" w:rsidRDefault="00642276" w:rsidP="00642276">
      <w:pPr>
        <w:rPr>
          <w:b/>
          <w:bCs/>
        </w:rPr>
      </w:pPr>
      <w:r w:rsidRPr="00642276">
        <w:rPr>
          <w:b/>
          <w:bCs/>
        </w:rPr>
        <w:t>Other proposals</w:t>
      </w:r>
    </w:p>
    <w:p w:rsidR="00642276" w:rsidRPr="000C653B" w:rsidRDefault="00642276" w:rsidP="006975C3">
      <w:pPr>
        <w:pStyle w:val="HChG"/>
        <w:spacing w:before="280"/>
      </w:pPr>
      <w:r w:rsidRPr="000C653B">
        <w:tab/>
      </w:r>
      <w:r w:rsidRPr="000C653B">
        <w:tab/>
        <w:t>Subsection 3.2.3.1 of ADN, explanations concerning Table C</w:t>
      </w:r>
    </w:p>
    <w:p w:rsidR="00642276" w:rsidRDefault="00642276" w:rsidP="006975C3">
      <w:pPr>
        <w:pStyle w:val="H1G"/>
        <w:spacing w:before="280"/>
      </w:pPr>
      <w:r w:rsidRPr="000C653B">
        <w:tab/>
      </w:r>
      <w:r w:rsidRPr="000C653B">
        <w:tab/>
        <w:t>Transmitted by the Government of Germany</w:t>
      </w:r>
      <w:r w:rsidRPr="000C5BB9">
        <w:rPr>
          <w:rStyle w:val="FootnoteReference"/>
          <w:b w:val="0"/>
          <w:bCs/>
          <w:sz w:val="20"/>
          <w:vertAlign w:val="baseline"/>
        </w:rPr>
        <w:footnoteReference w:customMarkFollows="1" w:id="1"/>
        <w:t>*</w:t>
      </w:r>
      <w:r w:rsidRPr="000C5BB9">
        <w:rPr>
          <w:rStyle w:val="FootnoteReference"/>
          <w:b w:val="0"/>
          <w:bCs/>
          <w:position w:val="8"/>
          <w:sz w:val="20"/>
          <w:vertAlign w:val="baseline"/>
        </w:rPr>
        <w:t>,</w:t>
      </w:r>
      <w:r w:rsidRPr="000C5BB9">
        <w:rPr>
          <w:rStyle w:val="FootnoteReference"/>
          <w:b w:val="0"/>
          <w:bCs/>
          <w:sz w:val="20"/>
          <w:vertAlign w:val="baseline"/>
        </w:rPr>
        <w:t xml:space="preserve"> </w:t>
      </w:r>
      <w:r w:rsidRPr="000C5BB9">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642276" w:rsidTr="00B837D5">
        <w:trPr>
          <w:jc w:val="center"/>
        </w:trPr>
        <w:tc>
          <w:tcPr>
            <w:tcW w:w="9637" w:type="dxa"/>
            <w:tcBorders>
              <w:bottom w:val="nil"/>
            </w:tcBorders>
          </w:tcPr>
          <w:p w:rsidR="00642276" w:rsidRPr="005A7D37" w:rsidRDefault="00642276" w:rsidP="00B837D5">
            <w:pPr>
              <w:tabs>
                <w:tab w:val="left" w:pos="255"/>
              </w:tabs>
              <w:suppressAutoHyphens w:val="0"/>
              <w:spacing w:before="240" w:after="120"/>
              <w:rPr>
                <w:sz w:val="24"/>
                <w:lang w:val="fr-CH"/>
              </w:rPr>
            </w:pPr>
            <w:r w:rsidRPr="005545C7">
              <w:tab/>
            </w:r>
            <w:r>
              <w:rPr>
                <w:i/>
                <w:sz w:val="24"/>
                <w:lang w:val="fr-CH"/>
              </w:rPr>
              <w:t>Summary</w:t>
            </w:r>
          </w:p>
        </w:tc>
      </w:tr>
      <w:tr w:rsidR="00642276" w:rsidRPr="00642276" w:rsidTr="00B837D5">
        <w:trPr>
          <w:jc w:val="center"/>
        </w:trPr>
        <w:tc>
          <w:tcPr>
            <w:tcW w:w="9637" w:type="dxa"/>
            <w:tcBorders>
              <w:top w:val="nil"/>
              <w:bottom w:val="nil"/>
            </w:tcBorders>
            <w:shd w:val="clear" w:color="auto" w:fill="auto"/>
          </w:tcPr>
          <w:p w:rsidR="00642276" w:rsidRPr="00642276" w:rsidRDefault="00642276" w:rsidP="00642276">
            <w:pPr>
              <w:pStyle w:val="SingleTxtG"/>
              <w:spacing w:after="60"/>
              <w:ind w:left="2552" w:hanging="2268"/>
              <w:rPr>
                <w:bCs/>
              </w:rPr>
            </w:pPr>
            <w:r>
              <w:rPr>
                <w:b/>
                <w:szCs w:val="22"/>
              </w:rPr>
              <w:t>Executive s</w:t>
            </w:r>
            <w:r w:rsidRPr="004F0D24">
              <w:rPr>
                <w:b/>
                <w:szCs w:val="22"/>
              </w:rPr>
              <w:t>ummary</w:t>
            </w:r>
            <w:r>
              <w:rPr>
                <w:szCs w:val="22"/>
              </w:rPr>
              <w:t>:</w:t>
            </w:r>
            <w:r>
              <w:rPr>
                <w:szCs w:val="22"/>
              </w:rPr>
              <w:tab/>
            </w:r>
            <w:r w:rsidRPr="00642276">
              <w:rPr>
                <w:bCs/>
              </w:rPr>
              <w:t xml:space="preserve">The explanations concerning Table C in subsection 3.2.3.1 of ADN include an explanatory note for column (5) </w:t>
            </w:r>
            <w:r w:rsidR="004B51BF">
              <w:rPr>
                <w:bCs/>
              </w:rPr>
              <w:t>“</w:t>
            </w:r>
            <w:r w:rsidRPr="00642276">
              <w:rPr>
                <w:bCs/>
              </w:rPr>
              <w:t>Dangers</w:t>
            </w:r>
            <w:r w:rsidR="004B51BF">
              <w:rPr>
                <w:bCs/>
              </w:rPr>
              <w:t>”</w:t>
            </w:r>
            <w:r w:rsidRPr="00642276">
              <w:rPr>
                <w:bCs/>
              </w:rPr>
              <w:t>.</w:t>
            </w:r>
          </w:p>
        </w:tc>
      </w:tr>
      <w:tr w:rsidR="00642276" w:rsidRPr="00642276" w:rsidTr="00B837D5">
        <w:trPr>
          <w:jc w:val="center"/>
        </w:trPr>
        <w:tc>
          <w:tcPr>
            <w:tcW w:w="9637" w:type="dxa"/>
            <w:tcBorders>
              <w:top w:val="nil"/>
              <w:bottom w:val="nil"/>
            </w:tcBorders>
            <w:shd w:val="clear" w:color="auto" w:fill="auto"/>
          </w:tcPr>
          <w:p w:rsidR="00642276" w:rsidRPr="00642276" w:rsidRDefault="00642276" w:rsidP="00FF6AA0">
            <w:pPr>
              <w:pStyle w:val="SingleTxtG"/>
              <w:spacing w:after="60"/>
              <w:ind w:left="2552" w:hanging="2268"/>
            </w:pPr>
            <w:r>
              <w:rPr>
                <w:bCs/>
              </w:rPr>
              <w:tab/>
            </w:r>
            <w:r w:rsidRPr="00642276">
              <w:rPr>
                <w:bCs/>
              </w:rPr>
              <w:t xml:space="preserve">The fourth paragraph of the note provides that, in the case of a substance or mixture with CMR properties, the code </w:t>
            </w:r>
            <w:r w:rsidR="00FF6AA0">
              <w:rPr>
                <w:bCs/>
              </w:rPr>
              <w:t>“</w:t>
            </w:r>
            <w:r w:rsidRPr="00642276">
              <w:rPr>
                <w:bCs/>
              </w:rPr>
              <w:t>CMR</w:t>
            </w:r>
            <w:r w:rsidR="00FF6AA0">
              <w:rPr>
                <w:bCs/>
              </w:rPr>
              <w:t>”</w:t>
            </w:r>
            <w:r w:rsidRPr="00642276">
              <w:rPr>
                <w:bCs/>
              </w:rPr>
              <w:t xml:space="preserve"> is added to the information.</w:t>
            </w:r>
            <w:r w:rsidR="004B51BF">
              <w:rPr>
                <w:bCs/>
              </w:rPr>
              <w:t xml:space="preserve"> </w:t>
            </w:r>
            <w:r w:rsidRPr="00642276">
              <w:rPr>
                <w:bCs/>
              </w:rPr>
              <w:t>At its twenty-ninth session, the ADN Safety Committee confirmed that, in such cases, only categories 1A and 1B of GHS were relevant.</w:t>
            </w:r>
          </w:p>
        </w:tc>
      </w:tr>
      <w:tr w:rsidR="00642276" w:rsidRPr="00642276" w:rsidTr="00B837D5">
        <w:trPr>
          <w:jc w:val="center"/>
        </w:trPr>
        <w:tc>
          <w:tcPr>
            <w:tcW w:w="9637" w:type="dxa"/>
            <w:tcBorders>
              <w:top w:val="nil"/>
              <w:bottom w:val="nil"/>
            </w:tcBorders>
            <w:shd w:val="clear" w:color="auto" w:fill="auto"/>
          </w:tcPr>
          <w:p w:rsidR="00642276" w:rsidRPr="00642276" w:rsidRDefault="00642276" w:rsidP="00642276">
            <w:pPr>
              <w:pStyle w:val="SingleTxtG"/>
              <w:spacing w:after="60"/>
              <w:ind w:left="2552" w:hanging="2268"/>
            </w:pPr>
            <w:r w:rsidRPr="00642276">
              <w:rPr>
                <w:b/>
                <w:bCs/>
              </w:rPr>
              <w:t>Action to be taken</w:t>
            </w:r>
            <w:r w:rsidRPr="00642276">
              <w:t>:</w:t>
            </w:r>
            <w:r>
              <w:tab/>
              <w:t>Corresponding amendment to subsection 3.2.3.1 of ADN, explanations concerning Table C,</w:t>
            </w:r>
            <w:r w:rsidR="00B02958">
              <w:t xml:space="preserve"> Explanatory note for column (5)</w:t>
            </w:r>
          </w:p>
        </w:tc>
      </w:tr>
      <w:tr w:rsidR="00642276" w:rsidRPr="00642276" w:rsidTr="00B837D5">
        <w:trPr>
          <w:jc w:val="center"/>
        </w:trPr>
        <w:tc>
          <w:tcPr>
            <w:tcW w:w="9637" w:type="dxa"/>
            <w:tcBorders>
              <w:top w:val="nil"/>
              <w:bottom w:val="nil"/>
            </w:tcBorders>
            <w:shd w:val="clear" w:color="auto" w:fill="auto"/>
          </w:tcPr>
          <w:p w:rsidR="00642276" w:rsidRDefault="00642276" w:rsidP="00642276">
            <w:pPr>
              <w:pStyle w:val="SingleTxtG"/>
              <w:spacing w:after="0"/>
              <w:ind w:left="2552" w:hanging="2268"/>
            </w:pPr>
            <w:r w:rsidRPr="00642276">
              <w:rPr>
                <w:b/>
                <w:bCs/>
              </w:rPr>
              <w:t>Related documents</w:t>
            </w:r>
            <w:r>
              <w:t>:</w:t>
            </w:r>
            <w:r>
              <w:tab/>
              <w:t>ECE/TRANS/WP.15/AC.2/2016/36</w:t>
            </w:r>
          </w:p>
          <w:p w:rsidR="00642276" w:rsidRDefault="00642276" w:rsidP="00642276">
            <w:pPr>
              <w:pStyle w:val="SingleTxtG"/>
              <w:spacing w:after="60"/>
              <w:ind w:left="2552" w:hanging="2268"/>
            </w:pPr>
            <w:r>
              <w:rPr>
                <w:lang w:val="es-ES"/>
              </w:rPr>
              <w:tab/>
            </w:r>
            <w:r w:rsidRPr="00642276">
              <w:rPr>
                <w:lang w:val="es-ES"/>
              </w:rPr>
              <w:t xml:space="preserve">ECE/TRANS/WP.15/AC.2/60, para. </w:t>
            </w:r>
            <w:r>
              <w:t>15</w:t>
            </w:r>
          </w:p>
        </w:tc>
      </w:tr>
      <w:tr w:rsidR="00642276" w:rsidRPr="00642276" w:rsidTr="00B837D5">
        <w:trPr>
          <w:jc w:val="center"/>
        </w:trPr>
        <w:tc>
          <w:tcPr>
            <w:tcW w:w="9637" w:type="dxa"/>
            <w:tcBorders>
              <w:top w:val="nil"/>
            </w:tcBorders>
          </w:tcPr>
          <w:p w:rsidR="00642276" w:rsidRPr="00642276" w:rsidRDefault="00642276" w:rsidP="006975C3">
            <w:pPr>
              <w:suppressAutoHyphens w:val="0"/>
              <w:spacing w:line="40" w:lineRule="exact"/>
            </w:pPr>
          </w:p>
        </w:tc>
      </w:tr>
    </w:tbl>
    <w:p w:rsidR="004B51BF" w:rsidRPr="000C653B" w:rsidRDefault="00642276" w:rsidP="004B51BF">
      <w:pPr>
        <w:pStyle w:val="HChG"/>
      </w:pPr>
      <w:r>
        <w:br w:type="page"/>
      </w:r>
      <w:r w:rsidR="004B51BF" w:rsidRPr="000C653B">
        <w:lastRenderedPageBreak/>
        <w:tab/>
        <w:t>I.</w:t>
      </w:r>
      <w:r w:rsidR="004B51BF" w:rsidRPr="000C653B">
        <w:tab/>
        <w:t>Introduction</w:t>
      </w:r>
    </w:p>
    <w:p w:rsidR="004B51BF" w:rsidRPr="000C653B" w:rsidRDefault="004B51BF" w:rsidP="004B51BF">
      <w:pPr>
        <w:pStyle w:val="SingleTxtG"/>
      </w:pPr>
      <w:r w:rsidRPr="000C653B">
        <w:t>1.</w:t>
      </w:r>
      <w:r w:rsidRPr="000C653B">
        <w:tab/>
        <w:t xml:space="preserve">At its twenty-ninth session, the Safety Committee considered that only categories 1A and 1B of GHS were relevant for the CMR hazard code for a dangerous substance in column (5) of Table C, subsection 3.2.3.1 of ADN. Category 2 should not be taken into account. </w:t>
      </w:r>
    </w:p>
    <w:p w:rsidR="004B51BF" w:rsidRPr="000C653B" w:rsidRDefault="004B51BF" w:rsidP="004B51BF">
      <w:pPr>
        <w:pStyle w:val="SingleTxtG"/>
      </w:pPr>
      <w:r w:rsidRPr="000C653B">
        <w:t xml:space="preserve">2. </w:t>
      </w:r>
      <w:r w:rsidRPr="000C653B">
        <w:tab/>
        <w:t>The German delegation was asked to submit a request for a corresponding amendment to ADN 2019 to clarify the text in that regard.</w:t>
      </w:r>
    </w:p>
    <w:p w:rsidR="004B51BF" w:rsidRPr="000C653B" w:rsidRDefault="004B51BF" w:rsidP="004B51BF">
      <w:pPr>
        <w:pStyle w:val="HChG"/>
      </w:pPr>
      <w:r w:rsidRPr="000C653B">
        <w:tab/>
        <w:t>II.</w:t>
      </w:r>
      <w:r w:rsidRPr="000C653B">
        <w:tab/>
        <w:t>Proposal</w:t>
      </w:r>
    </w:p>
    <w:p w:rsidR="004B51BF" w:rsidRPr="000C653B" w:rsidRDefault="004B51BF" w:rsidP="004B51BF">
      <w:pPr>
        <w:pStyle w:val="SingleTxtG"/>
      </w:pPr>
      <w:r w:rsidRPr="000C653B">
        <w:t>3.</w:t>
      </w:r>
      <w:r w:rsidRPr="000C653B">
        <w:tab/>
        <w:t>Modify subsection 3.2.3.1 of ADN as follows:</w:t>
      </w:r>
    </w:p>
    <w:p w:rsidR="004B51BF" w:rsidRPr="000C653B" w:rsidRDefault="004B51BF" w:rsidP="004B51BF">
      <w:pPr>
        <w:pStyle w:val="SingleTxtG"/>
      </w:pPr>
      <w:r>
        <w:t>“</w:t>
      </w:r>
      <w:r w:rsidRPr="000C653B">
        <w:t xml:space="preserve">Column (5) </w:t>
      </w:r>
      <w:r>
        <w:t>‘</w:t>
      </w:r>
      <w:r w:rsidRPr="000C653B">
        <w:t>Dangers</w:t>
      </w:r>
      <w:r>
        <w:t>’</w:t>
      </w:r>
    </w:p>
    <w:p w:rsidR="004B51BF" w:rsidRPr="000C653B" w:rsidRDefault="004B51BF" w:rsidP="004B51BF">
      <w:pPr>
        <w:pStyle w:val="SingleTxtG"/>
      </w:pPr>
      <w:r w:rsidRPr="000C653B">
        <w:t xml:space="preserve">This column contains information concerning the hazards inherent in the dangerous substance. These hazards are included on the basis of the danger labels of Table A, column (5). </w:t>
      </w:r>
    </w:p>
    <w:p w:rsidR="004B51BF" w:rsidRPr="000C653B" w:rsidRDefault="004B51BF" w:rsidP="004B51BF">
      <w:pPr>
        <w:pStyle w:val="SingleTxtG"/>
      </w:pPr>
      <w:r w:rsidRPr="000C653B">
        <w:t xml:space="preserve">In the case of a chemically unstable substance, the code </w:t>
      </w:r>
      <w:r>
        <w:t>‘</w:t>
      </w:r>
      <w:r w:rsidRPr="000C653B">
        <w:t>unst.</w:t>
      </w:r>
      <w:r>
        <w:t>’</w:t>
      </w:r>
      <w:r w:rsidRPr="000C653B">
        <w:t xml:space="preserve"> is added to the information. </w:t>
      </w:r>
    </w:p>
    <w:p w:rsidR="004B51BF" w:rsidRPr="000C653B" w:rsidRDefault="004B51BF" w:rsidP="004B51BF">
      <w:pPr>
        <w:pStyle w:val="SingleTxtG"/>
      </w:pPr>
      <w:r w:rsidRPr="000C653B">
        <w:t xml:space="preserve">In the case of a substance or mixture hazardous to the aquatic environment, the code </w:t>
      </w:r>
      <w:r>
        <w:t>‘</w:t>
      </w:r>
      <w:r w:rsidRPr="000C653B">
        <w:t>N1</w:t>
      </w:r>
      <w:r>
        <w:t>’</w:t>
      </w:r>
      <w:r w:rsidRPr="000C653B">
        <w:t xml:space="preserve">, </w:t>
      </w:r>
      <w:r>
        <w:t>‘</w:t>
      </w:r>
      <w:r w:rsidRPr="000C653B">
        <w:t>N2</w:t>
      </w:r>
      <w:r>
        <w:t>’</w:t>
      </w:r>
      <w:r w:rsidRPr="000C653B">
        <w:t xml:space="preserve"> or </w:t>
      </w:r>
      <w:r>
        <w:t>‘</w:t>
      </w:r>
      <w:r w:rsidRPr="000C653B">
        <w:t>N3</w:t>
      </w:r>
      <w:r>
        <w:t>’</w:t>
      </w:r>
      <w:r w:rsidRPr="000C653B">
        <w:t xml:space="preserve"> is added to the information. </w:t>
      </w:r>
    </w:p>
    <w:p w:rsidR="004B51BF" w:rsidRPr="000C653B" w:rsidRDefault="004B51BF" w:rsidP="004B51BF">
      <w:pPr>
        <w:pStyle w:val="SingleTxtG"/>
      </w:pPr>
      <w:r w:rsidRPr="000C653B">
        <w:t xml:space="preserve">In the case of a substance or mixture with CMR properties </w:t>
      </w:r>
      <w:r w:rsidRPr="00B51F18">
        <w:rPr>
          <w:u w:val="single"/>
        </w:rPr>
        <w:t>under Categories 1A or 1B of Chapters 3.5, 3.6 and 3.7 of GHS</w:t>
      </w:r>
      <w:r w:rsidRPr="000C653B">
        <w:t xml:space="preserve">, the code </w:t>
      </w:r>
      <w:r>
        <w:t>‘</w:t>
      </w:r>
      <w:r w:rsidRPr="000C653B">
        <w:t>CMR</w:t>
      </w:r>
      <w:r>
        <w:t>’</w:t>
      </w:r>
      <w:r w:rsidRPr="000C653B">
        <w:t xml:space="preserve"> is added to the information. </w:t>
      </w:r>
    </w:p>
    <w:p w:rsidR="004B51BF" w:rsidRPr="000C653B" w:rsidRDefault="004B51BF" w:rsidP="004B51BF">
      <w:pPr>
        <w:pStyle w:val="SingleTxtG"/>
      </w:pPr>
      <w:r w:rsidRPr="000C653B">
        <w:t xml:space="preserve">In the case of a substance or mixture that floats on the water surface, does not evaporate and is not readily soluble in water or that sinks to the bottom of the water and is not readily soluble, the code </w:t>
      </w:r>
      <w:r>
        <w:t>‘</w:t>
      </w:r>
      <w:r w:rsidRPr="000C653B">
        <w:t>F</w:t>
      </w:r>
      <w:r>
        <w:t>’</w:t>
      </w:r>
      <w:r w:rsidRPr="000C653B">
        <w:t xml:space="preserve"> (standing for </w:t>
      </w:r>
      <w:r>
        <w:t>‘</w:t>
      </w:r>
      <w:r w:rsidRPr="000C653B">
        <w:t>Floater</w:t>
      </w:r>
      <w:r>
        <w:t>’</w:t>
      </w:r>
      <w:r w:rsidRPr="000C653B">
        <w:t xml:space="preserve">) or </w:t>
      </w:r>
      <w:r>
        <w:t>‘</w:t>
      </w:r>
      <w:r w:rsidRPr="000C653B">
        <w:t>S</w:t>
      </w:r>
      <w:r>
        <w:t>’</w:t>
      </w:r>
      <w:r w:rsidRPr="000C653B">
        <w:t xml:space="preserve"> (standing for </w:t>
      </w:r>
      <w:r>
        <w:t>‘</w:t>
      </w:r>
      <w:r w:rsidRPr="000C653B">
        <w:t>Sinker</w:t>
      </w:r>
      <w:r>
        <w:t>’</w:t>
      </w:r>
      <w:r w:rsidRPr="000C653B">
        <w:t>), respectivel</w:t>
      </w:r>
      <w:r w:rsidR="005545C7">
        <w:t>y, is added to the information.”</w:t>
      </w:r>
    </w:p>
    <w:p w:rsidR="004B51BF" w:rsidRPr="000C653B" w:rsidRDefault="004B51BF" w:rsidP="004B51BF">
      <w:pPr>
        <w:pStyle w:val="HChG"/>
      </w:pPr>
      <w:r w:rsidRPr="000C653B">
        <w:tab/>
        <w:t>III.</w:t>
      </w:r>
      <w:r w:rsidRPr="000C653B">
        <w:tab/>
        <w:t>Justification</w:t>
      </w:r>
    </w:p>
    <w:p w:rsidR="004B51BF" w:rsidRPr="000C653B" w:rsidRDefault="004B51BF" w:rsidP="004B51BF">
      <w:pPr>
        <w:pStyle w:val="SingleTxtG"/>
      </w:pPr>
      <w:r w:rsidRPr="000C653B">
        <w:t>4.</w:t>
      </w:r>
      <w:r w:rsidRPr="000C653B">
        <w:tab/>
        <w:t xml:space="preserve">The amendment is in line with the corresponding texts in the flowchart in subsection 3.2.3.3 of ADN, third box, bullet point 6, and in 4.1 of the Application form for special authorizations under subsection 3.2.4.2 of ADN, and provides the necessary clarification. It would seem, from the initial documents requesting the incorporation of the CMR criteria into the Regulations, to be a matter of an accidental deletion. </w:t>
      </w:r>
    </w:p>
    <w:p w:rsidR="004B51BF" w:rsidRPr="000C653B" w:rsidRDefault="004B51BF" w:rsidP="004B51BF">
      <w:pPr>
        <w:pStyle w:val="HChG"/>
      </w:pPr>
      <w:r w:rsidRPr="000C653B">
        <w:tab/>
        <w:t>IV.</w:t>
      </w:r>
      <w:r w:rsidRPr="000C653B">
        <w:tab/>
        <w:t>Safety</w:t>
      </w:r>
    </w:p>
    <w:p w:rsidR="004B51BF" w:rsidRPr="000C653B" w:rsidRDefault="004B51BF" w:rsidP="004B51BF">
      <w:pPr>
        <w:pStyle w:val="SingleTxtG"/>
      </w:pPr>
      <w:r w:rsidRPr="000C653B">
        <w:t>5.</w:t>
      </w:r>
      <w:r w:rsidRPr="000C653B">
        <w:tab/>
        <w:t>The amendment has no implications for transport safety. It is simply a question of clarifying the Regulations. For the classification of a substance or a mixture in CMR Category 2 in GHS, there are only comments, but no adequate indicators of a carcinogenic, mutagenic or reproductive toxicant effect. It would thus be disproportionate to include it in Table C, with the consequences that would entail in terms of the choice of more expensive vessels.</w:t>
      </w:r>
    </w:p>
    <w:p w:rsidR="004B51BF" w:rsidRPr="000C653B" w:rsidRDefault="004B51BF" w:rsidP="004B51BF">
      <w:pPr>
        <w:pStyle w:val="HChG"/>
      </w:pPr>
      <w:r w:rsidRPr="000C653B">
        <w:lastRenderedPageBreak/>
        <w:tab/>
        <w:t>V.</w:t>
      </w:r>
      <w:r w:rsidRPr="000C653B">
        <w:tab/>
        <w:t>Implementation</w:t>
      </w:r>
    </w:p>
    <w:p w:rsidR="004B51BF" w:rsidRPr="000C653B" w:rsidRDefault="004B51BF" w:rsidP="004B51BF">
      <w:pPr>
        <w:pStyle w:val="SingleTxtG"/>
      </w:pPr>
      <w:r w:rsidRPr="000C653B">
        <w:t>6.</w:t>
      </w:r>
      <w:r w:rsidRPr="000C653B">
        <w:tab/>
        <w:t>No technical modifications, economic investment or costs for the authorities are expected. Consideration of the heading under which a substance of Category 2 with CMR properties should be allocated could lead to modifications to and possibly simplification of the requirements for the minimum type of vessel to use.</w:t>
      </w:r>
    </w:p>
    <w:p w:rsidR="004B51BF" w:rsidRPr="00106A43" w:rsidRDefault="004B51BF">
      <w:pPr>
        <w:spacing w:before="240"/>
        <w:jc w:val="center"/>
        <w:rPr>
          <w:u w:val="single"/>
        </w:rPr>
      </w:pPr>
      <w:r>
        <w:rPr>
          <w:u w:val="single"/>
        </w:rPr>
        <w:tab/>
      </w:r>
      <w:r>
        <w:rPr>
          <w:u w:val="single"/>
        </w:rPr>
        <w:tab/>
      </w:r>
      <w:r>
        <w:rPr>
          <w:u w:val="single"/>
        </w:rPr>
        <w:tab/>
      </w:r>
    </w:p>
    <w:sectPr w:rsidR="004B51BF" w:rsidRPr="00106A43" w:rsidSect="0064227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E1" w:rsidRPr="00FB1744" w:rsidRDefault="00D402E1" w:rsidP="00FB1744">
      <w:pPr>
        <w:pStyle w:val="Footer"/>
      </w:pPr>
    </w:p>
  </w:endnote>
  <w:endnote w:type="continuationSeparator" w:id="0">
    <w:p w:rsidR="00D402E1" w:rsidRPr="00FB1744" w:rsidRDefault="00D402E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6" w:rsidRPr="00642276" w:rsidRDefault="00642276" w:rsidP="00642276">
    <w:pPr>
      <w:pStyle w:val="Footer"/>
      <w:tabs>
        <w:tab w:val="right" w:pos="9598"/>
      </w:tabs>
    </w:pPr>
    <w:r w:rsidRPr="00642276">
      <w:rPr>
        <w:b/>
        <w:sz w:val="18"/>
      </w:rPr>
      <w:fldChar w:fldCharType="begin"/>
    </w:r>
    <w:r w:rsidRPr="00642276">
      <w:rPr>
        <w:b/>
        <w:sz w:val="18"/>
      </w:rPr>
      <w:instrText xml:space="preserve"> PAGE  \* MERGEFORMAT </w:instrText>
    </w:r>
    <w:r w:rsidRPr="00642276">
      <w:rPr>
        <w:b/>
        <w:sz w:val="18"/>
      </w:rPr>
      <w:fldChar w:fldCharType="separate"/>
    </w:r>
    <w:r w:rsidR="00DF7A6B">
      <w:rPr>
        <w:b/>
        <w:noProof/>
        <w:sz w:val="18"/>
      </w:rPr>
      <w:t>2</w:t>
    </w:r>
    <w:r w:rsidRPr="00642276">
      <w:rPr>
        <w:b/>
        <w:sz w:val="18"/>
      </w:rPr>
      <w:fldChar w:fldCharType="end"/>
    </w:r>
    <w:r>
      <w:rPr>
        <w:sz w:val="18"/>
      </w:rPr>
      <w:tab/>
    </w:r>
    <w:r>
      <w:t>GE.16-19619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6" w:rsidRPr="00642276" w:rsidRDefault="00642276" w:rsidP="00642276">
    <w:pPr>
      <w:pStyle w:val="Footer"/>
      <w:tabs>
        <w:tab w:val="right" w:pos="9598"/>
      </w:tabs>
      <w:rPr>
        <w:b/>
        <w:sz w:val="18"/>
      </w:rPr>
    </w:pPr>
    <w:r>
      <w:t>GE.16-19619</w:t>
    </w:r>
    <w:r>
      <w:tab/>
    </w:r>
    <w:r w:rsidRPr="00642276">
      <w:rPr>
        <w:b/>
        <w:sz w:val="18"/>
      </w:rPr>
      <w:fldChar w:fldCharType="begin"/>
    </w:r>
    <w:r w:rsidRPr="00642276">
      <w:rPr>
        <w:b/>
        <w:sz w:val="18"/>
      </w:rPr>
      <w:instrText xml:space="preserve"> PAGE  \* MERGEFORMAT </w:instrText>
    </w:r>
    <w:r w:rsidRPr="00642276">
      <w:rPr>
        <w:b/>
        <w:sz w:val="18"/>
      </w:rPr>
      <w:fldChar w:fldCharType="separate"/>
    </w:r>
    <w:r w:rsidR="00DF7A6B">
      <w:rPr>
        <w:b/>
        <w:noProof/>
        <w:sz w:val="18"/>
      </w:rPr>
      <w:t>3</w:t>
    </w:r>
    <w:r w:rsidRPr="00642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6975C3">
    <w:pPr>
      <w:spacing w:line="80" w:lineRule="exact"/>
    </w:pPr>
    <w:r>
      <w:rPr>
        <w:noProof/>
        <w:lang w:eastAsia="en-GB"/>
      </w:rPr>
      <w:drawing>
        <wp:anchor distT="0" distB="0" distL="114300" distR="114300" simplePos="0" relativeHeight="251659264" behindDoc="0" locked="1" layoutInCell="1" allowOverlap="1" wp14:anchorId="33A639E5" wp14:editId="0B07C642">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276" w:rsidRDefault="00642276" w:rsidP="00642276">
    <w:r>
      <w:t>GE.16-19619  (E)</w:t>
    </w:r>
    <w:r w:rsidR="004B51BF">
      <w:t xml:space="preserve">    141116    </w:t>
    </w:r>
    <w:r w:rsidR="005B73F8">
      <w:t>14</w:t>
    </w:r>
    <w:r w:rsidR="004B51BF">
      <w:t>1116</w:t>
    </w:r>
  </w:p>
  <w:p w:rsidR="00642276" w:rsidRPr="00642276" w:rsidRDefault="00642276" w:rsidP="0064227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DA5E808" wp14:editId="60C3817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E1" w:rsidRPr="00FB1744" w:rsidRDefault="00D402E1" w:rsidP="00FB1744">
      <w:pPr>
        <w:tabs>
          <w:tab w:val="right" w:pos="2155"/>
        </w:tabs>
        <w:spacing w:after="80" w:line="240" w:lineRule="auto"/>
        <w:ind w:left="680"/>
      </w:pPr>
      <w:r>
        <w:rPr>
          <w:u w:val="single"/>
        </w:rPr>
        <w:tab/>
      </w:r>
    </w:p>
  </w:footnote>
  <w:footnote w:type="continuationSeparator" w:id="0">
    <w:p w:rsidR="00D402E1" w:rsidRPr="00FB1744" w:rsidRDefault="00D402E1" w:rsidP="00FB1744">
      <w:pPr>
        <w:tabs>
          <w:tab w:val="right" w:pos="2155"/>
        </w:tabs>
        <w:spacing w:after="80" w:line="240" w:lineRule="auto"/>
        <w:ind w:left="680"/>
      </w:pPr>
      <w:r>
        <w:rPr>
          <w:u w:val="single"/>
        </w:rPr>
        <w:tab/>
      </w:r>
    </w:p>
  </w:footnote>
  <w:footnote w:id="1">
    <w:p w:rsidR="00642276" w:rsidRPr="008E0108" w:rsidRDefault="00642276" w:rsidP="004B51BF">
      <w:pPr>
        <w:pStyle w:val="FootnoteText"/>
      </w:pPr>
      <w:r w:rsidRPr="004B51BF">
        <w:rPr>
          <w:rStyle w:val="FootnoteReference"/>
          <w:sz w:val="20"/>
          <w:szCs w:val="18"/>
          <w:vertAlign w:val="baseline"/>
        </w:rPr>
        <w:tab/>
        <w:t>*</w:t>
      </w:r>
      <w:r w:rsidRPr="004B51BF">
        <w:rPr>
          <w:rStyle w:val="FootnoteReference"/>
          <w:sz w:val="20"/>
          <w:vertAlign w:val="baseline"/>
        </w:rPr>
        <w:tab/>
      </w:r>
      <w:r w:rsidRPr="00853410">
        <w:rPr>
          <w:lang w:val="en-US"/>
        </w:rPr>
        <w:t>Distributed in German by the Central Commission for the Navigation of the Rhine under the symb</w:t>
      </w:r>
      <w:r>
        <w:rPr>
          <w:lang w:val="en-US"/>
        </w:rPr>
        <w:t>ol CCNR-ZKR/ADN/WP.15/AC.2/</w:t>
      </w:r>
      <w:r w:rsidRPr="008E0108">
        <w:t>2017/</w:t>
      </w:r>
      <w:r>
        <w:t>6</w:t>
      </w:r>
      <w:r w:rsidRPr="008E0108">
        <w:t>.</w:t>
      </w:r>
    </w:p>
  </w:footnote>
  <w:footnote w:id="2">
    <w:p w:rsidR="00642276" w:rsidRPr="008E0108" w:rsidRDefault="00642276" w:rsidP="00B02958">
      <w:pPr>
        <w:pStyle w:val="FootnoteText"/>
      </w:pPr>
      <w:r w:rsidRPr="004B51BF">
        <w:rPr>
          <w:rStyle w:val="FootnoteReference"/>
          <w:sz w:val="20"/>
          <w:szCs w:val="18"/>
          <w:vertAlign w:val="baseline"/>
        </w:rPr>
        <w:tab/>
        <w:t>**</w:t>
      </w:r>
      <w:r w:rsidRPr="004B51BF">
        <w:rPr>
          <w:rStyle w:val="FootnoteReference"/>
          <w:sz w:val="20"/>
          <w:szCs w:val="18"/>
          <w:vertAlign w:val="baseline"/>
        </w:rPr>
        <w:tab/>
      </w:r>
      <w:r w:rsidRPr="003D077D">
        <w:rPr>
          <w:lang w:val="en-US"/>
        </w:rPr>
        <w:t xml:space="preserve">In accordance with </w:t>
      </w:r>
      <w:r w:rsidRPr="004B51BF">
        <w:t>the</w:t>
      </w:r>
      <w:r w:rsidRPr="003D077D">
        <w:rPr>
          <w:lang w:val="en-US"/>
        </w:rPr>
        <w:t xml:space="preserve"> programme of work of the Inland Transport Committee for 2016</w:t>
      </w:r>
      <w:r w:rsidR="00B02958">
        <w:rPr>
          <w:lang w:val="en-US"/>
        </w:rPr>
        <w:t>-</w:t>
      </w:r>
      <w:r w:rsidRPr="003D077D">
        <w:rPr>
          <w:lang w:val="en-US"/>
        </w:rPr>
        <w:t xml:space="preserve">2017 </w:t>
      </w:r>
      <w:r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6" w:rsidRPr="00642276" w:rsidRDefault="00642276" w:rsidP="00642276">
    <w:pPr>
      <w:pStyle w:val="Header"/>
    </w:pPr>
    <w:r w:rsidRPr="00642276">
      <w:t>ECE/TRANS/WP.15/AC.2/2017/6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76" w:rsidRPr="00642276" w:rsidRDefault="00642276" w:rsidP="00642276">
    <w:pPr>
      <w:pStyle w:val="Header"/>
      <w:jc w:val="right"/>
    </w:pPr>
    <w:r w:rsidRPr="00642276">
      <w:t>ECE/TRANS/WP.15/AC.2/2017/6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02E1"/>
    <w:rsid w:val="00046E92"/>
    <w:rsid w:val="000C5BB9"/>
    <w:rsid w:val="001170DC"/>
    <w:rsid w:val="00247E2C"/>
    <w:rsid w:val="002D6C53"/>
    <w:rsid w:val="002F5595"/>
    <w:rsid w:val="00334F6A"/>
    <w:rsid w:val="00342AC8"/>
    <w:rsid w:val="003B4550"/>
    <w:rsid w:val="00461253"/>
    <w:rsid w:val="004B51BF"/>
    <w:rsid w:val="004E716E"/>
    <w:rsid w:val="005042C2"/>
    <w:rsid w:val="0052596D"/>
    <w:rsid w:val="005545C7"/>
    <w:rsid w:val="0056599A"/>
    <w:rsid w:val="005B73F8"/>
    <w:rsid w:val="00642276"/>
    <w:rsid w:val="00671529"/>
    <w:rsid w:val="006975C3"/>
    <w:rsid w:val="00717266"/>
    <w:rsid w:val="007268F9"/>
    <w:rsid w:val="007C52B0"/>
    <w:rsid w:val="009411B4"/>
    <w:rsid w:val="009D0139"/>
    <w:rsid w:val="009F5CDC"/>
    <w:rsid w:val="00A775CF"/>
    <w:rsid w:val="00AB3C7E"/>
    <w:rsid w:val="00B02958"/>
    <w:rsid w:val="00B06045"/>
    <w:rsid w:val="00B51F18"/>
    <w:rsid w:val="00C35A27"/>
    <w:rsid w:val="00D402E1"/>
    <w:rsid w:val="00DF7A6B"/>
    <w:rsid w:val="00E02C2B"/>
    <w:rsid w:val="00ED6C48"/>
    <w:rsid w:val="00F65F5D"/>
    <w:rsid w:val="00F86A3A"/>
    <w:rsid w:val="00FB1744"/>
    <w:rsid w:val="00FC04AB"/>
    <w:rsid w:val="00FF6A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24DB3E-11CA-40F6-8EE2-7E518704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BodyText">
    <w:name w:val="Body Text"/>
    <w:basedOn w:val="Normal"/>
    <w:link w:val="BodyTextChar"/>
    <w:uiPriority w:val="99"/>
    <w:unhideWhenUsed/>
    <w:rsid w:val="00642276"/>
    <w:pPr>
      <w:spacing w:before="120"/>
    </w:pPr>
    <w:rPr>
      <w:b/>
      <w:bCs/>
    </w:rPr>
  </w:style>
  <w:style w:type="character" w:customStyle="1" w:styleId="BodyTextChar">
    <w:name w:val="Body Text Char"/>
    <w:basedOn w:val="DefaultParagraphFont"/>
    <w:link w:val="BodyText"/>
    <w:uiPriority w:val="99"/>
    <w:rsid w:val="0064227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652B-FC7D-4FFE-8E25-8F9CC31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1619619</vt:lpstr>
    </vt:vector>
  </TitlesOfParts>
  <Company>DCM</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1619619</dc:title>
  <dc:subject>ECE/TRANS/WP.15/AC.2/2017/6</dc:subject>
  <dc:creator>Escalante</dc:creator>
  <cp:keywords/>
  <dc:description>final</dc:description>
  <cp:lastModifiedBy>Lucille</cp:lastModifiedBy>
  <cp:revision>2</cp:revision>
  <cp:lastPrinted>2016-11-14T13:57:00Z</cp:lastPrinted>
  <dcterms:created xsi:type="dcterms:W3CDTF">2016-11-23T10:46:00Z</dcterms:created>
  <dcterms:modified xsi:type="dcterms:W3CDTF">2016-11-23T10:46:00Z</dcterms:modified>
</cp:coreProperties>
</file>