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bookmarkStart w:id="0" w:name="_GoBack"/>
            <w:bookmarkEnd w:id="0"/>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CB6854" w:rsidP="00CB6854">
            <w:pPr>
              <w:suppressAutoHyphens w:val="0"/>
              <w:spacing w:after="20"/>
              <w:jc w:val="right"/>
            </w:pPr>
            <w:r w:rsidRPr="00CB6854">
              <w:rPr>
                <w:sz w:val="40"/>
              </w:rPr>
              <w:t>ECE</w:t>
            </w:r>
            <w:r>
              <w:t>/TRANS/WP.15/AC.2/2018/5</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eastAsia="en-GB"/>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CB6854" w:rsidP="00CB6854">
            <w:pPr>
              <w:suppressAutoHyphens w:val="0"/>
              <w:spacing w:before="240" w:line="240" w:lineRule="exact"/>
            </w:pPr>
            <w:r>
              <w:t>Distr.: General</w:t>
            </w:r>
          </w:p>
          <w:p w:rsidR="00CB6854" w:rsidRDefault="00CB6854" w:rsidP="00CB6854">
            <w:pPr>
              <w:suppressAutoHyphens w:val="0"/>
            </w:pPr>
            <w:r>
              <w:t>20 October 2017</w:t>
            </w:r>
          </w:p>
          <w:p w:rsidR="00CB6854" w:rsidRDefault="00CB6854" w:rsidP="00CB6854">
            <w:pPr>
              <w:suppressAutoHyphens w:val="0"/>
            </w:pPr>
            <w:r>
              <w:t>English</w:t>
            </w:r>
          </w:p>
          <w:p w:rsidR="00CB6854" w:rsidRDefault="00CB6854" w:rsidP="00CB6854">
            <w:pPr>
              <w:suppressAutoHyphens w:val="0"/>
            </w:pPr>
            <w:r>
              <w:t>Original: French</w:t>
            </w:r>
          </w:p>
        </w:tc>
      </w:tr>
    </w:tbl>
    <w:p w:rsidR="00A15141" w:rsidRPr="00A15141" w:rsidRDefault="00A15141" w:rsidP="00A15141">
      <w:pPr>
        <w:spacing w:before="120"/>
        <w:rPr>
          <w:b/>
          <w:sz w:val="28"/>
          <w:szCs w:val="28"/>
          <w:lang w:val="fr-FR"/>
        </w:rPr>
      </w:pPr>
      <w:r w:rsidRPr="00A15141">
        <w:rPr>
          <w:b/>
          <w:sz w:val="28"/>
          <w:szCs w:val="28"/>
          <w:lang w:val="fr-FR"/>
        </w:rPr>
        <w:t>Economic Commission for Europe</w:t>
      </w:r>
    </w:p>
    <w:p w:rsidR="00A15141" w:rsidRPr="00A15141" w:rsidRDefault="00A15141" w:rsidP="00A15141">
      <w:pPr>
        <w:spacing w:before="120"/>
        <w:rPr>
          <w:sz w:val="28"/>
          <w:szCs w:val="28"/>
          <w:lang w:val="fr-FR"/>
        </w:rPr>
      </w:pPr>
      <w:r w:rsidRPr="00A15141">
        <w:rPr>
          <w:sz w:val="28"/>
          <w:szCs w:val="28"/>
          <w:lang w:val="fr-FR"/>
        </w:rPr>
        <w:t>Inland Transport Committee</w:t>
      </w:r>
    </w:p>
    <w:p w:rsidR="00A15141" w:rsidRPr="00A15141" w:rsidRDefault="00A15141" w:rsidP="00A15141">
      <w:pPr>
        <w:spacing w:before="120"/>
        <w:rPr>
          <w:b/>
          <w:sz w:val="24"/>
          <w:szCs w:val="24"/>
          <w:lang w:val="fr-FR"/>
        </w:rPr>
      </w:pPr>
      <w:r w:rsidRPr="00A15141">
        <w:rPr>
          <w:b/>
          <w:sz w:val="24"/>
          <w:szCs w:val="24"/>
          <w:lang w:val="fr-FR"/>
        </w:rPr>
        <w:t>Working Party on the Transport of Dangerous Goods</w:t>
      </w:r>
    </w:p>
    <w:p w:rsidR="00A15141" w:rsidRPr="00A15141" w:rsidRDefault="00A15141" w:rsidP="00A15141">
      <w:pPr>
        <w:spacing w:before="120"/>
        <w:rPr>
          <w:b/>
          <w:lang w:val="fr-FR"/>
        </w:rPr>
      </w:pPr>
      <w:r w:rsidRPr="00A15141">
        <w:rPr>
          <w:b/>
          <w:lang w:val="fr-FR"/>
        </w:rPr>
        <w:t xml:space="preserve">Joint Meeting of Experts on the Regulations annexed to the </w:t>
      </w:r>
      <w:r w:rsidR="009C0790">
        <w:rPr>
          <w:b/>
          <w:lang w:val="fr-FR"/>
        </w:rPr>
        <w:br/>
      </w:r>
      <w:r w:rsidRPr="00A15141">
        <w:rPr>
          <w:b/>
          <w:lang w:val="fr-FR"/>
        </w:rPr>
        <w:t xml:space="preserve">European Agreement concerning the International Carriage of </w:t>
      </w:r>
      <w:r w:rsidR="009C0790">
        <w:rPr>
          <w:b/>
          <w:lang w:val="fr-FR"/>
        </w:rPr>
        <w:br/>
      </w:r>
      <w:r w:rsidRPr="00A15141">
        <w:rPr>
          <w:b/>
          <w:lang w:val="fr-FR"/>
        </w:rPr>
        <w:t xml:space="preserve">Dangerous Goods by Inland Waterways (ADN) </w:t>
      </w:r>
      <w:r w:rsidR="009C0790">
        <w:rPr>
          <w:b/>
          <w:lang w:val="fr-FR"/>
        </w:rPr>
        <w:br/>
      </w:r>
      <w:r w:rsidRPr="00A15141">
        <w:rPr>
          <w:b/>
          <w:lang w:val="fr-FR"/>
        </w:rPr>
        <w:t>(ADN Safety Committee)</w:t>
      </w:r>
    </w:p>
    <w:p w:rsidR="00A15141" w:rsidRPr="00A15141" w:rsidRDefault="00A15141" w:rsidP="00A15141">
      <w:pPr>
        <w:spacing w:before="120"/>
        <w:rPr>
          <w:b/>
          <w:lang w:val="fr-CH"/>
        </w:rPr>
      </w:pPr>
      <w:r w:rsidRPr="00A15141">
        <w:rPr>
          <w:b/>
          <w:lang w:val="fr-CH"/>
        </w:rPr>
        <w:t>Thirty-second session</w:t>
      </w:r>
    </w:p>
    <w:p w:rsidR="00A15141" w:rsidRPr="00E4676C" w:rsidRDefault="00A15141" w:rsidP="00A15141">
      <w:r w:rsidRPr="00E4676C">
        <w:t>Geneva, 22-26 January 2018</w:t>
      </w:r>
    </w:p>
    <w:p w:rsidR="00A15141" w:rsidRPr="00E4676C" w:rsidRDefault="00A15141" w:rsidP="00A15141">
      <w:r w:rsidRPr="00E4676C">
        <w:t>Item 5 (b) of the provisional agenda</w:t>
      </w:r>
    </w:p>
    <w:p w:rsidR="00A15141" w:rsidRPr="00A15141" w:rsidRDefault="00A15141" w:rsidP="00A15141">
      <w:pPr>
        <w:rPr>
          <w:b/>
          <w:bCs/>
        </w:rPr>
      </w:pPr>
      <w:r w:rsidRPr="00A15141">
        <w:rPr>
          <w:b/>
          <w:bCs/>
        </w:rPr>
        <w:t>Proposals for amendments to the Regulations annexed to ADN:</w:t>
      </w:r>
    </w:p>
    <w:p w:rsidR="00A15141" w:rsidRPr="00A15141" w:rsidRDefault="00A15141" w:rsidP="00A15141">
      <w:pPr>
        <w:rPr>
          <w:b/>
          <w:bCs/>
        </w:rPr>
      </w:pPr>
      <w:r w:rsidRPr="00A15141">
        <w:rPr>
          <w:b/>
          <w:bCs/>
        </w:rPr>
        <w:t>other proposals</w:t>
      </w:r>
    </w:p>
    <w:p w:rsidR="00A15141" w:rsidRPr="00E4676C" w:rsidRDefault="00A15141" w:rsidP="00E21342">
      <w:pPr>
        <w:pStyle w:val="HChG"/>
      </w:pPr>
      <w:r w:rsidRPr="00E4676C">
        <w:tab/>
      </w:r>
      <w:r w:rsidRPr="00E4676C">
        <w:tab/>
        <w:t>Amendment to Chapter 7.1</w:t>
      </w:r>
    </w:p>
    <w:p w:rsidR="00A15141" w:rsidRDefault="00A15141" w:rsidP="00E56B8C">
      <w:pPr>
        <w:pStyle w:val="H1G"/>
      </w:pPr>
      <w:r w:rsidRPr="00E4676C">
        <w:tab/>
      </w:r>
      <w:r w:rsidRPr="00E4676C">
        <w:tab/>
        <w:t>Transmitted by the Government of France</w:t>
      </w:r>
      <w:r w:rsidR="00E56B8C" w:rsidRPr="008E3A21">
        <w:rPr>
          <w:rStyle w:val="FootnoteReference"/>
          <w:b w:val="0"/>
          <w:bCs/>
          <w:sz w:val="20"/>
          <w:vertAlign w:val="baseline"/>
        </w:rPr>
        <w:footnoteReference w:customMarkFollows="1" w:id="1"/>
        <w:t>*</w:t>
      </w:r>
      <w:r w:rsidRPr="008E3A21">
        <w:rPr>
          <w:rStyle w:val="FootnoteReference"/>
          <w:b w:val="0"/>
          <w:bCs/>
          <w:sz w:val="20"/>
          <w:vertAlign w:val="baseline"/>
        </w:rPr>
        <w:t>,</w:t>
      </w:r>
      <w:r w:rsidRPr="008E3A21">
        <w:rPr>
          <w:rStyle w:val="FootnoteReference"/>
          <w:b w:val="0"/>
          <w:bCs/>
          <w:sz w:val="20"/>
          <w:vertAlign w:val="baseline"/>
        </w:rPr>
        <w:footnoteReference w:customMarkFollows="1" w:id="2"/>
        <w:t>**</w:t>
      </w:r>
    </w:p>
    <w:tbl>
      <w:tblPr>
        <w:tblStyle w:val="TableGrid"/>
        <w:tblW w:w="0" w:type="auto"/>
        <w:jc w:val="center"/>
        <w:tblCellMar>
          <w:left w:w="0" w:type="dxa"/>
          <w:right w:w="0" w:type="dxa"/>
        </w:tblCellMar>
        <w:tblLook w:val="05E0" w:firstRow="1" w:lastRow="1" w:firstColumn="1" w:lastColumn="1" w:noHBand="0" w:noVBand="1"/>
      </w:tblPr>
      <w:tblGrid>
        <w:gridCol w:w="9637"/>
      </w:tblGrid>
      <w:tr w:rsidR="00E21342" w:rsidTr="00E21342">
        <w:trPr>
          <w:jc w:val="center"/>
        </w:trPr>
        <w:tc>
          <w:tcPr>
            <w:tcW w:w="9637" w:type="dxa"/>
            <w:tcBorders>
              <w:bottom w:val="nil"/>
            </w:tcBorders>
          </w:tcPr>
          <w:p w:rsidR="00E21342" w:rsidRPr="00E21342" w:rsidRDefault="00E21342" w:rsidP="00157281">
            <w:pPr>
              <w:tabs>
                <w:tab w:val="left" w:pos="255"/>
                <w:tab w:val="left" w:pos="2268"/>
              </w:tabs>
              <w:suppressAutoHyphens w:val="0"/>
              <w:spacing w:before="240" w:after="120"/>
              <w:rPr>
                <w:sz w:val="24"/>
              </w:rPr>
            </w:pPr>
            <w:r>
              <w:tab/>
            </w:r>
            <w:r>
              <w:rPr>
                <w:i/>
                <w:sz w:val="24"/>
              </w:rPr>
              <w:t>Summary</w:t>
            </w:r>
            <w:r w:rsidR="00E277FD">
              <w:rPr>
                <w:i/>
                <w:sz w:val="24"/>
              </w:rPr>
              <w:tab/>
            </w:r>
            <w:r w:rsidR="00E277FD" w:rsidRPr="00E4676C">
              <w:t>This document proposes an amendment to Chapter 7.1 of the regulations annexed to ADN</w:t>
            </w:r>
          </w:p>
        </w:tc>
      </w:tr>
      <w:tr w:rsidR="00E21342" w:rsidTr="00E21342">
        <w:trPr>
          <w:jc w:val="center"/>
        </w:trPr>
        <w:tc>
          <w:tcPr>
            <w:tcW w:w="9637" w:type="dxa"/>
            <w:tcBorders>
              <w:top w:val="nil"/>
              <w:bottom w:val="nil"/>
            </w:tcBorders>
            <w:shd w:val="clear" w:color="auto" w:fill="auto"/>
          </w:tcPr>
          <w:p w:rsidR="00E21342" w:rsidRDefault="00E277FD" w:rsidP="00157281">
            <w:pPr>
              <w:pStyle w:val="SingleTxtG"/>
              <w:tabs>
                <w:tab w:val="left" w:pos="2268"/>
              </w:tabs>
              <w:spacing w:after="60"/>
              <w:ind w:left="2552" w:hanging="2268"/>
            </w:pPr>
            <w:r w:rsidRPr="00E277FD">
              <w:rPr>
                <w:rFonts w:eastAsia="Times New Roman"/>
                <w:b/>
                <w:lang w:eastAsia="en-US"/>
              </w:rPr>
              <w:t>Action to be taken</w:t>
            </w:r>
            <w:r w:rsidRPr="00877B79">
              <w:rPr>
                <w:rFonts w:eastAsia="Times New Roman"/>
                <w:bCs/>
                <w:lang w:eastAsia="en-US"/>
              </w:rPr>
              <w:t>:</w:t>
            </w:r>
            <w:r>
              <w:rPr>
                <w:rFonts w:eastAsia="Times New Roman"/>
                <w:bCs/>
                <w:lang w:eastAsia="en-US"/>
              </w:rPr>
              <w:tab/>
            </w:r>
            <w:r w:rsidRPr="00877B79">
              <w:rPr>
                <w:rFonts w:eastAsia="Times New Roman"/>
                <w:bCs/>
                <w:lang w:eastAsia="en-US"/>
              </w:rPr>
              <w:t>See paragraph 8</w:t>
            </w:r>
          </w:p>
        </w:tc>
      </w:tr>
      <w:tr w:rsidR="00E277FD" w:rsidTr="00E21342">
        <w:trPr>
          <w:jc w:val="center"/>
        </w:trPr>
        <w:tc>
          <w:tcPr>
            <w:tcW w:w="9637" w:type="dxa"/>
            <w:tcBorders>
              <w:top w:val="nil"/>
              <w:bottom w:val="nil"/>
            </w:tcBorders>
            <w:shd w:val="clear" w:color="auto" w:fill="auto"/>
          </w:tcPr>
          <w:p w:rsidR="00E277FD" w:rsidRDefault="00E277FD" w:rsidP="00157281">
            <w:pPr>
              <w:pStyle w:val="SingleTxtG"/>
              <w:tabs>
                <w:tab w:val="left" w:pos="2268"/>
              </w:tabs>
              <w:spacing w:after="60"/>
              <w:ind w:left="2552" w:hanging="2268"/>
            </w:pPr>
            <w:r w:rsidRPr="00E277FD">
              <w:rPr>
                <w:b/>
                <w:bCs/>
              </w:rPr>
              <w:t xml:space="preserve">Related </w:t>
            </w:r>
            <w:r w:rsidRPr="00E277FD">
              <w:rPr>
                <w:rFonts w:eastAsia="Times New Roman"/>
                <w:b/>
                <w:lang w:eastAsia="en-US"/>
              </w:rPr>
              <w:t>documents</w:t>
            </w:r>
            <w:r w:rsidRPr="00E4676C">
              <w:t>:</w:t>
            </w:r>
            <w:r>
              <w:tab/>
            </w:r>
            <w:r w:rsidRPr="00E4676C">
              <w:t>Informal document INF.18 (thirty-first session).</w:t>
            </w:r>
          </w:p>
        </w:tc>
      </w:tr>
      <w:tr w:rsidR="00E21342" w:rsidTr="00E21342">
        <w:trPr>
          <w:jc w:val="center"/>
        </w:trPr>
        <w:tc>
          <w:tcPr>
            <w:tcW w:w="9637" w:type="dxa"/>
            <w:tcBorders>
              <w:top w:val="nil"/>
            </w:tcBorders>
          </w:tcPr>
          <w:p w:rsidR="00E21342" w:rsidRDefault="00E21342" w:rsidP="00E21342">
            <w:pPr>
              <w:suppressAutoHyphens w:val="0"/>
            </w:pPr>
          </w:p>
        </w:tc>
      </w:tr>
    </w:tbl>
    <w:p w:rsidR="00A15141" w:rsidRPr="00E4676C" w:rsidRDefault="00A15141" w:rsidP="00D47BBB">
      <w:pPr>
        <w:pStyle w:val="HChG"/>
      </w:pPr>
      <w:r w:rsidRPr="00E4676C">
        <w:tab/>
        <w:t>I.</w:t>
      </w:r>
      <w:r w:rsidRPr="00E4676C">
        <w:tab/>
        <w:t>Introduction</w:t>
      </w:r>
    </w:p>
    <w:p w:rsidR="00A15141" w:rsidRPr="00E4676C" w:rsidRDefault="00A15141" w:rsidP="00D47BBB">
      <w:pPr>
        <w:pStyle w:val="SingleTxtG"/>
      </w:pPr>
      <w:r w:rsidRPr="00E4676C">
        <w:t>1.</w:t>
      </w:r>
      <w:r w:rsidRPr="00E4676C">
        <w:tab/>
        <w:t>Informal document INF.18 of the thirty-first session of the ADN Safety Committee, held in August 2017, highlighted an inconsistency between the provisions of paragraph 7.1.4.1.1 and those of paragraph 7.1.4.1.5 of the Regulations annexed to ADN.</w:t>
      </w:r>
    </w:p>
    <w:p w:rsidR="00A15141" w:rsidRPr="00E4676C" w:rsidRDefault="00A15141" w:rsidP="00D47BBB">
      <w:pPr>
        <w:pStyle w:val="SingleTxtG"/>
      </w:pPr>
      <w:r w:rsidRPr="00E4676C">
        <w:t>2.</w:t>
      </w:r>
      <w:r w:rsidRPr="00E4676C">
        <w:tab/>
        <w:t>Subsection 7.1.4.1 deals with the limitation of the quantities carried. In particular, 7.1.4.1.1 lists, class by class, the gross masses that shall not be exceeded in the following terms:</w:t>
      </w:r>
    </w:p>
    <w:p w:rsidR="00A15141" w:rsidRPr="00E4676C" w:rsidRDefault="00A15141" w:rsidP="00D47BBB">
      <w:pPr>
        <w:pStyle w:val="SingleTxtG"/>
        <w:ind w:left="1701"/>
      </w:pPr>
      <w:r w:rsidRPr="00E4676C">
        <w:lastRenderedPageBreak/>
        <w:t>“7.1.4.1.1</w:t>
      </w:r>
      <w:r w:rsidRPr="00E4676C">
        <w:tab/>
        <w:t xml:space="preserve">Subject to 7.1.4.1.3, the following </w:t>
      </w:r>
      <w:r w:rsidRPr="00F42316">
        <w:rPr>
          <w:b/>
          <w:bCs/>
          <w:u w:val="single"/>
        </w:rPr>
        <w:t>gross masses</w:t>
      </w:r>
      <w:r w:rsidRPr="00E4676C">
        <w:t xml:space="preserve"> shall not be exceeded on any vessel. For pushed convoys and side-by-side formations this gross mass applies to each unit of the convoy or formation.”</w:t>
      </w:r>
    </w:p>
    <w:p w:rsidR="00A15141" w:rsidRPr="00E4676C" w:rsidRDefault="00A15141" w:rsidP="00D47BBB">
      <w:pPr>
        <w:pStyle w:val="SingleTxtG"/>
      </w:pPr>
      <w:r w:rsidRPr="00E4676C">
        <w:t>3.</w:t>
      </w:r>
      <w:r w:rsidRPr="00E4676C">
        <w:tab/>
        <w:t>In the same subsection, paragraph 7.1.4.1.5 provides the following clarification applicable to explosive substances or articles carried:</w:t>
      </w:r>
    </w:p>
    <w:p w:rsidR="00A15141" w:rsidRPr="00E4676C" w:rsidRDefault="00A15141" w:rsidP="00886131">
      <w:pPr>
        <w:pStyle w:val="SingleTxtG"/>
        <w:ind w:left="1701"/>
      </w:pPr>
      <w:r w:rsidRPr="00E4676C">
        <w:t>“7.1.4.1.5</w:t>
      </w:r>
      <w:r w:rsidRPr="00E4676C">
        <w:tab/>
        <w:t xml:space="preserve">Where the </w:t>
      </w:r>
      <w:r w:rsidRPr="00F42316">
        <w:rPr>
          <w:b/>
          <w:bCs/>
          <w:u w:val="single"/>
        </w:rPr>
        <w:t>total net mass of the explosive substances</w:t>
      </w:r>
      <w:r w:rsidRPr="00E4676C">
        <w:t xml:space="preserve"> carried and of explosive substances contained in articles carried is not known, the gross mass of the cargo shall apply to the mass mentioned in the table in 7.1.4.1.1 above.”</w:t>
      </w:r>
    </w:p>
    <w:p w:rsidR="00A15141" w:rsidRPr="00E4676C" w:rsidRDefault="00A15141" w:rsidP="00D47BBB">
      <w:pPr>
        <w:pStyle w:val="SingleTxtG"/>
      </w:pPr>
      <w:r w:rsidRPr="00E4676C">
        <w:t>4.</w:t>
      </w:r>
      <w:r w:rsidRPr="00E4676C">
        <w:tab/>
        <w:t>It should be noted that this inconsistency is quite old as it can be found, expressed in the same terms, in the Regulations for the Carriage of Dangerous Goods in the Rhine (ADNR) 2007.</w:t>
      </w:r>
    </w:p>
    <w:p w:rsidR="00A15141" w:rsidRPr="00E4676C" w:rsidRDefault="00A15141" w:rsidP="00D47BBB">
      <w:pPr>
        <w:pStyle w:val="SingleTxtG"/>
      </w:pPr>
      <w:r w:rsidRPr="00E4676C">
        <w:t>5.</w:t>
      </w:r>
      <w:r w:rsidRPr="00E4676C">
        <w:tab/>
        <w:t>Informal document INF.18 of the thirty-first session proposed that paragraph 7.1.4.1.1 should be amended to ensure that this paragraph takes into account, not the gross mass of explosive substances and articles, but the net masses of explosive substances or explosive substances contained in articles.</w:t>
      </w:r>
    </w:p>
    <w:p w:rsidR="00A15141" w:rsidRPr="00E4676C" w:rsidRDefault="00A15141" w:rsidP="00D47BBB">
      <w:pPr>
        <w:pStyle w:val="SingleTxtG"/>
      </w:pPr>
      <w:r w:rsidRPr="00E4676C">
        <w:t>6.</w:t>
      </w:r>
      <w:r w:rsidRPr="00E4676C">
        <w:tab/>
        <w:t>However, during the discussions on this proposal that took place at the thirty-first session of the Committee, it became apparent that, in the past, a deliberate choice had been made to apply the concept of gross mass to substances and articles of Class 1 and that replacing gross mass with the same numerical quantities, expressed in net mass, could significantly increase the risk level on board vessels (including for substances of classification code 1.1A).</w:t>
      </w:r>
    </w:p>
    <w:p w:rsidR="00A15141" w:rsidRPr="00E4676C" w:rsidRDefault="00A15141" w:rsidP="000A1033">
      <w:pPr>
        <w:pStyle w:val="HChG"/>
      </w:pPr>
      <w:r w:rsidRPr="00E4676C">
        <w:tab/>
        <w:t>II.</w:t>
      </w:r>
      <w:r w:rsidRPr="00E4676C">
        <w:tab/>
        <w:t xml:space="preserve">Proposal </w:t>
      </w:r>
    </w:p>
    <w:p w:rsidR="00A15141" w:rsidRPr="00E4676C" w:rsidRDefault="00A15141" w:rsidP="00D47BBB">
      <w:pPr>
        <w:pStyle w:val="SingleTxtG"/>
      </w:pPr>
      <w:r w:rsidRPr="00E4676C">
        <w:t>7.</w:t>
      </w:r>
      <w:r w:rsidRPr="00E4676C">
        <w:tab/>
        <w:t>In order to take into account the discussions referred to in paragraph 6 above, and to resolve the inconsistency between paragraphs 7.1.4.1.1 and 7.1.4.1.5 of the annexed Regulations, it is proposed that paragraph 7.1.4.1.1 be retained and paragraph 7.1.4.1.5 be deleted:</w:t>
      </w:r>
    </w:p>
    <w:p w:rsidR="00A15141" w:rsidRPr="00E4676C" w:rsidRDefault="00A15141" w:rsidP="000A1033">
      <w:pPr>
        <w:pStyle w:val="SingleTxtG"/>
        <w:ind w:left="1701"/>
      </w:pPr>
      <w:r w:rsidRPr="00E4676C">
        <w:t xml:space="preserve">“7.1.4.1.1 </w:t>
      </w:r>
      <w:r w:rsidRPr="00E4676C">
        <w:tab/>
        <w:t>[existing wording unchanged]”; and</w:t>
      </w:r>
    </w:p>
    <w:p w:rsidR="00A15141" w:rsidRPr="00E4676C" w:rsidRDefault="00A15141" w:rsidP="000A1033">
      <w:pPr>
        <w:pStyle w:val="SingleTxtG"/>
        <w:ind w:left="1701"/>
      </w:pPr>
      <w:r w:rsidRPr="00E4676C">
        <w:t xml:space="preserve">“7.1.4.1.5 </w:t>
      </w:r>
      <w:r w:rsidRPr="00E4676C">
        <w:tab/>
      </w:r>
      <w:r w:rsidRPr="00F42316">
        <w:rPr>
          <w:strike/>
        </w:rPr>
        <w:t>Where the total net mass of the explosive substances carried and of explosive substances contained in articles carried is not known, the gross mass of the cargo shall apply to the mass mentioned in the table in 7.1.4.1.1 above.</w:t>
      </w:r>
      <w:r w:rsidRPr="00E4676C">
        <w:t xml:space="preserve"> </w:t>
      </w:r>
      <w:r w:rsidRPr="00F42316">
        <w:rPr>
          <w:b/>
          <w:bCs/>
          <w:i/>
          <w:iCs/>
          <w:u w:val="single"/>
        </w:rPr>
        <w:t>Deleted</w:t>
      </w:r>
      <w:r w:rsidRPr="009E4B85">
        <w:t>.</w:t>
      </w:r>
      <w:r w:rsidRPr="00E4676C">
        <w:t>”</w:t>
      </w:r>
    </w:p>
    <w:p w:rsidR="00A15141" w:rsidRPr="00E4676C" w:rsidRDefault="00A15141" w:rsidP="00C8233B">
      <w:pPr>
        <w:pStyle w:val="HChG"/>
      </w:pPr>
      <w:r w:rsidRPr="00E4676C">
        <w:tab/>
        <w:t>III.</w:t>
      </w:r>
      <w:r w:rsidRPr="00E4676C">
        <w:tab/>
        <w:t>Action to be taken</w:t>
      </w:r>
    </w:p>
    <w:p w:rsidR="00A15141" w:rsidRDefault="00A15141" w:rsidP="00D47BBB">
      <w:pPr>
        <w:pStyle w:val="SingleTxtG"/>
      </w:pPr>
      <w:r w:rsidRPr="00E4676C">
        <w:t>8.</w:t>
      </w:r>
      <w:r w:rsidRPr="00E4676C">
        <w:tab/>
        <w:t>The Committee is invited to consider the proposals included in paragraph 7 above and to take action as it deems appropriate.</w:t>
      </w:r>
    </w:p>
    <w:p w:rsidR="00C8233B" w:rsidRDefault="00C8233B">
      <w:pPr>
        <w:spacing w:before="240"/>
        <w:jc w:val="center"/>
        <w:rPr>
          <w:u w:val="single"/>
        </w:rPr>
      </w:pPr>
      <w:r>
        <w:rPr>
          <w:u w:val="single"/>
        </w:rPr>
        <w:tab/>
      </w:r>
      <w:r>
        <w:rPr>
          <w:u w:val="single"/>
        </w:rPr>
        <w:tab/>
      </w:r>
      <w:r>
        <w:rPr>
          <w:u w:val="single"/>
        </w:rPr>
        <w:tab/>
      </w:r>
    </w:p>
    <w:sectPr w:rsidR="00C8233B" w:rsidSect="00CB6854">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041" w:rsidRPr="00FB1744" w:rsidRDefault="007C6041" w:rsidP="00FB1744">
      <w:pPr>
        <w:pStyle w:val="Footer"/>
      </w:pPr>
    </w:p>
  </w:endnote>
  <w:endnote w:type="continuationSeparator" w:id="0">
    <w:p w:rsidR="007C6041" w:rsidRPr="00FB1744" w:rsidRDefault="007C6041"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854" w:rsidRPr="00CB6854" w:rsidRDefault="00CB6854" w:rsidP="00CB6854">
    <w:pPr>
      <w:pStyle w:val="Footer"/>
      <w:tabs>
        <w:tab w:val="right" w:pos="9598"/>
      </w:tabs>
    </w:pPr>
    <w:r w:rsidRPr="00CB6854">
      <w:rPr>
        <w:b/>
        <w:sz w:val="18"/>
      </w:rPr>
      <w:fldChar w:fldCharType="begin"/>
    </w:r>
    <w:r w:rsidRPr="00CB6854">
      <w:rPr>
        <w:b/>
        <w:sz w:val="18"/>
      </w:rPr>
      <w:instrText xml:space="preserve"> PAGE  \* MERGEFORMAT </w:instrText>
    </w:r>
    <w:r w:rsidRPr="00CB6854">
      <w:rPr>
        <w:b/>
        <w:sz w:val="18"/>
      </w:rPr>
      <w:fldChar w:fldCharType="separate"/>
    </w:r>
    <w:r w:rsidR="00344E59">
      <w:rPr>
        <w:b/>
        <w:noProof/>
        <w:sz w:val="18"/>
      </w:rPr>
      <w:t>2</w:t>
    </w:r>
    <w:r w:rsidRPr="00CB6854">
      <w:rPr>
        <w:b/>
        <w:sz w:val="18"/>
      </w:rPr>
      <w:fldChar w:fldCharType="end"/>
    </w:r>
    <w:r>
      <w:rPr>
        <w:sz w:val="18"/>
      </w:rPr>
      <w:tab/>
    </w:r>
    <w:r>
      <w:t>GE.17-18576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854" w:rsidRPr="00CB6854" w:rsidRDefault="00CB6854" w:rsidP="00CB6854">
    <w:pPr>
      <w:pStyle w:val="Footer"/>
      <w:tabs>
        <w:tab w:val="right" w:pos="9598"/>
      </w:tabs>
      <w:rPr>
        <w:b/>
        <w:sz w:val="18"/>
      </w:rPr>
    </w:pPr>
    <w:r>
      <w:t>GE.17-18576</w:t>
    </w:r>
    <w:r>
      <w:tab/>
    </w:r>
    <w:r w:rsidRPr="00CB6854">
      <w:rPr>
        <w:b/>
        <w:sz w:val="18"/>
      </w:rPr>
      <w:fldChar w:fldCharType="begin"/>
    </w:r>
    <w:r w:rsidRPr="00CB6854">
      <w:rPr>
        <w:b/>
        <w:sz w:val="18"/>
      </w:rPr>
      <w:instrText xml:space="preserve"> PAGE  \* MERGEFORMAT </w:instrText>
    </w:r>
    <w:r w:rsidRPr="00CB6854">
      <w:rPr>
        <w:b/>
        <w:sz w:val="18"/>
      </w:rPr>
      <w:fldChar w:fldCharType="separate"/>
    </w:r>
    <w:r w:rsidR="00877B79">
      <w:rPr>
        <w:b/>
        <w:noProof/>
        <w:sz w:val="18"/>
      </w:rPr>
      <w:t>3</w:t>
    </w:r>
    <w:r w:rsidRPr="00CB685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3D5" w:rsidRDefault="00717266" w:rsidP="00AB3C7E">
    <w:r>
      <w:rPr>
        <w:noProof/>
        <w:lang w:eastAsia="en-GB"/>
      </w:rPr>
      <w:drawing>
        <wp:anchor distT="0" distB="0" distL="114300" distR="114300" simplePos="0" relativeHeight="251671040" behindDoc="0" locked="1" layoutInCell="1" allowOverlap="1" wp14:anchorId="3C006582" wp14:editId="7642ED90">
          <wp:simplePos x="0" y="0"/>
          <wp:positionH relativeFrom="margin">
            <wp:posOffset>4319905</wp:posOffset>
          </wp:positionH>
          <wp:positionV relativeFrom="margin">
            <wp:posOffset>9114790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6854" w:rsidRDefault="00CB6854" w:rsidP="00CB6854">
    <w:r>
      <w:t>GE.17-18576  (E)</w:t>
    </w:r>
    <w:r w:rsidR="006710C7">
      <w:t xml:space="preserve">    </w:t>
    </w:r>
    <w:r w:rsidR="00AF72A8">
      <w:t>021117    021117</w:t>
    </w:r>
  </w:p>
  <w:p w:rsidR="00CB6854" w:rsidRPr="00CB6854" w:rsidRDefault="00CB6854" w:rsidP="00CB6854">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87424"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ECE/TRANS/WP.15/AC.2/2018/5&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2/2018/5&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041" w:rsidRPr="00FB1744" w:rsidRDefault="007C6041" w:rsidP="00FB1744">
      <w:pPr>
        <w:tabs>
          <w:tab w:val="right" w:pos="2155"/>
        </w:tabs>
        <w:spacing w:after="80" w:line="240" w:lineRule="auto"/>
        <w:ind w:left="680"/>
      </w:pPr>
      <w:r>
        <w:rPr>
          <w:u w:val="single"/>
        </w:rPr>
        <w:tab/>
      </w:r>
    </w:p>
  </w:footnote>
  <w:footnote w:type="continuationSeparator" w:id="0">
    <w:p w:rsidR="007C6041" w:rsidRPr="00FB1744" w:rsidRDefault="007C6041" w:rsidP="00FB1744">
      <w:pPr>
        <w:tabs>
          <w:tab w:val="right" w:pos="2155"/>
        </w:tabs>
        <w:spacing w:after="80" w:line="240" w:lineRule="auto"/>
        <w:ind w:left="680"/>
      </w:pPr>
      <w:r>
        <w:rPr>
          <w:u w:val="single"/>
        </w:rPr>
        <w:tab/>
      </w:r>
    </w:p>
  </w:footnote>
  <w:footnote w:id="1">
    <w:p w:rsidR="00E56B8C" w:rsidRPr="00E56B8C" w:rsidRDefault="00E56B8C">
      <w:pPr>
        <w:pStyle w:val="FootnoteText"/>
        <w:rPr>
          <w:lang w:val="en-US"/>
        </w:rPr>
      </w:pPr>
      <w:r>
        <w:rPr>
          <w:rStyle w:val="FootnoteReference"/>
        </w:rPr>
        <w:tab/>
      </w:r>
      <w:r w:rsidRPr="008E3A21">
        <w:rPr>
          <w:rStyle w:val="FootnoteReference"/>
          <w:sz w:val="20"/>
          <w:vertAlign w:val="baseline"/>
        </w:rPr>
        <w:t>*</w:t>
      </w:r>
      <w:r>
        <w:tab/>
        <w:t>Distributed in German by the Central Commission for the Navigation of the Rhine under the symbol CCNR-ZKR/ADN/WP.15/AC.2/2018/5.</w:t>
      </w:r>
    </w:p>
  </w:footnote>
  <w:footnote w:id="2">
    <w:p w:rsidR="00A15141" w:rsidRPr="00077B81" w:rsidRDefault="00D04E61" w:rsidP="00D04E61">
      <w:pPr>
        <w:pStyle w:val="FootnoteText"/>
      </w:pPr>
      <w:r>
        <w:tab/>
      </w:r>
      <w:r w:rsidR="00A15141" w:rsidRPr="00D04E61">
        <w:rPr>
          <w:sz w:val="20"/>
        </w:rPr>
        <w:t>**</w:t>
      </w:r>
      <w:r>
        <w:tab/>
      </w:r>
      <w:r w:rsidR="00A15141">
        <w:t>In accordance with the programme of work of the Inland Transport Committee for 2017-2018 (ECE/TRANS/WP.15/237, annex V (9.3.)).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854" w:rsidRPr="00CB6854" w:rsidRDefault="00CB6854" w:rsidP="00CB6854">
    <w:pPr>
      <w:pStyle w:val="Header"/>
    </w:pPr>
    <w:r w:rsidRPr="00CB6854">
      <w:t>ECE/TRANS/WP.15/AC.2/2018/5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854" w:rsidRPr="00CB6854" w:rsidRDefault="00CB6854" w:rsidP="00CB6854">
    <w:pPr>
      <w:pStyle w:val="Header"/>
      <w:jc w:val="right"/>
    </w:pPr>
    <w:r w:rsidRPr="00CB6854">
      <w:t>ECE/TRANS/WP.15/AC.2/2018/5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C6041"/>
    <w:rsid w:val="00046E92"/>
    <w:rsid w:val="000A1033"/>
    <w:rsid w:val="000D1B89"/>
    <w:rsid w:val="001170DC"/>
    <w:rsid w:val="00157281"/>
    <w:rsid w:val="00247E2C"/>
    <w:rsid w:val="002C0AA4"/>
    <w:rsid w:val="002D6C53"/>
    <w:rsid w:val="002F5595"/>
    <w:rsid w:val="00334F6A"/>
    <w:rsid w:val="00342AC8"/>
    <w:rsid w:val="00344E59"/>
    <w:rsid w:val="003B4550"/>
    <w:rsid w:val="00461253"/>
    <w:rsid w:val="005042C2"/>
    <w:rsid w:val="0056599A"/>
    <w:rsid w:val="00587690"/>
    <w:rsid w:val="006710C7"/>
    <w:rsid w:val="00671529"/>
    <w:rsid w:val="00717266"/>
    <w:rsid w:val="00720C88"/>
    <w:rsid w:val="007268F9"/>
    <w:rsid w:val="007C52B0"/>
    <w:rsid w:val="007C6041"/>
    <w:rsid w:val="00877B79"/>
    <w:rsid w:val="00886131"/>
    <w:rsid w:val="008E3A21"/>
    <w:rsid w:val="009411B4"/>
    <w:rsid w:val="009C0790"/>
    <w:rsid w:val="009D0139"/>
    <w:rsid w:val="009E4B85"/>
    <w:rsid w:val="009F5CDC"/>
    <w:rsid w:val="00A15141"/>
    <w:rsid w:val="00A775CF"/>
    <w:rsid w:val="00AA741A"/>
    <w:rsid w:val="00AB3C7E"/>
    <w:rsid w:val="00AF72A8"/>
    <w:rsid w:val="00B06045"/>
    <w:rsid w:val="00C35A27"/>
    <w:rsid w:val="00C8233B"/>
    <w:rsid w:val="00CB6854"/>
    <w:rsid w:val="00D04E61"/>
    <w:rsid w:val="00D47BBB"/>
    <w:rsid w:val="00E02C2B"/>
    <w:rsid w:val="00E21342"/>
    <w:rsid w:val="00E277FD"/>
    <w:rsid w:val="00E56B8C"/>
    <w:rsid w:val="00ED6C48"/>
    <w:rsid w:val="00F42316"/>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CC2CE09-842E-46ED-A434-C7D26069E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Reference/"/>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59B48-D5C9-49AA-921F-BD89B1289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1718576</vt:lpstr>
    </vt:vector>
  </TitlesOfParts>
  <Company>DCM</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1718576</dc:title>
  <dc:subject>ECE/TRANS/WP.15/AC.2/2018/5</dc:subject>
  <dc:creator>Maria Rosario GATMAYTAN</dc:creator>
  <cp:keywords/>
  <dc:description/>
  <cp:lastModifiedBy>Marie-Claude Collet</cp:lastModifiedBy>
  <cp:revision>2</cp:revision>
  <cp:lastPrinted>2017-11-02T09:59:00Z</cp:lastPrinted>
  <dcterms:created xsi:type="dcterms:W3CDTF">2017-11-02T10:49:00Z</dcterms:created>
  <dcterms:modified xsi:type="dcterms:W3CDTF">2017-11-02T10:49:00Z</dcterms:modified>
</cp:coreProperties>
</file>