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A" w:rsidRPr="00814FEE"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814FEE">
        <w:rPr>
          <w:rFonts w:ascii="Arial" w:eastAsia="Arial" w:hAnsi="Arial" w:cs="Arial"/>
          <w:bCs/>
          <w:noProof/>
          <w:szCs w:val="24"/>
          <w:lang w:val="en-GB" w:eastAsia="en-GB"/>
        </w:rPr>
        <w:drawing>
          <wp:anchor distT="0" distB="0" distL="114300" distR="114300" simplePos="0" relativeHeight="251659264" behindDoc="0" locked="0" layoutInCell="1" allowOverlap="1" wp14:anchorId="1EFD795A" wp14:editId="7D2541F1">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814FEE">
        <w:rPr>
          <w:rFonts w:ascii="Arial" w:eastAsia="Arial" w:hAnsi="Arial" w:cs="Arial"/>
          <w:bCs/>
          <w:szCs w:val="24"/>
          <w:lang w:val="en-US" w:eastAsia="de-DE"/>
        </w:rPr>
        <w:t>CCNR-ZKR/ADN/WP.15/AC.2/2018/</w:t>
      </w:r>
      <w:r w:rsidR="00AE33F4" w:rsidRPr="00814FEE">
        <w:rPr>
          <w:rFonts w:ascii="Arial" w:eastAsia="Arial" w:hAnsi="Arial" w:cs="Arial"/>
          <w:bCs/>
          <w:szCs w:val="24"/>
          <w:lang w:val="en-US" w:eastAsia="de-DE"/>
        </w:rPr>
        <w:t>4</w:t>
      </w:r>
    </w:p>
    <w:p w:rsidR="00F8067A" w:rsidRPr="00814FEE"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814FEE">
        <w:rPr>
          <w:rFonts w:ascii="Arial" w:hAnsi="Arial" w:cs="Arial"/>
          <w:sz w:val="16"/>
          <w:szCs w:val="24"/>
          <w:lang w:eastAsia="de-DE"/>
        </w:rPr>
        <w:t>Allgemeine Verteilung</w:t>
      </w:r>
    </w:p>
    <w:p w:rsidR="00F8067A" w:rsidRPr="00814FEE" w:rsidRDefault="009D2885"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814FEE">
        <w:rPr>
          <w:rFonts w:ascii="Arial" w:eastAsia="Arial" w:hAnsi="Arial" w:cs="Arial"/>
          <w:szCs w:val="24"/>
          <w:lang w:eastAsia="de-DE"/>
        </w:rPr>
        <w:t>20</w:t>
      </w:r>
      <w:r w:rsidR="00F8067A" w:rsidRPr="00814FEE">
        <w:rPr>
          <w:rFonts w:ascii="Arial" w:eastAsia="Arial" w:hAnsi="Arial" w:cs="Arial"/>
          <w:szCs w:val="24"/>
          <w:lang w:eastAsia="de-DE"/>
        </w:rPr>
        <w:t>. Oktober 2017</w:t>
      </w:r>
    </w:p>
    <w:p w:rsidR="00F8067A" w:rsidRPr="00814FEE"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814FEE">
        <w:rPr>
          <w:rFonts w:ascii="Arial" w:eastAsia="Arial" w:hAnsi="Arial" w:cs="Arial"/>
          <w:sz w:val="16"/>
          <w:szCs w:val="24"/>
          <w:lang w:eastAsia="de-DE"/>
        </w:rPr>
        <w:t xml:space="preserve">Or. </w:t>
      </w:r>
      <w:r w:rsidR="0085713F" w:rsidRPr="00814FEE">
        <w:rPr>
          <w:rFonts w:ascii="Arial" w:eastAsia="Arial" w:hAnsi="Arial" w:cs="Arial"/>
          <w:sz w:val="16"/>
          <w:szCs w:val="24"/>
          <w:lang w:eastAsia="de-DE"/>
        </w:rPr>
        <w:t>ENGLISCH</w:t>
      </w:r>
    </w:p>
    <w:p w:rsidR="00F8067A" w:rsidRPr="00814FEE"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814FEE"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814FEE"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14FEE">
        <w:rPr>
          <w:rFonts w:ascii="Arial" w:hAnsi="Arial"/>
          <w:noProof/>
          <w:sz w:val="16"/>
          <w:szCs w:val="24"/>
        </w:rPr>
        <w:t>GEMEINSAME EXPERTENTAGUNG FÜR DIE DEM</w:t>
      </w:r>
    </w:p>
    <w:p w:rsidR="00F8067A" w:rsidRPr="00814FEE"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14FEE">
        <w:rPr>
          <w:rFonts w:ascii="Arial" w:hAnsi="Arial"/>
          <w:noProof/>
          <w:sz w:val="16"/>
          <w:szCs w:val="24"/>
        </w:rPr>
        <w:t>ÜBEREINKOMMEN ÜBER DIE INTERNATIONALE BEFÖRDERUNG</w:t>
      </w:r>
    </w:p>
    <w:p w:rsidR="00F8067A" w:rsidRPr="00814FEE"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14FEE">
        <w:rPr>
          <w:rFonts w:ascii="Arial" w:hAnsi="Arial"/>
          <w:noProof/>
          <w:sz w:val="16"/>
          <w:szCs w:val="24"/>
        </w:rPr>
        <w:t>VON GEFÄHRLICHEN GÜTERN AUF BINNENWASSERSTRASSEN</w:t>
      </w:r>
    </w:p>
    <w:p w:rsidR="00F8067A" w:rsidRPr="00814FEE"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14FEE">
        <w:rPr>
          <w:rFonts w:ascii="Arial" w:hAnsi="Arial"/>
          <w:noProof/>
          <w:sz w:val="16"/>
          <w:szCs w:val="24"/>
        </w:rPr>
        <w:t>BEIGEFÜGTE VERORDNUNG (ADN)</w:t>
      </w:r>
    </w:p>
    <w:p w:rsidR="00F8067A" w:rsidRPr="00814FEE"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14FEE">
        <w:rPr>
          <w:rFonts w:ascii="Arial" w:hAnsi="Arial"/>
          <w:noProof/>
          <w:sz w:val="16"/>
          <w:szCs w:val="24"/>
        </w:rPr>
        <w:t>(SICHERHEITSAUSSCHUSS)</w:t>
      </w:r>
    </w:p>
    <w:p w:rsidR="00F8067A" w:rsidRPr="00814FEE" w:rsidRDefault="00F8067A" w:rsidP="00F8067A">
      <w:pPr>
        <w:widowControl/>
        <w:tabs>
          <w:tab w:val="left" w:pos="2977"/>
        </w:tabs>
        <w:overflowPunct/>
        <w:autoSpaceDE/>
        <w:autoSpaceDN/>
        <w:adjustRightInd/>
        <w:snapToGrid w:val="0"/>
        <w:ind w:left="3960" w:firstLine="0"/>
        <w:jc w:val="left"/>
        <w:textAlignment w:val="auto"/>
        <w:rPr>
          <w:rFonts w:ascii="Arial" w:hAnsi="Arial"/>
          <w:sz w:val="16"/>
          <w:szCs w:val="24"/>
        </w:rPr>
      </w:pPr>
      <w:r w:rsidRPr="00814FEE">
        <w:rPr>
          <w:rFonts w:ascii="Arial" w:hAnsi="Arial"/>
          <w:sz w:val="16"/>
          <w:szCs w:val="24"/>
        </w:rPr>
        <w:t>(32. Tagung, Genf, 22. bis 26. Januar 2018)</w:t>
      </w:r>
    </w:p>
    <w:p w:rsidR="00F8067A" w:rsidRPr="00814FEE" w:rsidRDefault="00F8067A" w:rsidP="00F8067A">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14FEE">
        <w:rPr>
          <w:rFonts w:ascii="Arial" w:hAnsi="Arial" w:cs="Arial"/>
          <w:sz w:val="16"/>
          <w:szCs w:val="16"/>
          <w:lang w:eastAsia="en-US"/>
        </w:rPr>
        <w:t xml:space="preserve">Punkt </w:t>
      </w:r>
      <w:r w:rsidR="00982F17" w:rsidRPr="00814FEE">
        <w:rPr>
          <w:rFonts w:ascii="Arial" w:hAnsi="Arial" w:cs="Arial"/>
          <w:sz w:val="16"/>
          <w:szCs w:val="16"/>
          <w:lang w:eastAsia="en-US"/>
        </w:rPr>
        <w:t>5 b)</w:t>
      </w:r>
      <w:r w:rsidRPr="00814FEE">
        <w:rPr>
          <w:rFonts w:ascii="Arial" w:hAnsi="Arial" w:cs="Arial"/>
          <w:sz w:val="16"/>
          <w:szCs w:val="16"/>
          <w:lang w:eastAsia="en-US"/>
        </w:rPr>
        <w:t xml:space="preserve"> zur vorläufigen Tagesordnung</w:t>
      </w:r>
    </w:p>
    <w:p w:rsidR="00F8067A" w:rsidRPr="00814FEE" w:rsidRDefault="00F8067A" w:rsidP="00F8067A">
      <w:pPr>
        <w:ind w:left="3960" w:firstLine="9"/>
        <w:rPr>
          <w:rFonts w:ascii="Arial" w:hAnsi="Arial" w:cs="Arial"/>
          <w:b/>
          <w:sz w:val="16"/>
          <w:szCs w:val="16"/>
          <w:lang w:eastAsia="en-US"/>
        </w:rPr>
      </w:pPr>
      <w:r w:rsidRPr="00814FEE">
        <w:rPr>
          <w:rFonts w:ascii="Arial" w:hAnsi="Arial" w:cs="Arial"/>
          <w:b/>
          <w:sz w:val="16"/>
          <w:szCs w:val="16"/>
          <w:lang w:eastAsia="en-US"/>
        </w:rPr>
        <w:t>Vorschläge für Änderungen der dem ADN beigefügten Verordnung: Weitere Vorschläge</w:t>
      </w:r>
    </w:p>
    <w:p w:rsidR="00F8067A" w:rsidRPr="00814FEE"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8067A" w:rsidRPr="00814FEE"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8067A" w:rsidRPr="00814FEE"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85713F" w:rsidRPr="00814FEE" w:rsidRDefault="00DE6B44" w:rsidP="009D0940">
      <w:pPr>
        <w:spacing w:before="360" w:after="360" w:line="300" w:lineRule="exact"/>
        <w:ind w:right="849" w:firstLine="0"/>
        <w:rPr>
          <w:b/>
          <w:sz w:val="28"/>
          <w:szCs w:val="28"/>
        </w:rPr>
      </w:pPr>
      <w:r w:rsidRPr="00814FEE">
        <w:rPr>
          <w:b/>
          <w:sz w:val="28"/>
          <w:szCs w:val="28"/>
        </w:rPr>
        <w:t xml:space="preserve">Auslegung des Absatzes 7.1.4.4.3 ADN über den Mindestabstand </w:t>
      </w:r>
      <w:r w:rsidR="009D0940" w:rsidRPr="00814FEE">
        <w:rPr>
          <w:b/>
          <w:sz w:val="28"/>
          <w:szCs w:val="28"/>
        </w:rPr>
        <w:t xml:space="preserve">von </w:t>
      </w:r>
      <w:r w:rsidRPr="00814FEE">
        <w:rPr>
          <w:b/>
          <w:sz w:val="28"/>
          <w:szCs w:val="28"/>
        </w:rPr>
        <w:t>flexible</w:t>
      </w:r>
      <w:r w:rsidR="009D0940" w:rsidRPr="00814FEE">
        <w:rPr>
          <w:b/>
          <w:sz w:val="28"/>
          <w:szCs w:val="28"/>
        </w:rPr>
        <w:t>n</w:t>
      </w:r>
      <w:r w:rsidRPr="00814FEE">
        <w:rPr>
          <w:b/>
          <w:sz w:val="28"/>
          <w:szCs w:val="28"/>
        </w:rPr>
        <w:t xml:space="preserve"> Schüttgut-Container</w:t>
      </w:r>
      <w:r w:rsidR="009D0940" w:rsidRPr="00814FEE">
        <w:rPr>
          <w:b/>
          <w:sz w:val="28"/>
          <w:szCs w:val="28"/>
        </w:rPr>
        <w:t>n</w:t>
      </w:r>
    </w:p>
    <w:p w:rsidR="00F8067A" w:rsidRPr="00814FEE" w:rsidRDefault="0085713F" w:rsidP="009D0940">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814FEE">
        <w:rPr>
          <w:b/>
          <w:sz w:val="24"/>
        </w:rPr>
        <w:t>Eingereicht von der Zentralkommission für die Rheinschifffahrt (ZKR)</w:t>
      </w:r>
      <w:r w:rsidR="005C45CF">
        <w:rPr>
          <w:b/>
          <w:sz w:val="24"/>
        </w:rPr>
        <w:t> </w:t>
      </w:r>
      <w:r w:rsidR="00F8067A" w:rsidRPr="00814FEE">
        <w:rPr>
          <w:b/>
          <w:sz w:val="18"/>
          <w:vertAlign w:val="superscript"/>
        </w:rPr>
        <w:footnoteReference w:id="1"/>
      </w:r>
      <w:r w:rsidR="00F8067A" w:rsidRPr="00814FEE">
        <w:rPr>
          <w:b/>
          <w:sz w:val="18"/>
          <w:vertAlign w:val="superscript"/>
        </w:rPr>
        <w:t>,</w:t>
      </w:r>
      <w:r w:rsidR="00F8067A" w:rsidRPr="00814FEE">
        <w:rPr>
          <w:b/>
          <w:sz w:val="18"/>
          <w:vertAlign w:val="superscript"/>
        </w:rPr>
        <w:footnoteReference w:id="2"/>
      </w:r>
    </w:p>
    <w:p w:rsidR="0085713F" w:rsidRPr="00814FEE" w:rsidRDefault="0085713F" w:rsidP="0085713F">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GB"/>
        </w:rPr>
      </w:pPr>
      <w:r w:rsidRPr="00814FEE">
        <w:rPr>
          <w:b/>
          <w:sz w:val="28"/>
          <w:lang w:eastAsia="en-GB"/>
        </w:rPr>
        <w:tab/>
      </w:r>
      <w:r w:rsidRPr="00814FEE">
        <w:rPr>
          <w:b/>
          <w:sz w:val="28"/>
          <w:lang w:val="en-GB" w:eastAsia="en-GB"/>
        </w:rPr>
        <w:t>I.</w:t>
      </w:r>
      <w:r w:rsidRPr="00814FEE">
        <w:rPr>
          <w:b/>
          <w:sz w:val="28"/>
          <w:lang w:val="en-GB" w:eastAsia="en-GB"/>
        </w:rPr>
        <w:tab/>
      </w:r>
      <w:r w:rsidR="00585590" w:rsidRPr="00814FEE">
        <w:rPr>
          <w:b/>
          <w:sz w:val="28"/>
          <w:lang w:val="en-GB" w:eastAsia="en-GB"/>
        </w:rPr>
        <w:t>Einleitung</w:t>
      </w:r>
    </w:p>
    <w:p w:rsidR="0085713F" w:rsidRPr="00814FEE" w:rsidRDefault="0085713F" w:rsidP="009D0940">
      <w:pPr>
        <w:widowControl/>
        <w:suppressAutoHyphens/>
        <w:overflowPunct/>
        <w:autoSpaceDE/>
        <w:autoSpaceDN/>
        <w:adjustRightInd/>
        <w:spacing w:after="120" w:line="240" w:lineRule="atLeast"/>
        <w:ind w:right="1134" w:firstLine="0"/>
        <w:textAlignment w:val="auto"/>
        <w:rPr>
          <w:lang w:eastAsia="en-US"/>
        </w:rPr>
      </w:pPr>
      <w:r w:rsidRPr="00814FEE">
        <w:rPr>
          <w:lang w:eastAsia="en-US"/>
        </w:rPr>
        <w:t>1.</w:t>
      </w:r>
      <w:r w:rsidRPr="00814FEE">
        <w:rPr>
          <w:lang w:eastAsia="en-US"/>
        </w:rPr>
        <w:tab/>
      </w:r>
      <w:r w:rsidR="009D0940" w:rsidRPr="00814FEE">
        <w:rPr>
          <w:lang w:eastAsia="en-US"/>
        </w:rPr>
        <w:t>In der letzten Sitzung des ADN-Sicherheitsausschusses wurde das Sekretariat der ZKR gebeten, ein Dokument über Fragen der Auslegung der Sondervorschriften für flexible Schüttgut-Container gemäß Absatz 7.1.4.4.3 ADN auszuarbeiten (</w:t>
      </w:r>
      <w:r w:rsidR="008E6E54" w:rsidRPr="00814FEE">
        <w:rPr>
          <w:lang w:eastAsia="en-US"/>
        </w:rPr>
        <w:t>s</w:t>
      </w:r>
      <w:r w:rsidR="009D0940" w:rsidRPr="00814FEE">
        <w:rPr>
          <w:lang w:eastAsia="en-US"/>
        </w:rPr>
        <w:t xml:space="preserve">iehe auch ECE/TRANS/WP.15/AC.2/62, </w:t>
      </w:r>
      <w:r w:rsidR="008E6E54" w:rsidRPr="00814FEE">
        <w:rPr>
          <w:lang w:eastAsia="en-US"/>
        </w:rPr>
        <w:t>Abs</w:t>
      </w:r>
      <w:r w:rsidR="009D0940" w:rsidRPr="00814FEE">
        <w:rPr>
          <w:lang w:eastAsia="en-US"/>
        </w:rPr>
        <w:t>. 30).</w:t>
      </w:r>
    </w:p>
    <w:p w:rsidR="0085713F" w:rsidRPr="00814FEE" w:rsidRDefault="0085713F" w:rsidP="009D0940">
      <w:pPr>
        <w:widowControl/>
        <w:tabs>
          <w:tab w:val="left" w:pos="1701"/>
        </w:tabs>
        <w:suppressAutoHyphens/>
        <w:overflowPunct/>
        <w:autoSpaceDE/>
        <w:autoSpaceDN/>
        <w:adjustRightInd/>
        <w:spacing w:after="120" w:line="240" w:lineRule="atLeast"/>
        <w:ind w:right="1134" w:firstLine="0"/>
        <w:textAlignment w:val="auto"/>
        <w:rPr>
          <w:lang w:eastAsia="en-US"/>
        </w:rPr>
      </w:pPr>
      <w:r w:rsidRPr="00814FEE">
        <w:rPr>
          <w:lang w:eastAsia="en-US"/>
        </w:rPr>
        <w:t>2.</w:t>
      </w:r>
      <w:r w:rsidRPr="00814FEE">
        <w:rPr>
          <w:lang w:eastAsia="en-US"/>
        </w:rPr>
        <w:tab/>
      </w:r>
      <w:r w:rsidR="009D0940" w:rsidRPr="00814FEE">
        <w:rPr>
          <w:lang w:eastAsia="en-US"/>
        </w:rPr>
        <w:t>Auf der Grundlage von Beiträgen der niederländischen und der deutschen Delegation legte das Sekretariat der ZKR die Frage der flexiblen Schüttgut-Container im Hinblick auf Absatz 7.1.4.4.3 ADN weiter fest:</w:t>
      </w:r>
    </w:p>
    <w:p w:rsidR="00585590" w:rsidRPr="00814FEE" w:rsidRDefault="0085713F" w:rsidP="00585590">
      <w:pPr>
        <w:widowControl/>
        <w:suppressAutoHyphens/>
        <w:overflowPunct/>
        <w:autoSpaceDE/>
        <w:autoSpaceDN/>
        <w:adjustRightInd/>
        <w:spacing w:after="120" w:line="240" w:lineRule="atLeast"/>
        <w:ind w:left="2127" w:right="1134" w:hanging="993"/>
        <w:textAlignment w:val="auto"/>
        <w:rPr>
          <w:lang w:eastAsia="en-US"/>
        </w:rPr>
      </w:pPr>
      <w:r w:rsidRPr="00814FEE">
        <w:rPr>
          <w:lang w:eastAsia="en-US"/>
        </w:rPr>
        <w:t>7.1.4.4.3</w:t>
      </w:r>
      <w:r w:rsidRPr="00814FEE">
        <w:rPr>
          <w:lang w:eastAsia="en-US"/>
        </w:rPr>
        <w:tab/>
      </w:r>
      <w:r w:rsidR="00585590" w:rsidRPr="00814FEE">
        <w:rPr>
          <w:lang w:eastAsia="en-US"/>
        </w:rPr>
        <w:t>Für andere als in den Absätzen 7.1.4.4.1 und 7.1.4.4.2 genannte Container kann der Abstand nach Absatz 7.1.4.3.1 auf 2,40 m (eine Containerbreite) reduziert werden.</w:t>
      </w:r>
    </w:p>
    <w:p w:rsidR="0085713F" w:rsidRPr="00814FEE" w:rsidRDefault="0085713F" w:rsidP="00822E04">
      <w:pPr>
        <w:widowControl/>
        <w:tabs>
          <w:tab w:val="left" w:pos="1560"/>
        </w:tabs>
        <w:suppressAutoHyphens/>
        <w:overflowPunct/>
        <w:autoSpaceDE/>
        <w:autoSpaceDN/>
        <w:adjustRightInd/>
        <w:spacing w:after="120" w:line="240" w:lineRule="atLeast"/>
        <w:ind w:right="1134" w:firstLine="0"/>
        <w:textAlignment w:val="auto"/>
        <w:rPr>
          <w:lang w:val="en-US" w:eastAsia="en-US"/>
        </w:rPr>
      </w:pPr>
      <w:r w:rsidRPr="00814FEE">
        <w:rPr>
          <w:lang w:eastAsia="en-US"/>
        </w:rPr>
        <w:t>3.</w:t>
      </w:r>
      <w:r w:rsidRPr="00814FEE">
        <w:rPr>
          <w:lang w:eastAsia="en-US"/>
        </w:rPr>
        <w:tab/>
      </w:r>
      <w:r w:rsidR="009D0940" w:rsidRPr="00814FEE">
        <w:rPr>
          <w:lang w:eastAsia="en-US"/>
        </w:rPr>
        <w:t>Die Frage der Auslegung des Absatzes 7.1.4.4.3 ADN geht auf die fünfzehnte Sitzung der informellen Arbeitsgruppe „Sachkundigenausbildung“ zurück (</w:t>
      </w:r>
      <w:r w:rsidR="008E6E54" w:rsidRPr="00814FEE">
        <w:rPr>
          <w:lang w:eastAsia="en-US"/>
        </w:rPr>
        <w:t>i</w:t>
      </w:r>
      <w:r w:rsidR="009D0940" w:rsidRPr="00814FEE">
        <w:rPr>
          <w:lang w:eastAsia="en-US"/>
        </w:rPr>
        <w:t xml:space="preserve">nformelles Dokument - INF.5 der 29. Sitzung, </w:t>
      </w:r>
      <w:r w:rsidR="008E6E54" w:rsidRPr="00814FEE">
        <w:rPr>
          <w:lang w:eastAsia="en-US"/>
        </w:rPr>
        <w:t>Abs</w:t>
      </w:r>
      <w:r w:rsidR="009D0940" w:rsidRPr="00814FEE">
        <w:rPr>
          <w:lang w:eastAsia="en-US"/>
        </w:rPr>
        <w:t>. 8).</w:t>
      </w:r>
    </w:p>
    <w:p w:rsidR="0085713F" w:rsidRPr="00814FEE" w:rsidRDefault="00822E04" w:rsidP="00822E04">
      <w:pPr>
        <w:pStyle w:val="ListParagraph"/>
        <w:widowControl/>
        <w:numPr>
          <w:ilvl w:val="0"/>
          <w:numId w:val="5"/>
        </w:numPr>
        <w:tabs>
          <w:tab w:val="num" w:pos="1701"/>
        </w:tabs>
        <w:suppressAutoHyphens/>
        <w:overflowPunct/>
        <w:autoSpaceDE/>
        <w:autoSpaceDN/>
        <w:adjustRightInd/>
        <w:spacing w:after="120" w:line="240" w:lineRule="atLeast"/>
        <w:ind w:right="1134"/>
        <w:textAlignment w:val="auto"/>
        <w:rPr>
          <w:lang w:eastAsia="en-US"/>
        </w:rPr>
      </w:pPr>
      <w:r w:rsidRPr="00814FEE">
        <w:rPr>
          <w:lang w:eastAsia="en-US"/>
        </w:rPr>
        <w:t>Sind im Fall des Absatzes 7.1.4.4.3 ADN besondere Vorschriften für flexible Schüttgut-Container erforderlich?</w:t>
      </w:r>
    </w:p>
    <w:p w:rsidR="008A0EB3" w:rsidRDefault="008A0EB3">
      <w:pPr>
        <w:widowControl/>
        <w:overflowPunct/>
        <w:autoSpaceDE/>
        <w:autoSpaceDN/>
        <w:adjustRightInd/>
        <w:ind w:left="0" w:firstLine="0"/>
        <w:jc w:val="left"/>
        <w:textAlignment w:val="auto"/>
        <w:rPr>
          <w:b/>
          <w:sz w:val="28"/>
          <w:lang w:eastAsia="en-US"/>
        </w:rPr>
      </w:pPr>
      <w:r>
        <w:rPr>
          <w:b/>
          <w:sz w:val="28"/>
          <w:lang w:eastAsia="en-US"/>
        </w:rPr>
        <w:br w:type="page"/>
      </w:r>
    </w:p>
    <w:p w:rsidR="0085713F" w:rsidRPr="00814FEE" w:rsidRDefault="008A0EB3" w:rsidP="00822E0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Pr>
          <w:b/>
          <w:sz w:val="28"/>
          <w:lang w:eastAsia="en-US"/>
        </w:rPr>
        <w:lastRenderedPageBreak/>
        <w:tab/>
      </w:r>
      <w:r w:rsidR="00822E04" w:rsidRPr="00814FEE">
        <w:rPr>
          <w:b/>
          <w:sz w:val="28"/>
          <w:lang w:eastAsia="en-US"/>
        </w:rPr>
        <w:t>II.</w:t>
      </w:r>
      <w:r w:rsidR="0085713F" w:rsidRPr="00814FEE">
        <w:rPr>
          <w:b/>
          <w:sz w:val="28"/>
          <w:lang w:eastAsia="en-US"/>
        </w:rPr>
        <w:tab/>
      </w:r>
      <w:r w:rsidR="00822E04" w:rsidRPr="00814FEE">
        <w:rPr>
          <w:b/>
          <w:sz w:val="28"/>
          <w:lang w:eastAsia="en-US"/>
        </w:rPr>
        <w:t>Frage an den ADN-Sicherheitsausschuss zur Auslegung</w:t>
      </w:r>
    </w:p>
    <w:p w:rsidR="0085713F" w:rsidRPr="00814FEE" w:rsidRDefault="0085713F" w:rsidP="00822E04">
      <w:pPr>
        <w:widowControl/>
        <w:tabs>
          <w:tab w:val="left" w:pos="1560"/>
        </w:tabs>
        <w:suppressAutoHyphens/>
        <w:overflowPunct/>
        <w:autoSpaceDE/>
        <w:autoSpaceDN/>
        <w:adjustRightInd/>
        <w:spacing w:after="120" w:line="240" w:lineRule="atLeast"/>
        <w:ind w:right="1134" w:firstLine="0"/>
        <w:textAlignment w:val="auto"/>
        <w:rPr>
          <w:lang w:eastAsia="en-US"/>
        </w:rPr>
      </w:pPr>
      <w:r w:rsidRPr="00814FEE">
        <w:rPr>
          <w:lang w:eastAsia="en-US"/>
        </w:rPr>
        <w:t>4.</w:t>
      </w:r>
      <w:r w:rsidRPr="00814FEE">
        <w:rPr>
          <w:lang w:eastAsia="en-US"/>
        </w:rPr>
        <w:tab/>
      </w:r>
      <w:r w:rsidR="00822E04" w:rsidRPr="00814FEE">
        <w:rPr>
          <w:lang w:eastAsia="en-US"/>
        </w:rPr>
        <w:t>Fallen flexible Schüttgut-Container unter Absatz 7.1.</w:t>
      </w:r>
      <w:r w:rsidR="00EF1E60" w:rsidRPr="00814FEE">
        <w:rPr>
          <w:lang w:eastAsia="en-US"/>
        </w:rPr>
        <w:t>4</w:t>
      </w:r>
      <w:r w:rsidR="00822E04" w:rsidRPr="00814FEE">
        <w:rPr>
          <w:lang w:eastAsia="en-US"/>
        </w:rPr>
        <w:t>.4.3 ADN?</w:t>
      </w:r>
    </w:p>
    <w:p w:rsidR="0085713F" w:rsidRPr="00814FEE" w:rsidRDefault="0085713F" w:rsidP="00822E04">
      <w:pPr>
        <w:widowControl/>
        <w:tabs>
          <w:tab w:val="left" w:pos="1560"/>
        </w:tabs>
        <w:suppressAutoHyphens/>
        <w:overflowPunct/>
        <w:autoSpaceDE/>
        <w:autoSpaceDN/>
        <w:adjustRightInd/>
        <w:spacing w:after="120" w:line="240" w:lineRule="atLeast"/>
        <w:ind w:right="1134" w:firstLine="0"/>
        <w:textAlignment w:val="auto"/>
        <w:rPr>
          <w:lang w:eastAsia="en-US"/>
        </w:rPr>
      </w:pPr>
      <w:r w:rsidRPr="00814FEE">
        <w:rPr>
          <w:lang w:eastAsia="en-US"/>
        </w:rPr>
        <w:t>5.</w:t>
      </w:r>
      <w:r w:rsidRPr="00814FEE">
        <w:rPr>
          <w:lang w:eastAsia="en-US"/>
        </w:rPr>
        <w:tab/>
      </w:r>
      <w:r w:rsidR="00822E04" w:rsidRPr="00814FEE">
        <w:rPr>
          <w:lang w:eastAsia="en-US"/>
        </w:rPr>
        <w:t>Sofern die vorgenannte Bestimmung nicht für flexible Schüttgut-Container gilt, sind besondere Vorschriften für flexible Schüttgutcontainer gemäß Abschnitt 7.1.4 erforderlich?</w:t>
      </w:r>
    </w:p>
    <w:p w:rsidR="0085713F" w:rsidRPr="005C45CF" w:rsidRDefault="0085713F" w:rsidP="00822E0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814FEE">
        <w:rPr>
          <w:b/>
          <w:sz w:val="28"/>
          <w:lang w:eastAsia="en-US"/>
        </w:rPr>
        <w:tab/>
      </w:r>
      <w:r w:rsidR="00822E04" w:rsidRPr="00814FEE">
        <w:rPr>
          <w:b/>
          <w:sz w:val="28"/>
          <w:lang w:eastAsia="en-US"/>
        </w:rPr>
        <w:t>III.</w:t>
      </w:r>
      <w:r w:rsidRPr="005C45CF">
        <w:rPr>
          <w:b/>
          <w:sz w:val="28"/>
          <w:lang w:eastAsia="en-US"/>
        </w:rPr>
        <w:tab/>
      </w:r>
      <w:r w:rsidR="00822E04" w:rsidRPr="00814FEE">
        <w:rPr>
          <w:b/>
          <w:sz w:val="28"/>
          <w:lang w:eastAsia="en-US"/>
        </w:rPr>
        <w:t>Hintergrundinformationen</w:t>
      </w:r>
    </w:p>
    <w:p w:rsidR="0085713F" w:rsidRPr="00814FEE" w:rsidRDefault="0085713F" w:rsidP="00390934">
      <w:pPr>
        <w:widowControl/>
        <w:tabs>
          <w:tab w:val="left" w:pos="1560"/>
        </w:tabs>
        <w:suppressAutoHyphens/>
        <w:overflowPunct/>
        <w:autoSpaceDE/>
        <w:autoSpaceDN/>
        <w:adjustRightInd/>
        <w:spacing w:after="120" w:line="240" w:lineRule="atLeast"/>
        <w:ind w:right="1134" w:firstLine="0"/>
        <w:textAlignment w:val="auto"/>
        <w:rPr>
          <w:lang w:eastAsia="en-US"/>
        </w:rPr>
      </w:pPr>
      <w:r w:rsidRPr="00814FEE">
        <w:rPr>
          <w:lang w:eastAsia="en-US"/>
        </w:rPr>
        <w:t>6.</w:t>
      </w:r>
      <w:r w:rsidRPr="00814FEE">
        <w:rPr>
          <w:lang w:eastAsia="en-US"/>
        </w:rPr>
        <w:tab/>
      </w:r>
      <w:r w:rsidR="00822E04" w:rsidRPr="00814FEE">
        <w:rPr>
          <w:lang w:eastAsia="en-US"/>
        </w:rPr>
        <w:t>Auf der Grundlage des Arbeitsdokuments ECE/TRANS/WP. 15/AC.1/2013/37 (Vereinigtes Königreich im Namen der informellen Arbeitsgruppe „Flexible Schüttgut-Container (FBC)</w:t>
      </w:r>
      <w:r w:rsidR="00390934" w:rsidRPr="00814FEE">
        <w:rPr>
          <w:lang w:eastAsia="en-US"/>
        </w:rPr>
        <w:t>“</w:t>
      </w:r>
      <w:r w:rsidR="00822E04" w:rsidRPr="00814FEE">
        <w:rPr>
          <w:lang w:eastAsia="en-US"/>
        </w:rPr>
        <w:t>) und des informellen Dokuments INF.10 derselben Sitzung nahm die Gemeinsame Tagung im Jahr 2013 Vorschriften über flexible Schüttgut-Container für RID/ADR/ADN an (ECE/TRANS/WP.15/AC.1/132/Add.</w:t>
      </w:r>
      <w:r w:rsidR="005C45CF">
        <w:rPr>
          <w:lang w:eastAsia="en-US"/>
        </w:rPr>
        <w:t> </w:t>
      </w:r>
      <w:r w:rsidR="00822E04" w:rsidRPr="00814FEE">
        <w:rPr>
          <w:lang w:eastAsia="en-US"/>
        </w:rPr>
        <w:t>2):</w:t>
      </w:r>
    </w:p>
    <w:p w:rsidR="0085713F" w:rsidRPr="00814FEE" w:rsidRDefault="00585590" w:rsidP="0085713F">
      <w:pPr>
        <w:widowControl/>
        <w:suppressAutoHyphens/>
        <w:overflowPunct/>
        <w:autoSpaceDE/>
        <w:autoSpaceDN/>
        <w:adjustRightInd/>
        <w:spacing w:after="120" w:line="240" w:lineRule="atLeast"/>
        <w:ind w:right="1134" w:firstLine="426"/>
        <w:textAlignment w:val="auto"/>
        <w:rPr>
          <w:lang w:eastAsia="en-US"/>
        </w:rPr>
      </w:pPr>
      <w:r w:rsidRPr="00814FEE">
        <w:rPr>
          <w:lang w:eastAsia="en-US"/>
        </w:rPr>
        <w:t>Kapitel</w:t>
      </w:r>
      <w:r w:rsidR="0085713F" w:rsidRPr="00814FEE">
        <w:rPr>
          <w:lang w:eastAsia="en-US"/>
        </w:rPr>
        <w:t xml:space="preserve"> 7.1 (ADN)</w:t>
      </w:r>
    </w:p>
    <w:p w:rsidR="00A97821" w:rsidRPr="00814FEE" w:rsidRDefault="00A97821" w:rsidP="00A97821">
      <w:pPr>
        <w:widowControl/>
        <w:tabs>
          <w:tab w:val="left" w:pos="2694"/>
        </w:tabs>
        <w:suppressAutoHyphens/>
        <w:overflowPunct/>
        <w:autoSpaceDE/>
        <w:autoSpaceDN/>
        <w:adjustRightInd/>
        <w:spacing w:after="120" w:line="240" w:lineRule="atLeast"/>
        <w:ind w:left="1560" w:right="1134" w:firstLine="0"/>
        <w:textAlignment w:val="auto"/>
        <w:rPr>
          <w:lang w:eastAsia="en-US"/>
        </w:rPr>
      </w:pPr>
      <w:r w:rsidRPr="00814FEE">
        <w:rPr>
          <w:lang w:eastAsia="en-US"/>
        </w:rPr>
        <w:t>7.1.1.18</w:t>
      </w:r>
      <w:r w:rsidRPr="00814FEE">
        <w:rPr>
          <w:lang w:eastAsia="en-US"/>
        </w:rPr>
        <w:tab/>
        <w:t>In der Überschrift und im Text nach „Container,“ einfügen: „flexible Schüttgut-Container,“.</w:t>
      </w:r>
    </w:p>
    <w:p w:rsidR="00A97821" w:rsidRPr="00814FEE" w:rsidRDefault="00A97821" w:rsidP="00A97821">
      <w:pPr>
        <w:widowControl/>
        <w:tabs>
          <w:tab w:val="left" w:pos="2268"/>
        </w:tabs>
        <w:suppressAutoHyphens/>
        <w:overflowPunct/>
        <w:autoSpaceDE/>
        <w:autoSpaceDN/>
        <w:adjustRightInd/>
        <w:spacing w:after="120" w:line="240" w:lineRule="atLeast"/>
        <w:ind w:left="1560" w:right="1134" w:firstLine="0"/>
        <w:textAlignment w:val="auto"/>
        <w:rPr>
          <w:lang w:eastAsia="en-US"/>
        </w:rPr>
      </w:pPr>
      <w:r w:rsidRPr="00814FEE">
        <w:rPr>
          <w:lang w:eastAsia="en-US"/>
        </w:rPr>
        <w:t>7.1.4.14.1.1</w:t>
      </w:r>
      <w:r w:rsidRPr="00814FEE">
        <w:rPr>
          <w:lang w:eastAsia="en-US"/>
        </w:rPr>
        <w:tab/>
        <w:t>Am Ende die beiden folgenden Sätze hinzufügen:</w:t>
      </w:r>
    </w:p>
    <w:p w:rsidR="00A97821" w:rsidRPr="00814FEE" w:rsidRDefault="00A97821" w:rsidP="00A97821">
      <w:pPr>
        <w:widowControl/>
        <w:suppressAutoHyphens/>
        <w:overflowPunct/>
        <w:autoSpaceDE/>
        <w:autoSpaceDN/>
        <w:adjustRightInd/>
        <w:spacing w:after="120" w:line="240" w:lineRule="atLeast"/>
        <w:ind w:left="1560" w:right="1134" w:firstLine="0"/>
        <w:textAlignment w:val="auto"/>
        <w:rPr>
          <w:lang w:eastAsia="en-US"/>
        </w:rPr>
      </w:pPr>
      <w:r w:rsidRPr="00814FEE">
        <w:rPr>
          <w:lang w:eastAsia="en-US"/>
        </w:rPr>
        <w:t>„Flexible Schüttgut-Container müssen so gestaut werden, dass keine Leerräume zwischen den flexiblen Schüttgut-Containern im Laderaum bestehen. Füllen die flexiblen Schüttgut-Container den Laderaum nicht vollständig aus, müssen angemessene Maßnahmen getroffen werden, um ein Verrutschen der Ladung zu verhindern.“.</w:t>
      </w:r>
    </w:p>
    <w:p w:rsidR="00A97821" w:rsidRPr="00814FEE" w:rsidRDefault="00A97821" w:rsidP="00A97821">
      <w:pPr>
        <w:widowControl/>
        <w:tabs>
          <w:tab w:val="left" w:pos="2268"/>
        </w:tabs>
        <w:suppressAutoHyphens/>
        <w:overflowPunct/>
        <w:autoSpaceDE/>
        <w:autoSpaceDN/>
        <w:adjustRightInd/>
        <w:spacing w:after="120" w:line="240" w:lineRule="atLeast"/>
        <w:ind w:left="1560" w:right="1134" w:firstLine="0"/>
        <w:textAlignment w:val="auto"/>
        <w:rPr>
          <w:lang w:eastAsia="en-US"/>
        </w:rPr>
      </w:pPr>
      <w:r w:rsidRPr="00814FEE">
        <w:rPr>
          <w:lang w:eastAsia="en-US"/>
        </w:rPr>
        <w:t>7.1.4.14.1.2</w:t>
      </w:r>
      <w:r w:rsidRPr="00814FEE">
        <w:rPr>
          <w:lang w:eastAsia="en-US"/>
        </w:rPr>
        <w:tab/>
        <w:t>Am Ende die beiden folgenden Sätze hinzufügen:</w:t>
      </w:r>
    </w:p>
    <w:p w:rsidR="00A97821" w:rsidRPr="00814FEE" w:rsidRDefault="00A97821" w:rsidP="00A97821">
      <w:pPr>
        <w:widowControl/>
        <w:suppressAutoHyphens/>
        <w:overflowPunct/>
        <w:autoSpaceDE/>
        <w:autoSpaceDN/>
        <w:adjustRightInd/>
        <w:spacing w:after="120" w:line="240" w:lineRule="atLeast"/>
        <w:ind w:left="1560" w:right="1134" w:firstLine="0"/>
        <w:textAlignment w:val="auto"/>
        <w:rPr>
          <w:lang w:eastAsia="en-US"/>
        </w:rPr>
      </w:pPr>
      <w:r w:rsidRPr="00814FEE">
        <w:rPr>
          <w:lang w:eastAsia="en-US"/>
        </w:rPr>
        <w:t>„Flexible Schüttgut-Container dürfen in Laderäumen übereinander gestapelt werden, vorausgesetzt, die Stapelhöhe überschreitet nicht drei flexible Schüttgut-Container. Wenn die flexiblen Schüttgut-Container mit Lüftungseinrichtungen ausgerüstet sind, darf die Funktion dieser Einrichtungen nicht durch die Stauung behindert werden.“.</w:t>
      </w:r>
    </w:p>
    <w:p w:rsidR="0085713F" w:rsidRPr="00814FEE" w:rsidRDefault="0085713F" w:rsidP="00E0438E">
      <w:pPr>
        <w:widowControl/>
        <w:tabs>
          <w:tab w:val="left" w:pos="1560"/>
        </w:tabs>
        <w:suppressAutoHyphens/>
        <w:overflowPunct/>
        <w:autoSpaceDE/>
        <w:autoSpaceDN/>
        <w:adjustRightInd/>
        <w:spacing w:after="120" w:line="240" w:lineRule="atLeast"/>
        <w:ind w:right="1134" w:firstLine="0"/>
        <w:textAlignment w:val="auto"/>
        <w:rPr>
          <w:lang w:eastAsia="en-US"/>
        </w:rPr>
      </w:pPr>
      <w:r w:rsidRPr="00814FEE">
        <w:rPr>
          <w:lang w:eastAsia="en-US"/>
        </w:rPr>
        <w:t>7.</w:t>
      </w:r>
      <w:r w:rsidRPr="00814FEE">
        <w:rPr>
          <w:lang w:eastAsia="en-US"/>
        </w:rPr>
        <w:tab/>
      </w:r>
      <w:r w:rsidR="00390934" w:rsidRPr="00814FEE">
        <w:rPr>
          <w:lang w:eastAsia="en-US"/>
        </w:rPr>
        <w:t xml:space="preserve">Der ADN-Sicherheitsausschuss nahm in seiner sechsundzwanzigsten Sitzung Vorschriften für die Beförderung flexibler Schüttgut-Container an (ECE/TRANS/WP.15/AC.2/54, </w:t>
      </w:r>
      <w:r w:rsidR="00FE1233" w:rsidRPr="00814FEE">
        <w:rPr>
          <w:lang w:eastAsia="en-US"/>
        </w:rPr>
        <w:t>Abs</w:t>
      </w:r>
      <w:r w:rsidR="00390934" w:rsidRPr="00814FEE">
        <w:rPr>
          <w:lang w:eastAsia="en-US"/>
        </w:rPr>
        <w:t>. 40 und 41)</w:t>
      </w:r>
      <w:r w:rsidR="00987075" w:rsidRPr="00814FEE">
        <w:rPr>
          <w:lang w:eastAsia="en-US"/>
        </w:rPr>
        <w:t>:</w:t>
      </w:r>
    </w:p>
    <w:p w:rsidR="00585590" w:rsidRPr="00814FEE" w:rsidRDefault="00585590" w:rsidP="00585590">
      <w:pPr>
        <w:widowControl/>
        <w:tabs>
          <w:tab w:val="left" w:pos="1560"/>
        </w:tabs>
        <w:suppressAutoHyphens/>
        <w:overflowPunct/>
        <w:autoSpaceDE/>
        <w:autoSpaceDN/>
        <w:adjustRightInd/>
        <w:spacing w:after="120" w:line="240" w:lineRule="atLeast"/>
        <w:ind w:right="1134" w:firstLine="0"/>
        <w:textAlignment w:val="auto"/>
        <w:rPr>
          <w:rFonts w:eastAsia="SimSun"/>
          <w:lang w:eastAsia="zh-CN"/>
        </w:rPr>
      </w:pPr>
      <w:r w:rsidRPr="00814FEE">
        <w:rPr>
          <w:rFonts w:eastAsia="SimSun"/>
          <w:lang w:eastAsia="zh-CN"/>
        </w:rPr>
        <w:t>„40.</w:t>
      </w:r>
      <w:r w:rsidRPr="00814FEE">
        <w:rPr>
          <w:rFonts w:eastAsia="SimSun"/>
          <w:lang w:eastAsia="zh-CN"/>
        </w:rPr>
        <w:tab/>
        <w:t xml:space="preserve">Der Sicherheitsausschuss stellte fest, dass die Gemeinsame RID/ADR/ADN-Tagung die Annahme der bereits 2013 erarbeiteten Vorschriften für die Verwendung flexibler Schüttgut-Container empfohlen hat. Die Arbeitsgruppe „Beförderung gefährlicher Güter“ (WP.15) hatte infolgedessen Bestimmungen für das ADR 2017 angenommen; ähnliche Bestimmungen waren auch für </w:t>
      </w:r>
      <w:r w:rsidR="00A2580D" w:rsidRPr="00814FEE">
        <w:rPr>
          <w:rFonts w:eastAsia="SimSun"/>
          <w:lang w:eastAsia="zh-CN"/>
        </w:rPr>
        <w:t>das</w:t>
      </w:r>
      <w:r w:rsidRPr="00814FEE">
        <w:rPr>
          <w:rFonts w:eastAsia="SimSun"/>
          <w:lang w:eastAsia="zh-CN"/>
        </w:rPr>
        <w:t xml:space="preserve"> RID angenommen worden. Der Sicherheitsausschuss war der Ansicht, dass für die Binnenschifffahrt in gleicher Weise verfahren werden kann. Er nahm daher die entsprechenden Bestimmungen in Dokument ECE/TRANS/WP.15/AC.1/132/Add.2 und ECE/TRANS/WP.15/226, Anlage I, an (siehe Anlage II).</w:t>
      </w:r>
    </w:p>
    <w:p w:rsidR="00585590" w:rsidRPr="00814FEE" w:rsidRDefault="00585590" w:rsidP="00585590">
      <w:pPr>
        <w:widowControl/>
        <w:tabs>
          <w:tab w:val="left" w:pos="1560"/>
        </w:tabs>
        <w:suppressAutoHyphens/>
        <w:overflowPunct/>
        <w:autoSpaceDE/>
        <w:autoSpaceDN/>
        <w:adjustRightInd/>
        <w:spacing w:after="120" w:line="240" w:lineRule="atLeast"/>
        <w:ind w:right="1134" w:firstLine="0"/>
        <w:textAlignment w:val="auto"/>
        <w:rPr>
          <w:rFonts w:eastAsia="SimSun"/>
          <w:lang w:eastAsia="zh-CN"/>
        </w:rPr>
      </w:pPr>
      <w:r w:rsidRPr="00814FEE">
        <w:rPr>
          <w:rFonts w:eastAsia="SimSun"/>
          <w:lang w:eastAsia="zh-CN"/>
        </w:rPr>
        <w:t>41.</w:t>
      </w:r>
      <w:r w:rsidRPr="00814FEE">
        <w:rPr>
          <w:rFonts w:eastAsia="SimSun"/>
          <w:lang w:eastAsia="zh-CN"/>
        </w:rPr>
        <w:tab/>
        <w:t>Der Vertreter Deutschlands warf die Frage auf, ob es ratsam wäre, Absatz 7.1.4.12.2 zu ändern. Er wurde darauf hingewiesen, dass es in diesem Fall wahrscheinlich sinnvoll wäre, alle Arten von Schüttgut-Containern zu berücksichtigen. Er wurde daher gebeten, die Angelegenheit erneut zu prüfen und in der nächsten Sitzung ggf. einen Vorschlag zu unterbreiten.“.</w:t>
      </w:r>
    </w:p>
    <w:p w:rsidR="0085713F" w:rsidRPr="00814FEE" w:rsidRDefault="0085713F" w:rsidP="004C5D30">
      <w:pPr>
        <w:widowControl/>
        <w:tabs>
          <w:tab w:val="left" w:pos="1560"/>
        </w:tabs>
        <w:suppressAutoHyphens/>
        <w:overflowPunct/>
        <w:autoSpaceDE/>
        <w:autoSpaceDN/>
        <w:adjustRightInd/>
        <w:spacing w:after="120" w:line="240" w:lineRule="atLeast"/>
        <w:ind w:right="1134" w:firstLine="0"/>
        <w:textAlignment w:val="auto"/>
        <w:rPr>
          <w:rFonts w:eastAsia="SimSun"/>
          <w:lang w:eastAsia="zh-CN"/>
        </w:rPr>
      </w:pPr>
      <w:r w:rsidRPr="00814FEE">
        <w:rPr>
          <w:lang w:eastAsia="en-US"/>
        </w:rPr>
        <w:t>8.</w:t>
      </w:r>
      <w:r w:rsidRPr="00814FEE">
        <w:rPr>
          <w:lang w:eastAsia="en-US"/>
        </w:rPr>
        <w:tab/>
      </w:r>
      <w:r w:rsidR="004C5D30" w:rsidRPr="00814FEE">
        <w:rPr>
          <w:lang w:eastAsia="en-US"/>
        </w:rPr>
        <w:t>Bestimmungen im ADN 2017, die für flexible Schüttgut-Container gelten könnten:</w:t>
      </w:r>
    </w:p>
    <w:p w:rsidR="0085713F" w:rsidRPr="00814FEE" w:rsidRDefault="0085713F" w:rsidP="0085713F">
      <w:pPr>
        <w:keepNext/>
        <w:keepLines/>
        <w:widowControl/>
        <w:tabs>
          <w:tab w:val="left" w:pos="1560"/>
        </w:tabs>
        <w:suppressAutoHyphens/>
        <w:overflowPunct/>
        <w:autoSpaceDE/>
        <w:autoSpaceDN/>
        <w:adjustRightInd/>
        <w:spacing w:after="120" w:line="240" w:lineRule="atLeast"/>
        <w:ind w:left="2694" w:right="1134" w:hanging="1418"/>
        <w:textAlignment w:val="auto"/>
        <w:rPr>
          <w:b/>
          <w:lang w:eastAsia="en-US"/>
        </w:rPr>
      </w:pPr>
      <w:r w:rsidRPr="00814FEE">
        <w:rPr>
          <w:b/>
          <w:lang w:eastAsia="en-US"/>
        </w:rPr>
        <w:lastRenderedPageBreak/>
        <w:t>1.2.1</w:t>
      </w:r>
      <w:r w:rsidRPr="00814FEE">
        <w:rPr>
          <w:b/>
          <w:lang w:eastAsia="en-US"/>
        </w:rPr>
        <w:tab/>
      </w:r>
      <w:r w:rsidR="00585590" w:rsidRPr="00814FEE">
        <w:rPr>
          <w:b/>
          <w:lang w:eastAsia="en-US"/>
        </w:rPr>
        <w:t>Begriffsbestimmungen</w:t>
      </w:r>
    </w:p>
    <w:p w:rsidR="00585590" w:rsidRPr="00814FEE" w:rsidRDefault="0085713F" w:rsidP="00585590">
      <w:pPr>
        <w:keepNext/>
        <w:keepLines/>
        <w:widowControl/>
        <w:tabs>
          <w:tab w:val="left" w:pos="1560"/>
        </w:tabs>
        <w:suppressAutoHyphens/>
        <w:overflowPunct/>
        <w:autoSpaceDE/>
        <w:autoSpaceDN/>
        <w:adjustRightInd/>
        <w:spacing w:after="120" w:line="240" w:lineRule="atLeast"/>
        <w:ind w:left="2694" w:right="1134" w:hanging="1418"/>
        <w:textAlignment w:val="auto"/>
        <w:rPr>
          <w:lang w:eastAsia="en-US"/>
        </w:rPr>
      </w:pPr>
      <w:r w:rsidRPr="00814FEE">
        <w:rPr>
          <w:i/>
          <w:lang w:eastAsia="en-US"/>
        </w:rPr>
        <w:tab/>
      </w:r>
      <w:r w:rsidRPr="00814FEE">
        <w:rPr>
          <w:i/>
          <w:lang w:eastAsia="en-US"/>
        </w:rPr>
        <w:tab/>
      </w:r>
      <w:r w:rsidR="00585590" w:rsidRPr="00814FEE">
        <w:rPr>
          <w:b/>
          <w:i/>
          <w:lang w:eastAsia="en-US"/>
        </w:rPr>
        <w:t>Flexibler Schüttgut-Container</w:t>
      </w:r>
      <w:r w:rsidR="00585590" w:rsidRPr="00814FEE">
        <w:rPr>
          <w:i/>
          <w:lang w:eastAsia="en-US"/>
        </w:rPr>
        <w:t xml:space="preserve">: </w:t>
      </w:r>
      <w:r w:rsidR="00585590" w:rsidRPr="00814FEE">
        <w:rPr>
          <w:lang w:eastAsia="en-US"/>
        </w:rPr>
        <w:t>Ein flexibler Container mit einem Fassungsraum von höchstens 15 m</w:t>
      </w:r>
      <w:r w:rsidR="00585590" w:rsidRPr="00814FEE">
        <w:rPr>
          <w:vertAlign w:val="superscript"/>
          <w:lang w:eastAsia="en-US"/>
        </w:rPr>
        <w:t>3</w:t>
      </w:r>
      <w:r w:rsidR="00585590" w:rsidRPr="00814FEE">
        <w:rPr>
          <w:lang w:eastAsia="en-US"/>
        </w:rPr>
        <w:t>, einschließlich Auskleidungen, angebrachter Handhabungseinrichtungen und Bedienungsausrüstung.</w:t>
      </w:r>
    </w:p>
    <w:p w:rsidR="00585590" w:rsidRPr="00814FEE" w:rsidRDefault="0085713F" w:rsidP="00585590">
      <w:pPr>
        <w:keepNext/>
        <w:keepLines/>
        <w:widowControl/>
        <w:tabs>
          <w:tab w:val="left" w:pos="1560"/>
        </w:tabs>
        <w:suppressAutoHyphens/>
        <w:overflowPunct/>
        <w:autoSpaceDE/>
        <w:autoSpaceDN/>
        <w:adjustRightInd/>
        <w:spacing w:after="120" w:line="240" w:lineRule="atLeast"/>
        <w:ind w:left="2694" w:right="1134" w:hanging="1418"/>
        <w:textAlignment w:val="auto"/>
        <w:rPr>
          <w:b/>
          <w:lang w:eastAsia="en-US"/>
        </w:rPr>
      </w:pPr>
      <w:r w:rsidRPr="00814FEE">
        <w:rPr>
          <w:b/>
          <w:lang w:eastAsia="en-US"/>
        </w:rPr>
        <w:t>7.1.4.3</w:t>
      </w:r>
      <w:r w:rsidRPr="00814FEE">
        <w:rPr>
          <w:b/>
          <w:lang w:eastAsia="en-US"/>
        </w:rPr>
        <w:tab/>
      </w:r>
      <w:r w:rsidR="00585590" w:rsidRPr="00814FEE">
        <w:rPr>
          <w:b/>
          <w:lang w:eastAsia="en-US"/>
        </w:rPr>
        <w:t>Zusammenladeverbot (Versandstücke in Laderäumen)</w:t>
      </w:r>
    </w:p>
    <w:p w:rsidR="00585590" w:rsidRPr="00814FEE" w:rsidRDefault="0085713F" w:rsidP="0085713F">
      <w:pPr>
        <w:keepNext/>
        <w:keepLines/>
        <w:widowControl/>
        <w:tabs>
          <w:tab w:val="left" w:pos="1560"/>
        </w:tabs>
        <w:suppressAutoHyphens/>
        <w:overflowPunct/>
        <w:autoSpaceDE/>
        <w:autoSpaceDN/>
        <w:adjustRightInd/>
        <w:spacing w:after="120" w:line="240" w:lineRule="atLeast"/>
        <w:ind w:left="2694" w:right="1134" w:hanging="1418"/>
        <w:textAlignment w:val="auto"/>
        <w:rPr>
          <w:lang w:eastAsia="en-US"/>
        </w:rPr>
      </w:pPr>
      <w:r w:rsidRPr="00814FEE">
        <w:rPr>
          <w:lang w:eastAsia="en-US"/>
        </w:rPr>
        <w:t>7.1.4.3.1</w:t>
      </w:r>
      <w:r w:rsidRPr="00814FEE">
        <w:rPr>
          <w:lang w:eastAsia="en-US"/>
        </w:rPr>
        <w:tab/>
      </w:r>
      <w:r w:rsidR="00585590" w:rsidRPr="00814FEE">
        <w:rPr>
          <w:lang w:eastAsia="en-US"/>
        </w:rPr>
        <w:t>Güter verschiedener Klassen müssen durch einen horizontalen Abstand von mindestens 3 m voneinander getrennt sein. Sie dürfen nicht übereinander gestaut werden.</w:t>
      </w:r>
    </w:p>
    <w:p w:rsidR="0085713F" w:rsidRPr="00814FEE" w:rsidRDefault="0085713F" w:rsidP="0085713F">
      <w:pPr>
        <w:keepNext/>
        <w:keepLines/>
        <w:widowControl/>
        <w:tabs>
          <w:tab w:val="left" w:pos="1560"/>
        </w:tabs>
        <w:suppressAutoHyphens/>
        <w:overflowPunct/>
        <w:autoSpaceDE/>
        <w:autoSpaceDN/>
        <w:adjustRightInd/>
        <w:spacing w:after="120" w:line="240" w:lineRule="atLeast"/>
        <w:ind w:left="2694" w:right="1134" w:hanging="1418"/>
        <w:textAlignment w:val="auto"/>
        <w:rPr>
          <w:b/>
          <w:lang w:eastAsia="en-US"/>
        </w:rPr>
      </w:pPr>
      <w:r w:rsidRPr="00814FEE">
        <w:rPr>
          <w:b/>
          <w:lang w:eastAsia="en-US"/>
        </w:rPr>
        <w:t>7.1.4.4</w:t>
      </w:r>
      <w:r w:rsidRPr="00814FEE">
        <w:rPr>
          <w:b/>
          <w:lang w:eastAsia="en-US"/>
        </w:rPr>
        <w:tab/>
      </w:r>
      <w:r w:rsidR="00585590" w:rsidRPr="00814FEE">
        <w:rPr>
          <w:b/>
          <w:lang w:eastAsia="en-US"/>
        </w:rPr>
        <w:t>Zusammenladeverbote (Container, Fahrzeuge, Wagen)</w:t>
      </w:r>
    </w:p>
    <w:p w:rsidR="00585590" w:rsidRPr="00814FEE" w:rsidRDefault="0085713F" w:rsidP="00585590">
      <w:pPr>
        <w:keepNext/>
        <w:keepLines/>
        <w:widowControl/>
        <w:tabs>
          <w:tab w:val="left" w:pos="1560"/>
        </w:tabs>
        <w:suppressAutoHyphens/>
        <w:overflowPunct/>
        <w:autoSpaceDE/>
        <w:autoSpaceDN/>
        <w:adjustRightInd/>
        <w:spacing w:after="120" w:line="240" w:lineRule="atLeast"/>
        <w:ind w:left="2694" w:right="1134" w:hanging="1418"/>
        <w:textAlignment w:val="auto"/>
        <w:rPr>
          <w:lang w:eastAsia="en-US"/>
        </w:rPr>
      </w:pPr>
      <w:r w:rsidRPr="00814FEE">
        <w:rPr>
          <w:lang w:eastAsia="en-US"/>
        </w:rPr>
        <w:t>7.1.4.4.1</w:t>
      </w:r>
      <w:r w:rsidRPr="00814FEE">
        <w:rPr>
          <w:lang w:eastAsia="en-US"/>
        </w:rPr>
        <w:tab/>
      </w:r>
      <w:r w:rsidR="00585590" w:rsidRPr="00814FEE">
        <w:rPr>
          <w:lang w:eastAsia="en-US"/>
        </w:rPr>
        <w:t>Der Unterabschnitt 7.1.4.3 gilt nicht für Versandstücke innerhalb eines Containers, Fahrzeugs oder Wagens, die gemäß einer der internationalen Regelungen gestaut sind.</w:t>
      </w:r>
    </w:p>
    <w:p w:rsidR="008A1D67" w:rsidRPr="00814FEE" w:rsidRDefault="0085713F" w:rsidP="008A1D67">
      <w:pPr>
        <w:keepNext/>
        <w:keepLines/>
        <w:widowControl/>
        <w:tabs>
          <w:tab w:val="left" w:pos="1560"/>
        </w:tabs>
        <w:suppressAutoHyphens/>
        <w:overflowPunct/>
        <w:autoSpaceDE/>
        <w:autoSpaceDN/>
        <w:adjustRightInd/>
        <w:spacing w:after="120" w:line="240" w:lineRule="atLeast"/>
        <w:ind w:left="2694" w:right="1134" w:hanging="1418"/>
        <w:textAlignment w:val="auto"/>
        <w:rPr>
          <w:lang w:eastAsia="en-US"/>
        </w:rPr>
      </w:pPr>
      <w:r w:rsidRPr="00814FEE">
        <w:rPr>
          <w:lang w:eastAsia="en-US"/>
        </w:rPr>
        <w:t>7.1.4.4.2</w:t>
      </w:r>
      <w:r w:rsidRPr="00814FEE">
        <w:rPr>
          <w:lang w:eastAsia="en-US"/>
        </w:rPr>
        <w:tab/>
      </w:r>
      <w:r w:rsidR="008A1D67" w:rsidRPr="00814FEE">
        <w:rPr>
          <w:lang w:eastAsia="en-US"/>
        </w:rPr>
        <w:t>Der Unterabschnitt 7.1.4.3 gilt nicht für:</w:t>
      </w:r>
    </w:p>
    <w:p w:rsidR="008A1D67" w:rsidRPr="00814FEE" w:rsidRDefault="008A1D67" w:rsidP="008A1D67">
      <w:pPr>
        <w:keepNext/>
        <w:keepLines/>
        <w:widowControl/>
        <w:suppressAutoHyphens/>
        <w:overflowPunct/>
        <w:autoSpaceDE/>
        <w:autoSpaceDN/>
        <w:adjustRightInd/>
        <w:spacing w:after="120" w:line="240" w:lineRule="atLeast"/>
        <w:ind w:left="2977" w:right="1134" w:hanging="283"/>
        <w:textAlignment w:val="auto"/>
        <w:rPr>
          <w:lang w:eastAsia="en-US"/>
        </w:rPr>
      </w:pPr>
      <w:r w:rsidRPr="00814FEE">
        <w:rPr>
          <w:lang w:eastAsia="en-US"/>
        </w:rPr>
        <w:t>-</w:t>
      </w:r>
      <w:r w:rsidRPr="00814FEE">
        <w:rPr>
          <w:lang w:eastAsia="en-US"/>
        </w:rPr>
        <w:tab/>
        <w:t>Container mit geschlossenen Metallwänden;</w:t>
      </w:r>
    </w:p>
    <w:p w:rsidR="008A1D67" w:rsidRPr="00814FEE" w:rsidRDefault="008A1D67" w:rsidP="008A1D67">
      <w:pPr>
        <w:keepNext/>
        <w:keepLines/>
        <w:widowControl/>
        <w:suppressAutoHyphens/>
        <w:overflowPunct/>
        <w:autoSpaceDE/>
        <w:autoSpaceDN/>
        <w:adjustRightInd/>
        <w:spacing w:after="120" w:line="240" w:lineRule="atLeast"/>
        <w:ind w:left="2977" w:right="1134" w:hanging="283"/>
        <w:textAlignment w:val="auto"/>
        <w:rPr>
          <w:lang w:eastAsia="en-US"/>
        </w:rPr>
      </w:pPr>
      <w:r w:rsidRPr="00814FEE">
        <w:rPr>
          <w:lang w:eastAsia="en-US"/>
        </w:rPr>
        <w:t>-</w:t>
      </w:r>
      <w:r w:rsidRPr="00814FEE">
        <w:rPr>
          <w:lang w:eastAsia="en-US"/>
        </w:rPr>
        <w:tab/>
        <w:t>gedeckte Fahrzeuge und Wagen mit geschlossenen Metallwänden;</w:t>
      </w:r>
    </w:p>
    <w:p w:rsidR="008A1D67" w:rsidRPr="00814FEE" w:rsidRDefault="008A1D67" w:rsidP="008A1D67">
      <w:pPr>
        <w:keepNext/>
        <w:keepLines/>
        <w:widowControl/>
        <w:suppressAutoHyphens/>
        <w:overflowPunct/>
        <w:autoSpaceDE/>
        <w:autoSpaceDN/>
        <w:adjustRightInd/>
        <w:spacing w:after="120" w:line="240" w:lineRule="atLeast"/>
        <w:ind w:left="2977" w:right="1134" w:hanging="283"/>
        <w:textAlignment w:val="auto"/>
        <w:rPr>
          <w:lang w:eastAsia="en-US"/>
        </w:rPr>
      </w:pPr>
      <w:r w:rsidRPr="00814FEE">
        <w:rPr>
          <w:lang w:eastAsia="en-US"/>
        </w:rPr>
        <w:t>-</w:t>
      </w:r>
      <w:r w:rsidRPr="00814FEE">
        <w:rPr>
          <w:lang w:eastAsia="en-US"/>
        </w:rPr>
        <w:tab/>
        <w:t>Tankcontainer, ortsbewegliche Tanks und MEGC;</w:t>
      </w:r>
    </w:p>
    <w:p w:rsidR="008A1D67" w:rsidRPr="00814FEE" w:rsidRDefault="008A1D67" w:rsidP="008A1D67">
      <w:pPr>
        <w:keepNext/>
        <w:keepLines/>
        <w:widowControl/>
        <w:suppressAutoHyphens/>
        <w:overflowPunct/>
        <w:autoSpaceDE/>
        <w:autoSpaceDN/>
        <w:adjustRightInd/>
        <w:spacing w:after="120" w:line="240" w:lineRule="atLeast"/>
        <w:ind w:left="2977" w:right="1134" w:hanging="283"/>
        <w:textAlignment w:val="auto"/>
        <w:rPr>
          <w:lang w:eastAsia="en-US"/>
        </w:rPr>
      </w:pPr>
      <w:r w:rsidRPr="00814FEE">
        <w:rPr>
          <w:lang w:eastAsia="en-US"/>
        </w:rPr>
        <w:t>-</w:t>
      </w:r>
      <w:r w:rsidRPr="00814FEE">
        <w:rPr>
          <w:lang w:eastAsia="en-US"/>
        </w:rPr>
        <w:tab/>
        <w:t>Tankfahrzeuge und Kesselwagen.</w:t>
      </w:r>
    </w:p>
    <w:p w:rsidR="008A1D67" w:rsidRPr="00814FEE" w:rsidRDefault="0085713F" w:rsidP="008A1D67">
      <w:pPr>
        <w:keepNext/>
        <w:keepLines/>
        <w:widowControl/>
        <w:tabs>
          <w:tab w:val="left" w:pos="1560"/>
        </w:tabs>
        <w:suppressAutoHyphens/>
        <w:overflowPunct/>
        <w:autoSpaceDE/>
        <w:autoSpaceDN/>
        <w:adjustRightInd/>
        <w:spacing w:after="120" w:line="240" w:lineRule="atLeast"/>
        <w:ind w:left="2694" w:right="1134" w:hanging="1418"/>
        <w:textAlignment w:val="auto"/>
        <w:rPr>
          <w:lang w:eastAsia="en-US"/>
        </w:rPr>
      </w:pPr>
      <w:r w:rsidRPr="00814FEE">
        <w:rPr>
          <w:lang w:eastAsia="en-US"/>
        </w:rPr>
        <w:t xml:space="preserve">7.1.4.4.3 </w:t>
      </w:r>
      <w:r w:rsidRPr="00814FEE">
        <w:rPr>
          <w:lang w:eastAsia="en-US"/>
        </w:rPr>
        <w:tab/>
      </w:r>
      <w:r w:rsidR="008A1D67" w:rsidRPr="00814FEE">
        <w:rPr>
          <w:lang w:eastAsia="en-US"/>
        </w:rPr>
        <w:t>Für andere als in den Absätzen 7.1.4.4.1 und 7.1.4.4.2 genannte Container kann der Abstand nach Absatz 7.1.4.3.1 auf 2,40 m (eine Containerbreite) reduziert werden.</w:t>
      </w:r>
    </w:p>
    <w:p w:rsidR="0085713F" w:rsidRPr="00814FEE" w:rsidRDefault="0085713F" w:rsidP="0085713F">
      <w:pPr>
        <w:keepNext/>
        <w:keepLines/>
        <w:widowControl/>
        <w:tabs>
          <w:tab w:val="left" w:pos="1560"/>
        </w:tabs>
        <w:suppressAutoHyphens/>
        <w:overflowPunct/>
        <w:autoSpaceDE/>
        <w:autoSpaceDN/>
        <w:adjustRightInd/>
        <w:spacing w:after="120" w:line="240" w:lineRule="atLeast"/>
        <w:ind w:left="2694" w:right="1134" w:hanging="1418"/>
        <w:textAlignment w:val="auto"/>
        <w:rPr>
          <w:b/>
          <w:lang w:eastAsia="en-US"/>
        </w:rPr>
      </w:pPr>
      <w:r w:rsidRPr="00814FEE">
        <w:rPr>
          <w:b/>
          <w:lang w:eastAsia="en-US"/>
        </w:rPr>
        <w:t>7.1.4.14</w:t>
      </w:r>
      <w:r w:rsidRPr="00814FEE">
        <w:rPr>
          <w:b/>
          <w:lang w:eastAsia="en-US"/>
        </w:rPr>
        <w:tab/>
      </w:r>
      <w:r w:rsidR="008A1D67" w:rsidRPr="00814FEE">
        <w:rPr>
          <w:b/>
        </w:rPr>
        <w:t>Handhaben und Stauen der Ladung</w:t>
      </w:r>
    </w:p>
    <w:p w:rsidR="008A1D67" w:rsidRPr="00814FEE" w:rsidRDefault="0085713F" w:rsidP="008A1D67">
      <w:pPr>
        <w:keepNext/>
        <w:keepLines/>
        <w:widowControl/>
        <w:tabs>
          <w:tab w:val="left" w:pos="1560"/>
        </w:tabs>
        <w:suppressAutoHyphens/>
        <w:overflowPunct/>
        <w:autoSpaceDE/>
        <w:autoSpaceDN/>
        <w:adjustRightInd/>
        <w:spacing w:after="120" w:line="240" w:lineRule="atLeast"/>
        <w:ind w:left="2694" w:right="1134" w:hanging="1418"/>
        <w:textAlignment w:val="auto"/>
        <w:rPr>
          <w:u w:val="single"/>
          <w:lang w:eastAsia="en-US"/>
        </w:rPr>
      </w:pPr>
      <w:r w:rsidRPr="00814FEE">
        <w:rPr>
          <w:lang w:eastAsia="en-US"/>
        </w:rPr>
        <w:t>7.1.4.14.1.1</w:t>
      </w:r>
      <w:r w:rsidRPr="00814FEE">
        <w:rPr>
          <w:lang w:eastAsia="en-US"/>
        </w:rPr>
        <w:tab/>
      </w:r>
      <w:r w:rsidR="008A1D67" w:rsidRPr="00814FEE">
        <w:rPr>
          <w:lang w:eastAsia="en-US"/>
        </w:rPr>
        <w:t xml:space="preserve">Versandstücke, die gefährliche Güter enthalten, und unverpackte gefährliche Gegenstände müssen durch geeignete Mittel gesichert werden, die in der Lage sind, die Güter so zurückzuhalten (z. B. Befestigungsgurte, Schiebewände, verstellbare Halterungen), dass eine Bewegung während der Beförderung, durch die die Ausrichtung der Versandstücke verändert wird oder die zu einer Beschädigung der Versandstücke führt, verhindert wird. Wenn gefährliche Güter zusammen mit anderen Gütern (z. B. schwere Maschinen oder Kisten) befördert werden, müssen alle Güter so gesichert oder verpackt werden, dass das Austreten gefährlicher Güter verhindert wird. Die Bewegung der Versandstücke kann auch durch das Auffüllen von Hohlräumen mit Hilfe von Stauhölzern oder durch Blockieren und Verspannen verhindert werden. Wenn Verspannungen wie Bänder oder Gurte verwendet werden, dürfen diese nicht überspannt werden, so dass es zu einer Beschädigung oder Verformung des Versandstücks kommt. </w:t>
      </w:r>
      <w:r w:rsidR="008A1D67" w:rsidRPr="00814FEE">
        <w:rPr>
          <w:u w:val="single"/>
          <w:lang w:eastAsia="en-US"/>
        </w:rPr>
        <w:t>Flexible Schüttgut-Container müssen so gestaut werden, dass keine Leerräume zwischen den flexiblen Schüttgut-Containern im Laderaum bestehen. Füllen die flexiblen Schüttgut-Container den Laderaum nicht vollständig aus, müssen angemessene Maßnahmen getroffen werden, um ein Verrutschen der Ladung zu verhindern.</w:t>
      </w:r>
    </w:p>
    <w:p w:rsidR="008A1D67" w:rsidRPr="00814FEE" w:rsidRDefault="0085713F" w:rsidP="0085713F">
      <w:pPr>
        <w:keepNext/>
        <w:keepLines/>
        <w:widowControl/>
        <w:tabs>
          <w:tab w:val="left" w:pos="1560"/>
        </w:tabs>
        <w:suppressAutoHyphens/>
        <w:overflowPunct/>
        <w:autoSpaceDE/>
        <w:autoSpaceDN/>
        <w:adjustRightInd/>
        <w:spacing w:after="120" w:line="240" w:lineRule="atLeast"/>
        <w:ind w:left="2694" w:right="1134" w:hanging="1560"/>
        <w:textAlignment w:val="auto"/>
        <w:rPr>
          <w:lang w:eastAsia="en-US"/>
        </w:rPr>
      </w:pPr>
      <w:r w:rsidRPr="00814FEE">
        <w:rPr>
          <w:lang w:eastAsia="en-US"/>
        </w:rPr>
        <w:lastRenderedPageBreak/>
        <w:t>7.1.4.14.1.2</w:t>
      </w:r>
      <w:r w:rsidRPr="00814FEE">
        <w:rPr>
          <w:lang w:eastAsia="en-US"/>
        </w:rPr>
        <w:tab/>
      </w:r>
      <w:r w:rsidR="008A1D67" w:rsidRPr="00814FEE">
        <w:rPr>
          <w:lang w:eastAsia="en-US"/>
        </w:rPr>
        <w:t xml:space="preserve">Versandstücke dürfen nicht gestapelt werden, es sei denn, sie sind für diesen Zweck ausgelegt. Wenn verschiedene Arten von Versandstücken, die für eine Stapelung ausgelegt sind, zusammen zu verladen sind, ist auf die gegenseitige Stapelverträglichkeit Rücksicht zu nehmen. Soweit erforderlich müssen gestapelte Versandstücke durch die Verwendung tragender Hilfsmittel gegen eine Beschädigung der unteren Versandstücke geschützt werden. </w:t>
      </w:r>
      <w:r w:rsidR="008A1D67" w:rsidRPr="00814FEE">
        <w:rPr>
          <w:u w:val="single"/>
          <w:lang w:eastAsia="en-US"/>
        </w:rPr>
        <w:t>Flexible Schüttgut-Container dürfen in Laderäumen übereinander gestapelt werden, vorausgesetzt, die Stapelhöhe überschreitet nicht drei flexible Schüttgut-Container. Wenn die flexiblen Schüttgut-Container mit Lüftungseinrichtungen ausgerüstet sind, darf die Funktion dieser Einrichtungen nicht durch die Stauung behindert werden.</w:t>
      </w:r>
    </w:p>
    <w:p w:rsidR="00751575" w:rsidRPr="00F8067A" w:rsidRDefault="00F8067A" w:rsidP="00F8067A">
      <w:pPr>
        <w:tabs>
          <w:tab w:val="left" w:pos="567"/>
          <w:tab w:val="left" w:pos="1418"/>
        </w:tabs>
        <w:spacing w:line="240" w:lineRule="atLeast"/>
        <w:ind w:left="0" w:firstLine="0"/>
        <w:contextualSpacing/>
        <w:jc w:val="center"/>
      </w:pPr>
      <w:r w:rsidRPr="00814FEE">
        <w:t>***</w:t>
      </w:r>
    </w:p>
    <w:sectPr w:rsidR="00751575" w:rsidRPr="00F8067A" w:rsidSect="0059695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6A" w:rsidRDefault="00D4056A" w:rsidP="0011702A">
      <w:r>
        <w:separator/>
      </w:r>
    </w:p>
  </w:endnote>
  <w:endnote w:type="continuationSeparator" w:id="0">
    <w:p w:rsidR="00D4056A" w:rsidRDefault="00D4056A"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585590" w:rsidP="00F8067A">
    <w:pPr>
      <w:pStyle w:val="Footer"/>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_ba</w:t>
    </w:r>
    <w:r w:rsidR="00F8067A" w:rsidRPr="00F8067A">
      <w:rPr>
        <w:rFonts w:ascii="Arial" w:hAnsi="Arial"/>
        <w:noProof/>
        <w:sz w:val="12"/>
        <w:szCs w:val="24"/>
        <w:lang w:val="fr-FR"/>
      </w:rPr>
      <w:t>/adn_wp15_ac2_2018_</w:t>
    </w:r>
    <w:r w:rsidR="00AE33F4">
      <w:rPr>
        <w:rFonts w:ascii="Arial" w:hAnsi="Arial"/>
        <w:noProof/>
        <w:sz w:val="12"/>
        <w:szCs w:val="24"/>
        <w:lang w:val="fr-FR"/>
      </w:rPr>
      <w:t>4</w:t>
    </w:r>
    <w:r w:rsidR="00F8067A"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F8067A" w:rsidP="00F8067A">
    <w:pPr>
      <w:pStyle w:val="Footer"/>
      <w:jc w:val="right"/>
      <w:rPr>
        <w:rFonts w:ascii="Arial" w:hAnsi="Arial"/>
        <w:noProof/>
        <w:sz w:val="12"/>
        <w:szCs w:val="24"/>
        <w:lang w:val="fr-FR"/>
      </w:rPr>
    </w:pPr>
    <w:r w:rsidRPr="00F8067A">
      <w:rPr>
        <w:rFonts w:ascii="Arial" w:hAnsi="Arial"/>
        <w:noProof/>
        <w:sz w:val="12"/>
        <w:szCs w:val="24"/>
        <w:lang w:val="fr-FR"/>
      </w:rPr>
      <w:t>mm/adn_wp15_ac2_2018_</w:t>
    </w:r>
    <w:r w:rsidR="00AE33F4">
      <w:rPr>
        <w:rFonts w:ascii="Arial" w:hAnsi="Arial"/>
        <w:noProof/>
        <w:sz w:val="12"/>
        <w:szCs w:val="24"/>
        <w:lang w:val="fr-FR"/>
      </w:rPr>
      <w:t>4</w:t>
    </w:r>
    <w:r w:rsidRPr="00F8067A">
      <w:rPr>
        <w:rFonts w:ascii="Arial" w:hAnsi="Arial"/>
        <w:noProof/>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C8" w:rsidRDefault="0083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6A" w:rsidRDefault="00D4056A" w:rsidP="0011702A">
      <w:r>
        <w:separator/>
      </w:r>
    </w:p>
  </w:footnote>
  <w:footnote w:type="continuationSeparator" w:id="0">
    <w:p w:rsidR="00D4056A" w:rsidRDefault="00D4056A" w:rsidP="0011702A">
      <w:r>
        <w:continuationSeparator/>
      </w:r>
    </w:p>
  </w:footnote>
  <w:footnote w:id="1">
    <w:p w:rsidR="00F8067A" w:rsidRPr="00814FEE" w:rsidRDefault="00F8067A" w:rsidP="00F8067A">
      <w:pPr>
        <w:pStyle w:val="FootnoteText"/>
        <w:ind w:left="284" w:hanging="284"/>
        <w:rPr>
          <w:sz w:val="16"/>
          <w:szCs w:val="16"/>
        </w:rPr>
      </w:pPr>
      <w:r w:rsidRPr="00814FEE">
        <w:rPr>
          <w:rStyle w:val="FootnoteReference"/>
          <w:sz w:val="16"/>
          <w:szCs w:val="16"/>
        </w:rPr>
        <w:footnoteRef/>
      </w:r>
      <w:r w:rsidRPr="00814FEE">
        <w:rPr>
          <w:sz w:val="16"/>
          <w:szCs w:val="16"/>
        </w:rPr>
        <w:t xml:space="preserve"> </w:t>
      </w:r>
      <w:r w:rsidRPr="00814FEE">
        <w:rPr>
          <w:sz w:val="16"/>
          <w:szCs w:val="16"/>
        </w:rPr>
        <w:tab/>
        <w:t>Von der UN-ECE in Englisch, Französisch und Russisch unter dem Aktenzeichen ECE/TRANS/WP.15/AC.2/2018/</w:t>
      </w:r>
      <w:r w:rsidR="00AE33F4" w:rsidRPr="00814FEE">
        <w:rPr>
          <w:sz w:val="16"/>
          <w:szCs w:val="16"/>
        </w:rPr>
        <w:t>4</w:t>
      </w:r>
      <w:r w:rsidRPr="00814FEE">
        <w:rPr>
          <w:sz w:val="16"/>
          <w:szCs w:val="16"/>
        </w:rPr>
        <w:t xml:space="preserve"> verteilt.</w:t>
      </w:r>
    </w:p>
  </w:footnote>
  <w:footnote w:id="2">
    <w:p w:rsidR="00F8067A" w:rsidRPr="00F8067A" w:rsidRDefault="00F8067A" w:rsidP="00F8067A">
      <w:pPr>
        <w:pStyle w:val="FootnoteText"/>
        <w:tabs>
          <w:tab w:val="left" w:pos="284"/>
        </w:tabs>
        <w:ind w:left="284" w:hanging="284"/>
        <w:rPr>
          <w:sz w:val="16"/>
          <w:szCs w:val="16"/>
        </w:rPr>
      </w:pPr>
      <w:r w:rsidRPr="00814FEE">
        <w:rPr>
          <w:rStyle w:val="FootnoteReference"/>
          <w:sz w:val="16"/>
          <w:szCs w:val="16"/>
        </w:rPr>
        <w:footnoteRef/>
      </w:r>
      <w:r w:rsidRPr="00814FEE">
        <w:rPr>
          <w:sz w:val="16"/>
          <w:szCs w:val="16"/>
        </w:rPr>
        <w:t xml:space="preserve"> </w:t>
      </w:r>
      <w:r w:rsidRPr="00814FEE">
        <w:rPr>
          <w:sz w:val="16"/>
          <w:szCs w:val="16"/>
        </w:rPr>
        <w:tab/>
      </w:r>
      <w:r w:rsidR="009D2885" w:rsidRPr="00814FEE">
        <w:rPr>
          <w:sz w:val="16"/>
          <w:szCs w:val="16"/>
        </w:rPr>
        <w:t>Entsprechend dem Arbeitsprogramm des Binnenverkehrsausschusses für 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11545F" w:rsidRPr="00F8067A">
      <w:rPr>
        <w:rFonts w:ascii="Arial" w:hAnsi="Arial"/>
        <w:snapToGrid w:val="0"/>
        <w:sz w:val="16"/>
        <w:szCs w:val="16"/>
        <w:lang w:val="en-US"/>
      </w:rPr>
      <w:t>2018</w:t>
    </w:r>
    <w:r w:rsidRPr="00F8067A">
      <w:rPr>
        <w:rFonts w:ascii="Arial" w:hAnsi="Arial"/>
        <w:snapToGrid w:val="0"/>
        <w:sz w:val="16"/>
        <w:szCs w:val="16"/>
        <w:lang w:val="en-US"/>
      </w:rPr>
      <w:t>/</w:t>
    </w:r>
    <w:r w:rsidR="00AE33F4">
      <w:rPr>
        <w:rFonts w:ascii="Arial" w:hAnsi="Arial"/>
        <w:snapToGrid w:val="0"/>
        <w:sz w:val="16"/>
        <w:szCs w:val="16"/>
        <w:lang w:val="en-US"/>
      </w:rPr>
      <w:t>4</w:t>
    </w:r>
  </w:p>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C23654">
      <w:rPr>
        <w:rFonts w:ascii="Arial" w:hAnsi="Arial"/>
        <w:noProof/>
        <w:snapToGrid w:val="0"/>
        <w:sz w:val="16"/>
        <w:szCs w:val="16"/>
      </w:rPr>
      <w:t>2</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B9072B" w:rsidRPr="00F8067A">
      <w:rPr>
        <w:rFonts w:ascii="Arial" w:hAnsi="Arial"/>
        <w:snapToGrid w:val="0"/>
        <w:sz w:val="16"/>
        <w:szCs w:val="16"/>
        <w:lang w:val="en-US"/>
      </w:rPr>
      <w:t>2018/</w:t>
    </w:r>
    <w:r w:rsidR="00AE33F4">
      <w:rPr>
        <w:rFonts w:ascii="Arial" w:hAnsi="Arial"/>
        <w:snapToGrid w:val="0"/>
        <w:sz w:val="16"/>
        <w:szCs w:val="16"/>
        <w:lang w:val="en-US"/>
      </w:rPr>
      <w:t>4</w:t>
    </w:r>
  </w:p>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C23654">
      <w:rPr>
        <w:rFonts w:ascii="Arial" w:hAnsi="Arial"/>
        <w:noProof/>
        <w:snapToGrid w:val="0"/>
        <w:sz w:val="16"/>
        <w:szCs w:val="16"/>
      </w:rPr>
      <w:t>3</w:t>
    </w:r>
    <w:r w:rsidRPr="00F8067A">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C8" w:rsidRDefault="0083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7E84"/>
    <w:rsid w:val="00052E7E"/>
    <w:rsid w:val="000563D5"/>
    <w:rsid w:val="00056B10"/>
    <w:rsid w:val="000625E5"/>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4F98"/>
    <w:rsid w:val="000D5D27"/>
    <w:rsid w:val="000D74F9"/>
    <w:rsid w:val="000D7FD6"/>
    <w:rsid w:val="000E4620"/>
    <w:rsid w:val="000E4CDE"/>
    <w:rsid w:val="000E6786"/>
    <w:rsid w:val="000E67AB"/>
    <w:rsid w:val="000F6242"/>
    <w:rsid w:val="000F79E4"/>
    <w:rsid w:val="001013D7"/>
    <w:rsid w:val="00106FC3"/>
    <w:rsid w:val="00113A60"/>
    <w:rsid w:val="00114102"/>
    <w:rsid w:val="0011545F"/>
    <w:rsid w:val="0011702A"/>
    <w:rsid w:val="0012236C"/>
    <w:rsid w:val="00124B75"/>
    <w:rsid w:val="00126AA9"/>
    <w:rsid w:val="00131CD7"/>
    <w:rsid w:val="0013626E"/>
    <w:rsid w:val="00143354"/>
    <w:rsid w:val="00144FA5"/>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133B"/>
    <w:rsid w:val="001E4D07"/>
    <w:rsid w:val="001F6ABC"/>
    <w:rsid w:val="0020240A"/>
    <w:rsid w:val="00202E6D"/>
    <w:rsid w:val="0020431D"/>
    <w:rsid w:val="00205465"/>
    <w:rsid w:val="002132D2"/>
    <w:rsid w:val="002234A9"/>
    <w:rsid w:val="00223DF9"/>
    <w:rsid w:val="0023288F"/>
    <w:rsid w:val="00234D80"/>
    <w:rsid w:val="00235B56"/>
    <w:rsid w:val="00240203"/>
    <w:rsid w:val="002431F2"/>
    <w:rsid w:val="002473E1"/>
    <w:rsid w:val="00250FDB"/>
    <w:rsid w:val="00255192"/>
    <w:rsid w:val="00257C39"/>
    <w:rsid w:val="0027414F"/>
    <w:rsid w:val="00283323"/>
    <w:rsid w:val="00291CB3"/>
    <w:rsid w:val="002A337E"/>
    <w:rsid w:val="002A53A6"/>
    <w:rsid w:val="002C0469"/>
    <w:rsid w:val="002D1BFB"/>
    <w:rsid w:val="002E3745"/>
    <w:rsid w:val="002E6A16"/>
    <w:rsid w:val="002E7227"/>
    <w:rsid w:val="002F4FC6"/>
    <w:rsid w:val="00300790"/>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0934"/>
    <w:rsid w:val="003931FE"/>
    <w:rsid w:val="00394699"/>
    <w:rsid w:val="00397E52"/>
    <w:rsid w:val="003A2337"/>
    <w:rsid w:val="003B0DF4"/>
    <w:rsid w:val="003B23DA"/>
    <w:rsid w:val="003C61C4"/>
    <w:rsid w:val="003D0FA5"/>
    <w:rsid w:val="003D3605"/>
    <w:rsid w:val="003E6E61"/>
    <w:rsid w:val="00400ADD"/>
    <w:rsid w:val="00401179"/>
    <w:rsid w:val="00406965"/>
    <w:rsid w:val="00410285"/>
    <w:rsid w:val="004176F9"/>
    <w:rsid w:val="00427609"/>
    <w:rsid w:val="00427804"/>
    <w:rsid w:val="00430CD0"/>
    <w:rsid w:val="00432779"/>
    <w:rsid w:val="00432E08"/>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C5D30"/>
    <w:rsid w:val="004D4CA5"/>
    <w:rsid w:val="004D4E53"/>
    <w:rsid w:val="004E622A"/>
    <w:rsid w:val="004F3058"/>
    <w:rsid w:val="004F4DE3"/>
    <w:rsid w:val="004F5608"/>
    <w:rsid w:val="0051476B"/>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3E26"/>
    <w:rsid w:val="00595C5C"/>
    <w:rsid w:val="00596953"/>
    <w:rsid w:val="005A1A44"/>
    <w:rsid w:val="005A5B6A"/>
    <w:rsid w:val="005B6280"/>
    <w:rsid w:val="005C1940"/>
    <w:rsid w:val="005C45CF"/>
    <w:rsid w:val="005C558D"/>
    <w:rsid w:val="005C7246"/>
    <w:rsid w:val="005C7902"/>
    <w:rsid w:val="005D3B31"/>
    <w:rsid w:val="005E1804"/>
    <w:rsid w:val="005E5104"/>
    <w:rsid w:val="005E5EF7"/>
    <w:rsid w:val="005F26AD"/>
    <w:rsid w:val="005F58DF"/>
    <w:rsid w:val="0060269E"/>
    <w:rsid w:val="006047AC"/>
    <w:rsid w:val="00607B11"/>
    <w:rsid w:val="006111A3"/>
    <w:rsid w:val="00611C20"/>
    <w:rsid w:val="0061668A"/>
    <w:rsid w:val="00620982"/>
    <w:rsid w:val="006256AF"/>
    <w:rsid w:val="00626C86"/>
    <w:rsid w:val="00630422"/>
    <w:rsid w:val="006373FA"/>
    <w:rsid w:val="00642215"/>
    <w:rsid w:val="00643AEA"/>
    <w:rsid w:val="00651386"/>
    <w:rsid w:val="00661FED"/>
    <w:rsid w:val="0066312D"/>
    <w:rsid w:val="00666284"/>
    <w:rsid w:val="00670028"/>
    <w:rsid w:val="00690A5F"/>
    <w:rsid w:val="0069164E"/>
    <w:rsid w:val="006924C5"/>
    <w:rsid w:val="006970A1"/>
    <w:rsid w:val="006A0959"/>
    <w:rsid w:val="006A507B"/>
    <w:rsid w:val="006A73AD"/>
    <w:rsid w:val="006A7F94"/>
    <w:rsid w:val="006B57B7"/>
    <w:rsid w:val="006B6FC7"/>
    <w:rsid w:val="006B7C55"/>
    <w:rsid w:val="006D1972"/>
    <w:rsid w:val="006D78CA"/>
    <w:rsid w:val="006E498C"/>
    <w:rsid w:val="006F3C42"/>
    <w:rsid w:val="00702BE6"/>
    <w:rsid w:val="00706883"/>
    <w:rsid w:val="007225A1"/>
    <w:rsid w:val="00742BD3"/>
    <w:rsid w:val="00751575"/>
    <w:rsid w:val="00754516"/>
    <w:rsid w:val="0075583E"/>
    <w:rsid w:val="00760FB2"/>
    <w:rsid w:val="007652AB"/>
    <w:rsid w:val="007705CB"/>
    <w:rsid w:val="00773B7E"/>
    <w:rsid w:val="0079124E"/>
    <w:rsid w:val="00792E94"/>
    <w:rsid w:val="007A19A7"/>
    <w:rsid w:val="007A584D"/>
    <w:rsid w:val="007B5D5A"/>
    <w:rsid w:val="007C1AA7"/>
    <w:rsid w:val="007C5305"/>
    <w:rsid w:val="007D1EF9"/>
    <w:rsid w:val="007D2FA0"/>
    <w:rsid w:val="007D6265"/>
    <w:rsid w:val="007D7EEA"/>
    <w:rsid w:val="007E7F2A"/>
    <w:rsid w:val="00805AEB"/>
    <w:rsid w:val="00810504"/>
    <w:rsid w:val="0081450F"/>
    <w:rsid w:val="00814FEE"/>
    <w:rsid w:val="00822E04"/>
    <w:rsid w:val="00826787"/>
    <w:rsid w:val="00834438"/>
    <w:rsid w:val="00835551"/>
    <w:rsid w:val="008355C8"/>
    <w:rsid w:val="00837FB8"/>
    <w:rsid w:val="00841328"/>
    <w:rsid w:val="00852BEF"/>
    <w:rsid w:val="00854209"/>
    <w:rsid w:val="0085713F"/>
    <w:rsid w:val="0086477D"/>
    <w:rsid w:val="00867A37"/>
    <w:rsid w:val="00876F50"/>
    <w:rsid w:val="00894221"/>
    <w:rsid w:val="00896081"/>
    <w:rsid w:val="008967B7"/>
    <w:rsid w:val="008A0EB3"/>
    <w:rsid w:val="008A1D67"/>
    <w:rsid w:val="008B3106"/>
    <w:rsid w:val="008B5544"/>
    <w:rsid w:val="008B7C4B"/>
    <w:rsid w:val="008D3CEC"/>
    <w:rsid w:val="008E6B36"/>
    <w:rsid w:val="008E6E54"/>
    <w:rsid w:val="008F4B57"/>
    <w:rsid w:val="00903D48"/>
    <w:rsid w:val="0090748A"/>
    <w:rsid w:val="00912A46"/>
    <w:rsid w:val="009422FA"/>
    <w:rsid w:val="0094733D"/>
    <w:rsid w:val="00953866"/>
    <w:rsid w:val="00962147"/>
    <w:rsid w:val="00962E31"/>
    <w:rsid w:val="00965DC5"/>
    <w:rsid w:val="00966C68"/>
    <w:rsid w:val="00966CE6"/>
    <w:rsid w:val="009733A6"/>
    <w:rsid w:val="00975B09"/>
    <w:rsid w:val="009771C0"/>
    <w:rsid w:val="009777E8"/>
    <w:rsid w:val="0098158C"/>
    <w:rsid w:val="00981925"/>
    <w:rsid w:val="00982F17"/>
    <w:rsid w:val="00987075"/>
    <w:rsid w:val="0099031A"/>
    <w:rsid w:val="00991BA0"/>
    <w:rsid w:val="009A2C98"/>
    <w:rsid w:val="009A4FC8"/>
    <w:rsid w:val="009C79C4"/>
    <w:rsid w:val="009D0940"/>
    <w:rsid w:val="009D2885"/>
    <w:rsid w:val="009E281C"/>
    <w:rsid w:val="009E3EBD"/>
    <w:rsid w:val="009E795B"/>
    <w:rsid w:val="009F0973"/>
    <w:rsid w:val="009F2DD9"/>
    <w:rsid w:val="00A005D6"/>
    <w:rsid w:val="00A04A9E"/>
    <w:rsid w:val="00A0723D"/>
    <w:rsid w:val="00A1389E"/>
    <w:rsid w:val="00A17F67"/>
    <w:rsid w:val="00A21A7D"/>
    <w:rsid w:val="00A2580D"/>
    <w:rsid w:val="00A2645D"/>
    <w:rsid w:val="00A27409"/>
    <w:rsid w:val="00A410D7"/>
    <w:rsid w:val="00A44AF1"/>
    <w:rsid w:val="00A57CE8"/>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3059"/>
    <w:rsid w:val="00AD14D7"/>
    <w:rsid w:val="00AD59A0"/>
    <w:rsid w:val="00AD68F2"/>
    <w:rsid w:val="00AD69C2"/>
    <w:rsid w:val="00AE32E7"/>
    <w:rsid w:val="00AE33F4"/>
    <w:rsid w:val="00AE50D2"/>
    <w:rsid w:val="00AE73A7"/>
    <w:rsid w:val="00AE7E9E"/>
    <w:rsid w:val="00AF7C57"/>
    <w:rsid w:val="00AF7DC9"/>
    <w:rsid w:val="00B02145"/>
    <w:rsid w:val="00B041A6"/>
    <w:rsid w:val="00B12922"/>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C224B"/>
    <w:rsid w:val="00BD6076"/>
    <w:rsid w:val="00BD7109"/>
    <w:rsid w:val="00BD77CE"/>
    <w:rsid w:val="00BF6A72"/>
    <w:rsid w:val="00BF7D16"/>
    <w:rsid w:val="00C01D3D"/>
    <w:rsid w:val="00C03ED4"/>
    <w:rsid w:val="00C04C77"/>
    <w:rsid w:val="00C05CED"/>
    <w:rsid w:val="00C1260A"/>
    <w:rsid w:val="00C161A1"/>
    <w:rsid w:val="00C16233"/>
    <w:rsid w:val="00C23654"/>
    <w:rsid w:val="00C24FA8"/>
    <w:rsid w:val="00C27690"/>
    <w:rsid w:val="00C32E06"/>
    <w:rsid w:val="00C4703A"/>
    <w:rsid w:val="00C509C1"/>
    <w:rsid w:val="00C532C5"/>
    <w:rsid w:val="00C64A71"/>
    <w:rsid w:val="00C7003A"/>
    <w:rsid w:val="00C72A39"/>
    <w:rsid w:val="00C75E20"/>
    <w:rsid w:val="00C8138A"/>
    <w:rsid w:val="00C82985"/>
    <w:rsid w:val="00C84D0A"/>
    <w:rsid w:val="00C90787"/>
    <w:rsid w:val="00C93A09"/>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320C"/>
    <w:rsid w:val="00D64560"/>
    <w:rsid w:val="00D65991"/>
    <w:rsid w:val="00D7150D"/>
    <w:rsid w:val="00D80CB1"/>
    <w:rsid w:val="00D8467E"/>
    <w:rsid w:val="00D92E0F"/>
    <w:rsid w:val="00D94CED"/>
    <w:rsid w:val="00D97C9F"/>
    <w:rsid w:val="00DA1F54"/>
    <w:rsid w:val="00DA28E2"/>
    <w:rsid w:val="00DA312C"/>
    <w:rsid w:val="00DA3AF6"/>
    <w:rsid w:val="00DA54C3"/>
    <w:rsid w:val="00DB57E7"/>
    <w:rsid w:val="00DB6161"/>
    <w:rsid w:val="00DC66D9"/>
    <w:rsid w:val="00DE6B44"/>
    <w:rsid w:val="00DF03F9"/>
    <w:rsid w:val="00DF426C"/>
    <w:rsid w:val="00E0438E"/>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770E"/>
    <w:rsid w:val="00E93323"/>
    <w:rsid w:val="00E93819"/>
    <w:rsid w:val="00EA0422"/>
    <w:rsid w:val="00EA2C25"/>
    <w:rsid w:val="00EA7A70"/>
    <w:rsid w:val="00EB4ADF"/>
    <w:rsid w:val="00EB4D3D"/>
    <w:rsid w:val="00EC5B0D"/>
    <w:rsid w:val="00ED49D7"/>
    <w:rsid w:val="00ED557F"/>
    <w:rsid w:val="00EE4226"/>
    <w:rsid w:val="00EE457F"/>
    <w:rsid w:val="00EE5CAB"/>
    <w:rsid w:val="00EF00ED"/>
    <w:rsid w:val="00EF022A"/>
    <w:rsid w:val="00EF1E60"/>
    <w:rsid w:val="00EF7231"/>
    <w:rsid w:val="00F04331"/>
    <w:rsid w:val="00F07812"/>
    <w:rsid w:val="00F10D47"/>
    <w:rsid w:val="00F12E99"/>
    <w:rsid w:val="00F265D6"/>
    <w:rsid w:val="00F31FEF"/>
    <w:rsid w:val="00F330E1"/>
    <w:rsid w:val="00F42DC0"/>
    <w:rsid w:val="00F4792F"/>
    <w:rsid w:val="00F524CA"/>
    <w:rsid w:val="00F52E19"/>
    <w:rsid w:val="00F53223"/>
    <w:rsid w:val="00F54B5E"/>
    <w:rsid w:val="00F55DD3"/>
    <w:rsid w:val="00F607DC"/>
    <w:rsid w:val="00F64C6F"/>
    <w:rsid w:val="00F64FD3"/>
    <w:rsid w:val="00F70B1D"/>
    <w:rsid w:val="00F70D98"/>
    <w:rsid w:val="00F736DE"/>
    <w:rsid w:val="00F73A99"/>
    <w:rsid w:val="00F74646"/>
    <w:rsid w:val="00F801E0"/>
    <w:rsid w:val="00F8067A"/>
    <w:rsid w:val="00F8608C"/>
    <w:rsid w:val="00F87B83"/>
    <w:rsid w:val="00F9235F"/>
    <w:rsid w:val="00F92AB9"/>
    <w:rsid w:val="00F92BF9"/>
    <w:rsid w:val="00F93402"/>
    <w:rsid w:val="00FA532B"/>
    <w:rsid w:val="00FA712F"/>
    <w:rsid w:val="00FA7DE6"/>
    <w:rsid w:val="00FB264C"/>
    <w:rsid w:val="00FB305A"/>
    <w:rsid w:val="00FC032F"/>
    <w:rsid w:val="00FC2D7D"/>
    <w:rsid w:val="00FC5E77"/>
    <w:rsid w:val="00FD17D7"/>
    <w:rsid w:val="00FD3DEA"/>
    <w:rsid w:val="00FD4BC8"/>
    <w:rsid w:val="00FE1233"/>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5:docId w15:val="{6A0E3717-FE90-42E8-86A6-6C46CA7E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80A5-B300-4B21-B75F-39CAE49B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2017-11-17T07:51:00Z</cp:lastPrinted>
  <dcterms:created xsi:type="dcterms:W3CDTF">2017-11-17T12:33:00Z</dcterms:created>
  <dcterms:modified xsi:type="dcterms:W3CDTF">2017-11-17T12:33:00Z</dcterms:modified>
</cp:coreProperties>
</file>