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F0" w:rsidRPr="00BE68B7" w:rsidRDefault="00E15DF0" w:rsidP="00E15DF0">
      <w:pPr>
        <w:suppressAutoHyphens w:val="0"/>
        <w:spacing w:line="240" w:lineRule="auto"/>
        <w:ind w:left="5387" w:right="-286"/>
        <w:outlineLvl w:val="0"/>
        <w:rPr>
          <w:rFonts w:ascii="Arial" w:hAnsi="Arial"/>
          <w:lang w:val="en-US" w:bidi="fr-FR"/>
        </w:rPr>
      </w:pPr>
      <w:bookmarkStart w:id="0" w:name="_GoBack"/>
      <w:bookmarkEnd w:id="0"/>
      <w:r w:rsidRPr="002E0EE4">
        <w:rPr>
          <w:noProof/>
          <w:snapToGrid/>
          <w:lang w:eastAsia="en-GB"/>
        </w:rPr>
        <w:drawing>
          <wp:anchor distT="0" distB="0" distL="114300" distR="114300" simplePos="0" relativeHeight="251661312" behindDoc="0" locked="0" layoutInCell="1" allowOverlap="1" wp14:anchorId="7D24BE11" wp14:editId="059C832C">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5A7">
        <w:rPr>
          <w:rFonts w:ascii="Arial" w:eastAsia="Arial" w:hAnsi="Arial" w:cs="Arial"/>
          <w:bCs/>
          <w:snapToGrid/>
          <w:szCs w:val="24"/>
          <w:lang w:val="en-US" w:eastAsia="de-DE"/>
        </w:rPr>
        <w:t>CCNR-ZKR/ADN/WP.15/AC.2/2017</w:t>
      </w:r>
      <w:r w:rsidRPr="00BE68B7">
        <w:rPr>
          <w:rFonts w:ascii="Arial" w:eastAsia="Arial" w:hAnsi="Arial" w:cs="Arial"/>
          <w:bCs/>
          <w:snapToGrid/>
          <w:szCs w:val="24"/>
          <w:lang w:val="en-US" w:eastAsia="de-DE"/>
        </w:rPr>
        <w:t>/</w:t>
      </w:r>
      <w:r w:rsidR="008F0966">
        <w:rPr>
          <w:rFonts w:ascii="Arial" w:eastAsia="Arial" w:hAnsi="Arial" w:cs="Arial"/>
          <w:bCs/>
          <w:snapToGrid/>
          <w:szCs w:val="24"/>
          <w:lang w:val="en-US" w:eastAsia="de-DE"/>
        </w:rPr>
        <w:t>26</w:t>
      </w:r>
    </w:p>
    <w:p w:rsidR="00E15DF0" w:rsidRPr="002E0EE4" w:rsidRDefault="00E15DF0" w:rsidP="00E15DF0">
      <w:pPr>
        <w:tabs>
          <w:tab w:val="left" w:pos="5670"/>
        </w:tabs>
        <w:suppressAutoHyphens w:val="0"/>
        <w:spacing w:line="240" w:lineRule="auto"/>
        <w:ind w:left="5387"/>
        <w:rPr>
          <w:rFonts w:ascii="Arial" w:hAnsi="Arial" w:cs="Arial"/>
          <w:snapToGrid/>
          <w:sz w:val="16"/>
          <w:szCs w:val="24"/>
          <w:lang w:val="de-DE" w:eastAsia="de-DE"/>
        </w:rPr>
      </w:pPr>
      <w:r w:rsidRPr="002E0EE4">
        <w:rPr>
          <w:rFonts w:ascii="Arial" w:hAnsi="Arial" w:cs="Arial"/>
          <w:snapToGrid/>
          <w:sz w:val="16"/>
          <w:szCs w:val="24"/>
          <w:lang w:val="de-DE" w:eastAsia="de-DE"/>
        </w:rPr>
        <w:t>Allgemeine Verteilung</w:t>
      </w:r>
    </w:p>
    <w:p w:rsidR="00E15DF0" w:rsidRPr="002E0EE4" w:rsidRDefault="008F0966" w:rsidP="00E15DF0">
      <w:pPr>
        <w:tabs>
          <w:tab w:val="right" w:pos="3856"/>
          <w:tab w:val="left" w:pos="5670"/>
        </w:tabs>
        <w:suppressAutoHyphens w:val="0"/>
        <w:spacing w:line="240" w:lineRule="auto"/>
        <w:ind w:left="5387"/>
        <w:rPr>
          <w:rFonts w:ascii="Arial" w:eastAsia="Arial" w:hAnsi="Arial" w:cs="Arial"/>
          <w:snapToGrid/>
          <w:szCs w:val="24"/>
          <w:lang w:val="de-DE" w:eastAsia="de-DE"/>
        </w:rPr>
      </w:pPr>
      <w:r>
        <w:rPr>
          <w:rFonts w:ascii="Arial" w:eastAsia="Arial" w:hAnsi="Arial" w:cs="Arial"/>
          <w:snapToGrid/>
          <w:szCs w:val="24"/>
          <w:lang w:val="de-DE" w:eastAsia="de-DE"/>
        </w:rPr>
        <w:t>24</w:t>
      </w:r>
      <w:r w:rsidR="009725A7">
        <w:rPr>
          <w:rFonts w:ascii="Arial" w:eastAsia="Arial" w:hAnsi="Arial" w:cs="Arial"/>
          <w:snapToGrid/>
          <w:szCs w:val="24"/>
          <w:lang w:val="de-DE" w:eastAsia="de-DE"/>
        </w:rPr>
        <w:t xml:space="preserve">. </w:t>
      </w:r>
      <w:r w:rsidR="003317E7">
        <w:rPr>
          <w:rFonts w:ascii="Arial" w:eastAsia="Arial" w:hAnsi="Arial" w:cs="Arial"/>
          <w:snapToGrid/>
          <w:szCs w:val="24"/>
          <w:lang w:val="de-DE" w:eastAsia="de-DE"/>
        </w:rPr>
        <w:t>M</w:t>
      </w:r>
      <w:r w:rsidR="004B23AD">
        <w:rPr>
          <w:rFonts w:ascii="Arial" w:eastAsia="Arial" w:hAnsi="Arial" w:cs="Arial"/>
          <w:snapToGrid/>
          <w:szCs w:val="24"/>
          <w:lang w:val="de-DE" w:eastAsia="de-DE"/>
        </w:rPr>
        <w:t>ai</w:t>
      </w:r>
      <w:r w:rsidR="00E15DF0" w:rsidRPr="002E0EE4">
        <w:rPr>
          <w:rFonts w:ascii="Arial" w:eastAsia="Arial" w:hAnsi="Arial" w:cs="Arial"/>
          <w:snapToGrid/>
          <w:szCs w:val="24"/>
          <w:lang w:val="de-DE" w:eastAsia="de-DE"/>
        </w:rPr>
        <w:t xml:space="preserve"> 201</w:t>
      </w:r>
      <w:r w:rsidR="003317E7">
        <w:rPr>
          <w:rFonts w:ascii="Arial" w:eastAsia="Arial" w:hAnsi="Arial" w:cs="Arial"/>
          <w:snapToGrid/>
          <w:szCs w:val="24"/>
          <w:lang w:val="de-DE" w:eastAsia="de-DE"/>
        </w:rPr>
        <w:t>7</w:t>
      </w:r>
    </w:p>
    <w:p w:rsidR="00E15DF0" w:rsidRPr="002E0EE4" w:rsidRDefault="00E15DF0" w:rsidP="00E15DF0">
      <w:pPr>
        <w:tabs>
          <w:tab w:val="right" w:pos="3856"/>
          <w:tab w:val="left" w:pos="5670"/>
        </w:tabs>
        <w:suppressAutoHyphens w:val="0"/>
        <w:spacing w:line="240" w:lineRule="auto"/>
        <w:ind w:left="5387" w:right="565"/>
        <w:rPr>
          <w:rFonts w:ascii="Arial" w:hAnsi="Arial" w:cs="Arial"/>
          <w:kern w:val="1"/>
          <w:lang w:val="de-DE" w:eastAsia="de-DE"/>
        </w:rPr>
      </w:pPr>
      <w:proofErr w:type="spellStart"/>
      <w:r w:rsidRPr="002E0EE4">
        <w:rPr>
          <w:rFonts w:ascii="Arial" w:eastAsia="Arial" w:hAnsi="Arial" w:cs="Arial"/>
          <w:snapToGrid/>
          <w:sz w:val="16"/>
          <w:szCs w:val="24"/>
          <w:lang w:val="de-DE" w:eastAsia="de-DE"/>
        </w:rPr>
        <w:t>Or</w:t>
      </w:r>
      <w:proofErr w:type="spellEnd"/>
      <w:r w:rsidRPr="002E0EE4">
        <w:rPr>
          <w:rFonts w:ascii="Arial" w:eastAsia="Arial" w:hAnsi="Arial" w:cs="Arial"/>
          <w:snapToGrid/>
          <w:sz w:val="16"/>
          <w:szCs w:val="24"/>
          <w:lang w:val="de-DE" w:eastAsia="de-DE"/>
        </w:rPr>
        <w:t>. DEUTSCH</w:t>
      </w:r>
    </w:p>
    <w:p w:rsidR="00E15DF0" w:rsidRPr="002E0EE4" w:rsidRDefault="00E15DF0" w:rsidP="00E15DF0">
      <w:pPr>
        <w:suppressAutoHyphens w:val="0"/>
        <w:spacing w:line="240" w:lineRule="auto"/>
        <w:rPr>
          <w:rFonts w:ascii="Arial" w:hAnsi="Arial" w:cs="Arial"/>
          <w:snapToGrid/>
          <w:sz w:val="16"/>
          <w:szCs w:val="24"/>
          <w:lang w:val="de-DE" w:eastAsia="de-DE"/>
        </w:rPr>
      </w:pPr>
    </w:p>
    <w:p w:rsidR="00E15DF0" w:rsidRPr="002E0EE4" w:rsidRDefault="00E15DF0" w:rsidP="00E15DF0">
      <w:pPr>
        <w:suppressAutoHyphens w:val="0"/>
        <w:spacing w:line="240" w:lineRule="auto"/>
        <w:rPr>
          <w:rFonts w:ascii="Arial" w:hAnsi="Arial" w:cs="Arial"/>
          <w:snapToGrid/>
          <w:sz w:val="16"/>
          <w:szCs w:val="24"/>
          <w:lang w:val="de-DE" w:eastAsia="de-DE"/>
        </w:rPr>
      </w:pPr>
    </w:p>
    <w:p w:rsidR="00274B11" w:rsidRDefault="00274B11" w:rsidP="00E15DF0">
      <w:pPr>
        <w:tabs>
          <w:tab w:val="left" w:pos="2977"/>
        </w:tabs>
        <w:suppressAutoHyphens w:val="0"/>
        <w:spacing w:line="240" w:lineRule="auto"/>
        <w:ind w:left="3958"/>
        <w:rPr>
          <w:rFonts w:ascii="Arial" w:hAnsi="Arial"/>
          <w:noProof/>
          <w:sz w:val="16"/>
          <w:szCs w:val="24"/>
          <w:lang w:val="de-DE"/>
        </w:rPr>
      </w:pPr>
    </w:p>
    <w:p w:rsidR="00E15DF0" w:rsidRPr="002E0EE4" w:rsidRDefault="00E15DF0" w:rsidP="00E15DF0">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GEMEINSAME EXPERTENTAGUNG FÜR DIE DEM</w:t>
      </w:r>
    </w:p>
    <w:p w:rsidR="00E15DF0" w:rsidRPr="002E0EE4" w:rsidRDefault="00E15DF0" w:rsidP="00E15DF0">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ÜBEREINKOMMEN ÜBER DIE INTERNATIONALE BEFÖRDERUNG</w:t>
      </w:r>
    </w:p>
    <w:p w:rsidR="00E15DF0" w:rsidRPr="002E0EE4" w:rsidRDefault="00E15DF0" w:rsidP="00E15DF0">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VON GEFÄHRLICHEN GÜTERN AUF BINNENWASSERSTRASSEN</w:t>
      </w:r>
    </w:p>
    <w:p w:rsidR="00E15DF0" w:rsidRPr="002E0EE4" w:rsidRDefault="00E15DF0" w:rsidP="00E15DF0">
      <w:pPr>
        <w:tabs>
          <w:tab w:val="left" w:pos="2977"/>
        </w:tabs>
        <w:suppressAutoHyphens w:val="0"/>
        <w:spacing w:line="240" w:lineRule="auto"/>
        <w:ind w:left="3958"/>
        <w:rPr>
          <w:rFonts w:ascii="Arial" w:hAnsi="Arial"/>
          <w:position w:val="2"/>
          <w:sz w:val="16"/>
          <w:szCs w:val="24"/>
          <w:lang w:val="de-DE"/>
        </w:rPr>
      </w:pPr>
      <w:r w:rsidRPr="002E0EE4">
        <w:rPr>
          <w:rFonts w:ascii="Arial" w:hAnsi="Arial"/>
          <w:noProof/>
          <w:sz w:val="16"/>
          <w:szCs w:val="24"/>
          <w:lang w:val="de-DE"/>
        </w:rPr>
        <w:t>BEIGEFÜGTE VERORDNUNG (ADN)</w:t>
      </w:r>
    </w:p>
    <w:p w:rsidR="00E15DF0" w:rsidRPr="002E0EE4" w:rsidRDefault="00E15DF0" w:rsidP="00E15DF0">
      <w:pPr>
        <w:tabs>
          <w:tab w:val="left" w:pos="2977"/>
        </w:tabs>
        <w:suppressAutoHyphens w:val="0"/>
        <w:spacing w:line="240" w:lineRule="auto"/>
        <w:ind w:left="3958"/>
        <w:rPr>
          <w:rFonts w:ascii="Arial" w:hAnsi="Arial"/>
          <w:sz w:val="16"/>
          <w:szCs w:val="24"/>
          <w:lang w:val="de-DE"/>
        </w:rPr>
      </w:pPr>
      <w:r w:rsidRPr="002E0EE4">
        <w:rPr>
          <w:rFonts w:ascii="Arial" w:hAnsi="Arial"/>
          <w:noProof/>
          <w:position w:val="2"/>
          <w:sz w:val="16"/>
          <w:szCs w:val="24"/>
          <w:lang w:val="de-DE"/>
        </w:rPr>
        <w:t>(SICHERHEITSAUSSCHUSS)</w:t>
      </w:r>
    </w:p>
    <w:p w:rsidR="00E15DF0" w:rsidRPr="002E0EE4" w:rsidRDefault="00E15DF0" w:rsidP="00E15DF0">
      <w:pPr>
        <w:tabs>
          <w:tab w:val="left" w:pos="2977"/>
        </w:tabs>
        <w:suppressAutoHyphens w:val="0"/>
        <w:spacing w:line="240" w:lineRule="auto"/>
        <w:ind w:left="3960"/>
        <w:rPr>
          <w:rFonts w:ascii="Arial" w:hAnsi="Arial"/>
          <w:noProof/>
          <w:sz w:val="16"/>
          <w:szCs w:val="24"/>
          <w:lang w:val="de-DE"/>
        </w:rPr>
      </w:pPr>
      <w:r w:rsidRPr="002E0EE4">
        <w:rPr>
          <w:rFonts w:ascii="Arial" w:hAnsi="Arial"/>
          <w:sz w:val="16"/>
          <w:szCs w:val="24"/>
          <w:lang w:val="de-DE"/>
        </w:rPr>
        <w:t>(</w:t>
      </w:r>
      <w:r w:rsidR="000C41C9">
        <w:rPr>
          <w:rFonts w:ascii="Arial" w:hAnsi="Arial"/>
          <w:sz w:val="16"/>
          <w:szCs w:val="24"/>
          <w:lang w:val="de-DE"/>
        </w:rPr>
        <w:t>3</w:t>
      </w:r>
      <w:r w:rsidR="00E02CC8">
        <w:rPr>
          <w:rFonts w:ascii="Arial" w:hAnsi="Arial"/>
          <w:sz w:val="16"/>
          <w:szCs w:val="24"/>
          <w:lang w:val="de-DE"/>
        </w:rPr>
        <w:t>1</w:t>
      </w:r>
      <w:r w:rsidRPr="002E0EE4">
        <w:rPr>
          <w:rFonts w:ascii="Arial" w:hAnsi="Arial"/>
          <w:sz w:val="16"/>
          <w:szCs w:val="24"/>
          <w:lang w:val="de-DE"/>
        </w:rPr>
        <w:t xml:space="preserve">. </w:t>
      </w:r>
      <w:r w:rsidRPr="002E0EE4">
        <w:rPr>
          <w:rFonts w:ascii="Arial" w:hAnsi="Arial"/>
          <w:noProof/>
          <w:sz w:val="16"/>
          <w:szCs w:val="24"/>
          <w:lang w:val="de-DE"/>
        </w:rPr>
        <w:t xml:space="preserve">Tagung, Genf, </w:t>
      </w:r>
      <w:r w:rsidR="00372808" w:rsidRPr="00372808">
        <w:rPr>
          <w:rFonts w:ascii="Arial" w:hAnsi="Arial"/>
          <w:noProof/>
          <w:sz w:val="16"/>
          <w:szCs w:val="24"/>
          <w:lang w:val="de-DE"/>
        </w:rPr>
        <w:t>2</w:t>
      </w:r>
      <w:r w:rsidR="00EE4A3B">
        <w:rPr>
          <w:rFonts w:ascii="Arial" w:hAnsi="Arial"/>
          <w:noProof/>
          <w:sz w:val="16"/>
          <w:szCs w:val="24"/>
          <w:lang w:val="de-DE"/>
        </w:rPr>
        <w:t>8</w:t>
      </w:r>
      <w:r w:rsidR="00372808" w:rsidRPr="00372808">
        <w:rPr>
          <w:rFonts w:ascii="Arial" w:hAnsi="Arial"/>
          <w:noProof/>
          <w:sz w:val="16"/>
          <w:szCs w:val="24"/>
          <w:lang w:val="de-DE"/>
        </w:rPr>
        <w:t xml:space="preserve">. bis </w:t>
      </w:r>
      <w:r w:rsidR="00EE4A3B">
        <w:rPr>
          <w:rFonts w:ascii="Arial" w:hAnsi="Arial"/>
          <w:noProof/>
          <w:sz w:val="16"/>
          <w:szCs w:val="24"/>
          <w:lang w:val="de-DE"/>
        </w:rPr>
        <w:t>31</w:t>
      </w:r>
      <w:r w:rsidR="00372808" w:rsidRPr="00372808">
        <w:rPr>
          <w:rFonts w:ascii="Arial" w:hAnsi="Arial"/>
          <w:noProof/>
          <w:sz w:val="16"/>
          <w:szCs w:val="24"/>
          <w:lang w:val="de-DE"/>
        </w:rPr>
        <w:t xml:space="preserve">. </w:t>
      </w:r>
      <w:r w:rsidR="00EE4A3B">
        <w:rPr>
          <w:rFonts w:ascii="Arial" w:hAnsi="Arial"/>
          <w:noProof/>
          <w:sz w:val="16"/>
          <w:szCs w:val="24"/>
          <w:lang w:val="de-DE"/>
        </w:rPr>
        <w:t>August</w:t>
      </w:r>
      <w:r w:rsidR="00372808" w:rsidRPr="00372808">
        <w:rPr>
          <w:rFonts w:ascii="Arial" w:hAnsi="Arial"/>
          <w:noProof/>
          <w:sz w:val="16"/>
          <w:szCs w:val="24"/>
          <w:lang w:val="de-DE"/>
        </w:rPr>
        <w:t xml:space="preserve"> 2017</w:t>
      </w:r>
      <w:r w:rsidRPr="002E0EE4">
        <w:rPr>
          <w:rFonts w:ascii="Arial" w:hAnsi="Arial"/>
          <w:noProof/>
          <w:sz w:val="16"/>
          <w:szCs w:val="24"/>
          <w:lang w:val="de-DE"/>
        </w:rPr>
        <w:t>)</w:t>
      </w:r>
    </w:p>
    <w:p w:rsidR="00E15DF0" w:rsidRDefault="00E15DF0" w:rsidP="00E15DF0">
      <w:pPr>
        <w:tabs>
          <w:tab w:val="left" w:pos="2977"/>
        </w:tabs>
        <w:suppressAutoHyphens w:val="0"/>
        <w:spacing w:line="240" w:lineRule="auto"/>
        <w:ind w:left="3960"/>
        <w:rPr>
          <w:rFonts w:ascii="Arial" w:hAnsi="Arial" w:cs="Arial"/>
          <w:snapToGrid/>
          <w:sz w:val="16"/>
          <w:szCs w:val="16"/>
          <w:lang w:val="de-DE" w:eastAsia="en-US"/>
        </w:rPr>
      </w:pPr>
      <w:r w:rsidRPr="002E0EE4">
        <w:rPr>
          <w:rFonts w:ascii="Arial" w:hAnsi="Arial" w:cs="Arial"/>
          <w:snapToGrid/>
          <w:sz w:val="16"/>
          <w:szCs w:val="16"/>
          <w:lang w:val="de-DE" w:eastAsia="en-US"/>
        </w:rPr>
        <w:t xml:space="preserve">Punkt </w:t>
      </w:r>
      <w:r w:rsidR="008F0966">
        <w:rPr>
          <w:rFonts w:ascii="Arial" w:hAnsi="Arial" w:cs="Arial"/>
          <w:snapToGrid/>
          <w:sz w:val="16"/>
          <w:szCs w:val="16"/>
          <w:lang w:val="de-DE" w:eastAsia="en-US"/>
        </w:rPr>
        <w:t>4 b)</w:t>
      </w:r>
      <w:r w:rsidR="00372808">
        <w:rPr>
          <w:rFonts w:ascii="Arial" w:hAnsi="Arial" w:cs="Arial"/>
          <w:snapToGrid/>
          <w:sz w:val="16"/>
          <w:szCs w:val="16"/>
          <w:lang w:val="de-DE" w:eastAsia="en-US"/>
        </w:rPr>
        <w:t xml:space="preserve"> </w:t>
      </w:r>
      <w:r w:rsidRPr="002E0EE4">
        <w:rPr>
          <w:rFonts w:ascii="Arial" w:hAnsi="Arial" w:cs="Arial"/>
          <w:snapToGrid/>
          <w:sz w:val="16"/>
          <w:szCs w:val="16"/>
          <w:lang w:val="de-DE" w:eastAsia="en-US"/>
        </w:rPr>
        <w:t>zur vorläufigen Tagesordnung</w:t>
      </w:r>
    </w:p>
    <w:p w:rsidR="004805AE" w:rsidRPr="004805AE" w:rsidRDefault="004805AE" w:rsidP="004805AE">
      <w:pPr>
        <w:tabs>
          <w:tab w:val="left" w:pos="2977"/>
        </w:tabs>
        <w:suppressAutoHyphens w:val="0"/>
        <w:spacing w:line="240" w:lineRule="auto"/>
        <w:ind w:left="3969" w:right="-2"/>
        <w:rPr>
          <w:rFonts w:ascii="Arial" w:hAnsi="Arial" w:cs="Arial"/>
          <w:sz w:val="16"/>
          <w:szCs w:val="16"/>
          <w:lang w:val="de-DE"/>
        </w:rPr>
      </w:pPr>
      <w:r w:rsidRPr="004805AE">
        <w:rPr>
          <w:rFonts w:ascii="Arial" w:hAnsi="Arial" w:cs="Arial"/>
          <w:b/>
          <w:sz w:val="16"/>
          <w:szCs w:val="16"/>
          <w:lang w:val="de-DE"/>
        </w:rPr>
        <w:t>Vorschläge für Änderungen der dem ADN beigefügten Verordnung:</w:t>
      </w:r>
      <w:r w:rsidR="00274B11">
        <w:rPr>
          <w:rFonts w:ascii="Arial" w:hAnsi="Arial" w:cs="Arial"/>
          <w:b/>
          <w:sz w:val="16"/>
          <w:szCs w:val="16"/>
          <w:lang w:val="de-DE"/>
        </w:rPr>
        <w:t xml:space="preserve"> </w:t>
      </w:r>
      <w:r w:rsidRPr="004805AE">
        <w:rPr>
          <w:rFonts w:ascii="Arial" w:hAnsi="Arial" w:cs="Arial"/>
          <w:b/>
          <w:sz w:val="16"/>
          <w:szCs w:val="16"/>
          <w:lang w:val="de-DE"/>
        </w:rPr>
        <w:t>Weitere Änderungsvorschläge</w:t>
      </w:r>
    </w:p>
    <w:p w:rsidR="006C380B" w:rsidRDefault="006C380B" w:rsidP="009F0D42">
      <w:pPr>
        <w:widowControl w:val="0"/>
        <w:suppressAutoHyphens w:val="0"/>
        <w:overflowPunct w:val="0"/>
        <w:autoSpaceDE w:val="0"/>
        <w:autoSpaceDN w:val="0"/>
        <w:adjustRightInd w:val="0"/>
        <w:spacing w:line="240" w:lineRule="auto"/>
        <w:ind w:left="1134"/>
        <w:jc w:val="both"/>
        <w:textAlignment w:val="baseline"/>
        <w:rPr>
          <w:b/>
          <w:bCs/>
          <w:snapToGrid/>
          <w:sz w:val="28"/>
          <w:szCs w:val="24"/>
          <w:lang w:val="de-DE"/>
        </w:rPr>
      </w:pPr>
    </w:p>
    <w:p w:rsidR="00274B11" w:rsidRDefault="00274B11" w:rsidP="009F0D42">
      <w:pPr>
        <w:widowControl w:val="0"/>
        <w:suppressAutoHyphens w:val="0"/>
        <w:overflowPunct w:val="0"/>
        <w:autoSpaceDE w:val="0"/>
        <w:autoSpaceDN w:val="0"/>
        <w:adjustRightInd w:val="0"/>
        <w:spacing w:line="240" w:lineRule="auto"/>
        <w:ind w:left="1134"/>
        <w:jc w:val="both"/>
        <w:textAlignment w:val="baseline"/>
        <w:rPr>
          <w:b/>
          <w:bCs/>
          <w:snapToGrid/>
          <w:sz w:val="28"/>
          <w:szCs w:val="24"/>
          <w:lang w:val="de-DE"/>
        </w:rPr>
      </w:pPr>
    </w:p>
    <w:p w:rsidR="004B23AD" w:rsidRDefault="004B23AD" w:rsidP="009F0D42">
      <w:pPr>
        <w:widowControl w:val="0"/>
        <w:suppressAutoHyphens w:val="0"/>
        <w:overflowPunct w:val="0"/>
        <w:autoSpaceDE w:val="0"/>
        <w:autoSpaceDN w:val="0"/>
        <w:adjustRightInd w:val="0"/>
        <w:spacing w:line="240" w:lineRule="auto"/>
        <w:ind w:left="1134"/>
        <w:jc w:val="both"/>
        <w:textAlignment w:val="baseline"/>
        <w:rPr>
          <w:b/>
          <w:bCs/>
          <w:snapToGrid/>
          <w:sz w:val="28"/>
          <w:szCs w:val="24"/>
          <w:lang w:val="de-DE"/>
        </w:rPr>
      </w:pPr>
    </w:p>
    <w:p w:rsidR="004B23AD" w:rsidRPr="004B23AD" w:rsidRDefault="004B23AD" w:rsidP="004B23AD">
      <w:pPr>
        <w:widowControl w:val="0"/>
        <w:suppressAutoHyphens w:val="0"/>
        <w:overflowPunct w:val="0"/>
        <w:autoSpaceDE w:val="0"/>
        <w:autoSpaceDN w:val="0"/>
        <w:adjustRightInd w:val="0"/>
        <w:spacing w:line="240" w:lineRule="auto"/>
        <w:ind w:left="1134"/>
        <w:textAlignment w:val="baseline"/>
        <w:rPr>
          <w:b/>
          <w:bCs/>
          <w:snapToGrid/>
          <w:sz w:val="28"/>
          <w:szCs w:val="24"/>
          <w:lang w:val="de-DE"/>
        </w:rPr>
      </w:pPr>
      <w:r w:rsidRPr="004B23AD">
        <w:rPr>
          <w:b/>
          <w:bCs/>
          <w:snapToGrid/>
          <w:sz w:val="28"/>
          <w:szCs w:val="24"/>
          <w:lang w:val="de-DE"/>
        </w:rPr>
        <w:t>1.1.3.6.2 und 7.1.4.4.2 – Verwendung definierter Begriffe</w:t>
      </w:r>
    </w:p>
    <w:p w:rsidR="006C380B" w:rsidRPr="00D748D7" w:rsidRDefault="006C380B" w:rsidP="003317E7">
      <w:pPr>
        <w:widowControl w:val="0"/>
        <w:suppressAutoHyphens w:val="0"/>
        <w:overflowPunct w:val="0"/>
        <w:autoSpaceDE w:val="0"/>
        <w:autoSpaceDN w:val="0"/>
        <w:adjustRightInd w:val="0"/>
        <w:spacing w:line="240" w:lineRule="auto"/>
        <w:ind w:left="1134"/>
        <w:textAlignment w:val="baseline"/>
        <w:rPr>
          <w:b/>
          <w:bCs/>
          <w:snapToGrid/>
          <w:sz w:val="28"/>
          <w:szCs w:val="24"/>
          <w:lang w:val="de-DE"/>
        </w:rPr>
      </w:pPr>
    </w:p>
    <w:p w:rsidR="009F0D42" w:rsidRPr="006C380B" w:rsidRDefault="009F0D42" w:rsidP="006C380B">
      <w:pPr>
        <w:tabs>
          <w:tab w:val="right" w:pos="851"/>
        </w:tabs>
        <w:snapToGrid w:val="0"/>
        <w:spacing w:line="300" w:lineRule="exact"/>
        <w:ind w:left="1134" w:right="1134" w:hanging="1134"/>
        <w:jc w:val="both"/>
        <w:rPr>
          <w:b/>
          <w:snapToGrid/>
          <w:sz w:val="16"/>
          <w:szCs w:val="16"/>
          <w:lang w:val="de-DE"/>
        </w:rPr>
      </w:pPr>
      <w:r w:rsidRPr="004545E9">
        <w:rPr>
          <w:bCs/>
          <w:snapToGrid/>
          <w:sz w:val="28"/>
          <w:szCs w:val="24"/>
          <w:lang w:val="de-DE"/>
        </w:rPr>
        <w:tab/>
      </w:r>
      <w:r w:rsidRPr="004545E9">
        <w:rPr>
          <w:b/>
          <w:bCs/>
          <w:snapToGrid/>
          <w:sz w:val="28"/>
          <w:szCs w:val="24"/>
          <w:lang w:val="de-DE"/>
        </w:rPr>
        <w:tab/>
      </w:r>
      <w:r w:rsidR="00E15DF0" w:rsidRPr="006C380B">
        <w:rPr>
          <w:b/>
          <w:snapToGrid/>
          <w:sz w:val="24"/>
          <w:lang w:val="de-DE"/>
        </w:rPr>
        <w:t xml:space="preserve">Vorgelegt von </w:t>
      </w:r>
      <w:r w:rsidR="00E02CC8">
        <w:rPr>
          <w:b/>
          <w:snapToGrid/>
          <w:sz w:val="24"/>
          <w:lang w:val="de-DE"/>
        </w:rPr>
        <w:t>Österreich</w:t>
      </w:r>
      <w:r w:rsidR="00E15DF0" w:rsidRPr="004545E9">
        <w:rPr>
          <w:b/>
          <w:snapToGrid/>
          <w:sz w:val="16"/>
          <w:szCs w:val="16"/>
          <w:vertAlign w:val="superscript"/>
          <w:lang w:val="de-DE" w:eastAsia="en-US"/>
        </w:rPr>
        <w:footnoteReference w:id="2"/>
      </w:r>
      <w:r w:rsidR="004545E9" w:rsidRPr="006C380B">
        <w:rPr>
          <w:b/>
          <w:snapToGrid/>
          <w:sz w:val="16"/>
          <w:szCs w:val="16"/>
          <w:lang w:val="de-DE"/>
        </w:rPr>
        <w:t>,</w:t>
      </w:r>
      <w:r w:rsidR="004545E9" w:rsidRPr="004545E9">
        <w:rPr>
          <w:b/>
          <w:snapToGrid/>
          <w:sz w:val="16"/>
          <w:szCs w:val="16"/>
          <w:vertAlign w:val="superscript"/>
          <w:lang w:val="de-DE" w:eastAsia="en-US"/>
        </w:rPr>
        <w:footnoteReference w:id="3"/>
      </w:r>
    </w:p>
    <w:p w:rsidR="004B23AD" w:rsidRDefault="004B23AD" w:rsidP="004B23AD">
      <w:pPr>
        <w:suppressAutoHyphens w:val="0"/>
        <w:autoSpaceDE w:val="0"/>
        <w:autoSpaceDN w:val="0"/>
        <w:adjustRightInd w:val="0"/>
        <w:spacing w:line="240" w:lineRule="auto"/>
        <w:jc w:val="both"/>
        <w:rPr>
          <w:bCs/>
          <w:snapToGrid/>
          <w:lang w:val="de-DE" w:eastAsia="de-DE"/>
        </w:rPr>
      </w:pPr>
    </w:p>
    <w:p w:rsidR="004B23AD" w:rsidRPr="004B23AD" w:rsidRDefault="004B23AD" w:rsidP="004B23AD">
      <w:pPr>
        <w:suppressAutoHyphens w:val="0"/>
        <w:autoSpaceDE w:val="0"/>
        <w:autoSpaceDN w:val="0"/>
        <w:adjustRightInd w:val="0"/>
        <w:spacing w:line="240" w:lineRule="auto"/>
        <w:jc w:val="both"/>
        <w:rPr>
          <w:bCs/>
          <w:snapToGrid/>
          <w:lang w:val="de-DE" w:eastAsia="de-DE"/>
        </w:rPr>
      </w:pPr>
    </w:p>
    <w:p w:rsidR="004B23AD" w:rsidRPr="004B23AD" w:rsidRDefault="004B23AD" w:rsidP="004B23AD">
      <w:pPr>
        <w:suppressAutoHyphens w:val="0"/>
        <w:autoSpaceDE w:val="0"/>
        <w:autoSpaceDN w:val="0"/>
        <w:adjustRightInd w:val="0"/>
        <w:spacing w:line="240" w:lineRule="auto"/>
        <w:jc w:val="both"/>
        <w:rPr>
          <w:bCs/>
          <w:snapToGrid/>
          <w:sz w:val="24"/>
          <w:szCs w:val="24"/>
          <w:lang w:val="de-DE" w:eastAsia="de-DE"/>
        </w:rPr>
      </w:pPr>
      <w:r w:rsidRPr="004B23AD">
        <w:rPr>
          <w:b/>
          <w:bCs/>
          <w:snapToGrid/>
          <w:sz w:val="24"/>
          <w:szCs w:val="24"/>
          <w:lang w:val="de-DE" w:eastAsia="de-DE"/>
        </w:rPr>
        <w:t>Einleitung</w:t>
      </w:r>
    </w:p>
    <w:p w:rsidR="004B23AD" w:rsidRPr="004B23AD" w:rsidRDefault="004B23AD" w:rsidP="004B23AD">
      <w:pPr>
        <w:suppressAutoHyphens w:val="0"/>
        <w:autoSpaceDE w:val="0"/>
        <w:autoSpaceDN w:val="0"/>
        <w:adjustRightInd w:val="0"/>
        <w:spacing w:line="240" w:lineRule="auto"/>
        <w:jc w:val="both"/>
        <w:rPr>
          <w:bCs/>
          <w:snapToGrid/>
          <w:lang w:val="de-DE" w:eastAsia="de-DE"/>
        </w:rPr>
      </w:pPr>
    </w:p>
    <w:p w:rsidR="004B23AD" w:rsidRPr="004B23AD" w:rsidRDefault="008F0966" w:rsidP="004B23AD">
      <w:pPr>
        <w:suppressAutoHyphens w:val="0"/>
        <w:autoSpaceDE w:val="0"/>
        <w:autoSpaceDN w:val="0"/>
        <w:adjustRightInd w:val="0"/>
        <w:spacing w:line="240" w:lineRule="auto"/>
        <w:jc w:val="both"/>
        <w:rPr>
          <w:bCs/>
          <w:snapToGrid/>
          <w:lang w:val="de-DE" w:eastAsia="de-DE"/>
        </w:rPr>
      </w:pPr>
      <w:r>
        <w:rPr>
          <w:bCs/>
          <w:snapToGrid/>
          <w:lang w:val="de-DE" w:eastAsia="de-DE"/>
        </w:rPr>
        <w:t>1.</w:t>
      </w:r>
      <w:r>
        <w:rPr>
          <w:bCs/>
          <w:snapToGrid/>
          <w:lang w:val="de-DE" w:eastAsia="de-DE"/>
        </w:rPr>
        <w:tab/>
      </w:r>
      <w:r w:rsidR="004B23AD" w:rsidRPr="004B23AD">
        <w:rPr>
          <w:bCs/>
          <w:snapToGrid/>
          <w:lang w:val="de-DE" w:eastAsia="de-DE"/>
        </w:rPr>
        <w:t>Der Sicherheitsausschuss hat bei seiner 30. Sitzung beschlossen, den bisher in 7.1.4.4.2 verwendeten Begriff „Container mit geschlossenen Metallwänden“, der im ADN nicht näher definiert ist, durch den in 1.2.1 definierten Begriff „geschlossener Container“ („Ein vollständig geschlossener Container mit einem starren Dach, starren Seitenwänden, starren Stirnseiten und einem Boden. Der Begriff umfasst Container mit öffnungsfähigem Dach, sofern das Dach während der Beförderung geschlossen ist.“) zu ersetzen. Bisher war unklar, ob auch das Dach des Containers eine geschlossene Metallwand sein muss oder z.B. eine Plane ausreicht. Nun wurde klargestellt, dass ein starres Dach erforderlich ist. Die beschlossene neue Formulierung sagt nichts über das Material aus.</w:t>
      </w:r>
    </w:p>
    <w:p w:rsidR="004B23AD" w:rsidRPr="004B23AD" w:rsidRDefault="004B23AD" w:rsidP="004B23AD">
      <w:pPr>
        <w:suppressAutoHyphens w:val="0"/>
        <w:autoSpaceDE w:val="0"/>
        <w:autoSpaceDN w:val="0"/>
        <w:adjustRightInd w:val="0"/>
        <w:spacing w:line="240" w:lineRule="auto"/>
        <w:jc w:val="both"/>
        <w:rPr>
          <w:bCs/>
          <w:snapToGrid/>
          <w:lang w:val="de-DE" w:eastAsia="de-DE"/>
        </w:rPr>
      </w:pPr>
    </w:p>
    <w:p w:rsidR="00274B11" w:rsidRDefault="00274B11">
      <w:pPr>
        <w:suppressAutoHyphens w:val="0"/>
        <w:spacing w:line="240" w:lineRule="auto"/>
        <w:rPr>
          <w:bCs/>
          <w:snapToGrid/>
          <w:lang w:val="de-DE" w:eastAsia="de-DE"/>
        </w:rPr>
      </w:pPr>
      <w:r>
        <w:rPr>
          <w:bCs/>
          <w:snapToGrid/>
          <w:lang w:val="de-DE" w:eastAsia="de-DE"/>
        </w:rPr>
        <w:br w:type="page"/>
      </w:r>
    </w:p>
    <w:p w:rsidR="001B38C7" w:rsidRDefault="001B38C7" w:rsidP="004B23AD">
      <w:pPr>
        <w:suppressAutoHyphens w:val="0"/>
        <w:autoSpaceDE w:val="0"/>
        <w:autoSpaceDN w:val="0"/>
        <w:adjustRightInd w:val="0"/>
        <w:spacing w:line="240" w:lineRule="auto"/>
        <w:jc w:val="both"/>
        <w:rPr>
          <w:bCs/>
          <w:snapToGrid/>
          <w:lang w:val="de-DE" w:eastAsia="de-DE"/>
        </w:rPr>
      </w:pPr>
    </w:p>
    <w:p w:rsidR="001B38C7" w:rsidRDefault="001B38C7" w:rsidP="004B23AD">
      <w:pPr>
        <w:suppressAutoHyphens w:val="0"/>
        <w:autoSpaceDE w:val="0"/>
        <w:autoSpaceDN w:val="0"/>
        <w:adjustRightInd w:val="0"/>
        <w:spacing w:line="240" w:lineRule="auto"/>
        <w:jc w:val="both"/>
        <w:rPr>
          <w:bCs/>
          <w:snapToGrid/>
          <w:lang w:val="de-DE" w:eastAsia="de-DE"/>
        </w:rPr>
      </w:pPr>
    </w:p>
    <w:p w:rsidR="004B23AD" w:rsidRPr="004B23AD" w:rsidRDefault="00274B11" w:rsidP="004B23AD">
      <w:pPr>
        <w:suppressAutoHyphens w:val="0"/>
        <w:autoSpaceDE w:val="0"/>
        <w:autoSpaceDN w:val="0"/>
        <w:adjustRightInd w:val="0"/>
        <w:spacing w:line="240" w:lineRule="auto"/>
        <w:jc w:val="both"/>
        <w:rPr>
          <w:bCs/>
          <w:snapToGrid/>
          <w:lang w:val="de-DE" w:eastAsia="de-DE"/>
        </w:rPr>
      </w:pPr>
      <w:r>
        <w:rPr>
          <w:bCs/>
          <w:snapToGrid/>
          <w:lang w:val="de-DE" w:eastAsia="de-DE"/>
        </w:rPr>
        <w:t>2.</w:t>
      </w:r>
      <w:r>
        <w:rPr>
          <w:bCs/>
          <w:snapToGrid/>
          <w:lang w:val="de-DE" w:eastAsia="de-DE"/>
        </w:rPr>
        <w:tab/>
      </w:r>
      <w:r w:rsidR="004B23AD" w:rsidRPr="004B23AD">
        <w:rPr>
          <w:bCs/>
          <w:snapToGrid/>
          <w:lang w:val="de-DE" w:eastAsia="de-DE"/>
        </w:rPr>
        <w:t>7.1.4.4.2 verwendet auch den Begriff „gedeckte Fahrzeuge und Wagen mit geschlossenen Metallwänden“. Ein gedecktes Fahrzeug ist definiert als „Ein Fahrzeug mit einem Aufbau, der geschlossen werden kann.“. Ein gedeckter Wagen als „Wagen mit festen oder beweglichen Wänden und Dächern.“. Auch in diesem Fall stellt sich die Interpretationsfrage, ob „geschlossene Metallwände“ nur die Wände, oder auch das Dach umfasst. In Analogie zum Container sollten auch hier die in Übereinstimmung mit dem ADR und RID definierten Begriffe ohne weitere Zusätze verwendet werden.</w:t>
      </w:r>
    </w:p>
    <w:p w:rsidR="00274B11" w:rsidRPr="004B23AD" w:rsidRDefault="00274B11" w:rsidP="00274B11">
      <w:pPr>
        <w:suppressAutoHyphens w:val="0"/>
        <w:autoSpaceDE w:val="0"/>
        <w:autoSpaceDN w:val="0"/>
        <w:adjustRightInd w:val="0"/>
        <w:spacing w:before="120" w:line="240" w:lineRule="auto"/>
        <w:jc w:val="both"/>
        <w:rPr>
          <w:bCs/>
          <w:snapToGrid/>
          <w:lang w:val="de-DE" w:eastAsia="de-DE"/>
        </w:rPr>
      </w:pPr>
    </w:p>
    <w:p w:rsidR="004B23AD" w:rsidRPr="004B23AD" w:rsidRDefault="00274B11" w:rsidP="004B23AD">
      <w:pPr>
        <w:suppressAutoHyphens w:val="0"/>
        <w:autoSpaceDE w:val="0"/>
        <w:autoSpaceDN w:val="0"/>
        <w:adjustRightInd w:val="0"/>
        <w:spacing w:line="240" w:lineRule="auto"/>
        <w:jc w:val="both"/>
        <w:rPr>
          <w:bCs/>
          <w:snapToGrid/>
          <w:lang w:val="de-DE" w:eastAsia="de-DE"/>
        </w:rPr>
      </w:pPr>
      <w:r>
        <w:rPr>
          <w:bCs/>
          <w:snapToGrid/>
          <w:lang w:val="de-DE" w:eastAsia="de-DE"/>
        </w:rPr>
        <w:t>3.</w:t>
      </w:r>
      <w:r>
        <w:rPr>
          <w:bCs/>
          <w:snapToGrid/>
          <w:lang w:val="de-DE" w:eastAsia="de-DE"/>
        </w:rPr>
        <w:tab/>
      </w:r>
      <w:r w:rsidR="004B23AD" w:rsidRPr="004B23AD">
        <w:rPr>
          <w:bCs/>
          <w:snapToGrid/>
          <w:lang w:val="de-DE" w:eastAsia="de-DE"/>
        </w:rPr>
        <w:t>Auch die Fußnote 1 zur Tabelle in 7.1.4.3.4 verweist auf „Container, Fahrzeuge oder Wagen mit geschlossenen Metallwänden“ und müsste an die Entscheidungen zu 7.1.4.4.2 angepasst werden.</w:t>
      </w:r>
    </w:p>
    <w:p w:rsidR="00274B11" w:rsidRPr="004B23AD" w:rsidRDefault="00274B11" w:rsidP="00274B11">
      <w:pPr>
        <w:suppressAutoHyphens w:val="0"/>
        <w:autoSpaceDE w:val="0"/>
        <w:autoSpaceDN w:val="0"/>
        <w:adjustRightInd w:val="0"/>
        <w:spacing w:before="120" w:line="240" w:lineRule="auto"/>
        <w:jc w:val="both"/>
        <w:rPr>
          <w:bCs/>
          <w:snapToGrid/>
          <w:lang w:val="de-DE" w:eastAsia="de-DE"/>
        </w:rPr>
      </w:pPr>
    </w:p>
    <w:p w:rsidR="004B23AD" w:rsidRPr="004B23AD" w:rsidRDefault="00274B11" w:rsidP="004B23AD">
      <w:pPr>
        <w:suppressAutoHyphens w:val="0"/>
        <w:autoSpaceDE w:val="0"/>
        <w:autoSpaceDN w:val="0"/>
        <w:adjustRightInd w:val="0"/>
        <w:spacing w:line="240" w:lineRule="auto"/>
        <w:jc w:val="both"/>
        <w:rPr>
          <w:bCs/>
          <w:snapToGrid/>
          <w:lang w:val="de-DE" w:eastAsia="de-DE"/>
        </w:rPr>
      </w:pPr>
      <w:r>
        <w:rPr>
          <w:bCs/>
          <w:snapToGrid/>
          <w:lang w:val="de-DE" w:eastAsia="de-DE"/>
        </w:rPr>
        <w:t>4.</w:t>
      </w:r>
      <w:r>
        <w:rPr>
          <w:bCs/>
          <w:snapToGrid/>
          <w:lang w:val="de-DE" w:eastAsia="de-DE"/>
        </w:rPr>
        <w:tab/>
      </w:r>
      <w:r w:rsidR="004B23AD" w:rsidRPr="004B23AD">
        <w:rPr>
          <w:bCs/>
          <w:snapToGrid/>
          <w:lang w:val="de-DE" w:eastAsia="de-DE"/>
        </w:rPr>
        <w:t>7.1.4.14.4 lautet: „Gefährliche Güter müssen innerhalb der Laderäume untergebracht sein, jedoch dürfen Stoffe in:</w:t>
      </w:r>
    </w:p>
    <w:p w:rsidR="004B23AD" w:rsidRPr="004B23AD" w:rsidRDefault="004B23AD" w:rsidP="004B23AD">
      <w:pPr>
        <w:tabs>
          <w:tab w:val="left" w:pos="284"/>
        </w:tabs>
        <w:suppressAutoHyphens w:val="0"/>
        <w:autoSpaceDE w:val="0"/>
        <w:autoSpaceDN w:val="0"/>
        <w:adjustRightInd w:val="0"/>
        <w:spacing w:line="240" w:lineRule="auto"/>
        <w:jc w:val="both"/>
        <w:rPr>
          <w:bCs/>
          <w:snapToGrid/>
          <w:lang w:val="de-DE" w:eastAsia="de-DE"/>
        </w:rPr>
      </w:pPr>
      <w:r w:rsidRPr="004B23AD">
        <w:rPr>
          <w:bCs/>
          <w:snapToGrid/>
          <w:lang w:val="de-DE" w:eastAsia="de-DE"/>
        </w:rPr>
        <w:t>-</w:t>
      </w:r>
      <w:r>
        <w:rPr>
          <w:bCs/>
          <w:snapToGrid/>
          <w:lang w:val="de-DE" w:eastAsia="de-DE"/>
        </w:rPr>
        <w:tab/>
      </w:r>
      <w:r w:rsidRPr="004B23AD">
        <w:rPr>
          <w:bCs/>
          <w:snapToGrid/>
          <w:lang w:val="de-DE" w:eastAsia="de-DE"/>
        </w:rPr>
        <w:t xml:space="preserve">Containern mit </w:t>
      </w:r>
      <w:proofErr w:type="spellStart"/>
      <w:r w:rsidRPr="004B23AD">
        <w:rPr>
          <w:bCs/>
          <w:snapToGrid/>
          <w:lang w:val="de-DE" w:eastAsia="de-DE"/>
        </w:rPr>
        <w:t>vollwandigen</w:t>
      </w:r>
      <w:proofErr w:type="spellEnd"/>
      <w:r w:rsidRPr="004B23AD">
        <w:rPr>
          <w:bCs/>
          <w:snapToGrid/>
          <w:lang w:val="de-DE" w:eastAsia="de-DE"/>
        </w:rPr>
        <w:t xml:space="preserve"> spritzwasserdichten Wänden;</w:t>
      </w:r>
    </w:p>
    <w:p w:rsidR="004B23AD" w:rsidRPr="004B23AD" w:rsidRDefault="004B23AD" w:rsidP="004B23AD">
      <w:pPr>
        <w:tabs>
          <w:tab w:val="left" w:pos="284"/>
        </w:tabs>
        <w:suppressAutoHyphens w:val="0"/>
        <w:autoSpaceDE w:val="0"/>
        <w:autoSpaceDN w:val="0"/>
        <w:adjustRightInd w:val="0"/>
        <w:spacing w:line="240" w:lineRule="auto"/>
        <w:jc w:val="both"/>
        <w:rPr>
          <w:bCs/>
          <w:snapToGrid/>
          <w:lang w:val="de-DE" w:eastAsia="de-DE"/>
        </w:rPr>
      </w:pPr>
      <w:r w:rsidRPr="004B23AD">
        <w:rPr>
          <w:bCs/>
          <w:snapToGrid/>
          <w:lang w:val="de-DE" w:eastAsia="de-DE"/>
        </w:rPr>
        <w:t>-</w:t>
      </w:r>
      <w:r>
        <w:rPr>
          <w:bCs/>
          <w:snapToGrid/>
          <w:lang w:val="de-DE" w:eastAsia="de-DE"/>
        </w:rPr>
        <w:tab/>
      </w:r>
      <w:r w:rsidRPr="004B23AD">
        <w:rPr>
          <w:bCs/>
          <w:snapToGrid/>
          <w:lang w:val="de-DE" w:eastAsia="de-DE"/>
        </w:rPr>
        <w:t>[…],</w:t>
      </w:r>
    </w:p>
    <w:p w:rsidR="004B23AD" w:rsidRPr="004B23AD" w:rsidRDefault="004B23AD" w:rsidP="004B23AD">
      <w:pPr>
        <w:tabs>
          <w:tab w:val="left" w:pos="284"/>
        </w:tabs>
        <w:suppressAutoHyphens w:val="0"/>
        <w:autoSpaceDE w:val="0"/>
        <w:autoSpaceDN w:val="0"/>
        <w:adjustRightInd w:val="0"/>
        <w:spacing w:line="240" w:lineRule="auto"/>
        <w:jc w:val="both"/>
        <w:rPr>
          <w:bCs/>
          <w:snapToGrid/>
          <w:lang w:val="de-DE" w:eastAsia="de-DE"/>
        </w:rPr>
      </w:pPr>
      <w:r w:rsidRPr="004B23AD">
        <w:rPr>
          <w:bCs/>
          <w:snapToGrid/>
          <w:lang w:val="de-DE" w:eastAsia="de-DE"/>
        </w:rPr>
        <w:t>-</w:t>
      </w:r>
      <w:r>
        <w:rPr>
          <w:bCs/>
          <w:snapToGrid/>
          <w:lang w:val="de-DE" w:eastAsia="de-DE"/>
        </w:rPr>
        <w:tab/>
      </w:r>
      <w:r w:rsidRPr="004B23AD">
        <w:rPr>
          <w:bCs/>
          <w:snapToGrid/>
          <w:lang w:val="de-DE" w:eastAsia="de-DE"/>
        </w:rPr>
        <w:t xml:space="preserve">Fahrzeugen oder Wagen mit </w:t>
      </w:r>
      <w:proofErr w:type="spellStart"/>
      <w:r w:rsidRPr="004B23AD">
        <w:rPr>
          <w:bCs/>
          <w:snapToGrid/>
          <w:lang w:val="de-DE" w:eastAsia="de-DE"/>
        </w:rPr>
        <w:t>vollwandigen</w:t>
      </w:r>
      <w:proofErr w:type="spellEnd"/>
      <w:r w:rsidRPr="004B23AD">
        <w:rPr>
          <w:bCs/>
          <w:snapToGrid/>
          <w:lang w:val="de-DE" w:eastAsia="de-DE"/>
        </w:rPr>
        <w:t xml:space="preserve"> spritzwasserdichten Wänden;</w:t>
      </w:r>
    </w:p>
    <w:p w:rsidR="004B23AD" w:rsidRPr="004B23AD" w:rsidRDefault="004B23AD" w:rsidP="004B23AD">
      <w:pPr>
        <w:tabs>
          <w:tab w:val="left" w:pos="284"/>
        </w:tabs>
        <w:suppressAutoHyphens w:val="0"/>
        <w:autoSpaceDE w:val="0"/>
        <w:autoSpaceDN w:val="0"/>
        <w:adjustRightInd w:val="0"/>
        <w:spacing w:line="240" w:lineRule="auto"/>
        <w:jc w:val="both"/>
        <w:rPr>
          <w:bCs/>
          <w:snapToGrid/>
          <w:lang w:val="de-DE" w:eastAsia="de-DE"/>
        </w:rPr>
      </w:pPr>
      <w:r w:rsidRPr="004B23AD">
        <w:rPr>
          <w:bCs/>
          <w:snapToGrid/>
          <w:lang w:val="de-DE" w:eastAsia="de-DE"/>
        </w:rPr>
        <w:t>-</w:t>
      </w:r>
      <w:r>
        <w:rPr>
          <w:bCs/>
          <w:snapToGrid/>
          <w:lang w:val="de-DE" w:eastAsia="de-DE"/>
        </w:rPr>
        <w:tab/>
      </w:r>
      <w:r w:rsidRPr="004B23AD">
        <w:rPr>
          <w:bCs/>
          <w:snapToGrid/>
          <w:lang w:val="de-DE" w:eastAsia="de-DE"/>
        </w:rPr>
        <w:t>[…]</w:t>
      </w:r>
    </w:p>
    <w:p w:rsidR="004B23AD" w:rsidRPr="004B23AD" w:rsidRDefault="004B23AD" w:rsidP="004B23AD">
      <w:pPr>
        <w:suppressAutoHyphens w:val="0"/>
        <w:autoSpaceDE w:val="0"/>
        <w:autoSpaceDN w:val="0"/>
        <w:adjustRightInd w:val="0"/>
        <w:spacing w:line="240" w:lineRule="auto"/>
        <w:jc w:val="both"/>
        <w:rPr>
          <w:bCs/>
          <w:snapToGrid/>
          <w:lang w:val="de-DE" w:eastAsia="de-DE"/>
        </w:rPr>
      </w:pPr>
      <w:r w:rsidRPr="004B23AD">
        <w:rPr>
          <w:bCs/>
          <w:snapToGrid/>
          <w:lang w:val="de-DE" w:eastAsia="de-DE"/>
        </w:rPr>
        <w:t>auch außerhalb der Laderäume im geschützten Bereich an Deck befördert werden.“</w:t>
      </w:r>
    </w:p>
    <w:p w:rsidR="004B23AD" w:rsidRPr="004B23AD" w:rsidRDefault="004B23AD" w:rsidP="00274B11">
      <w:pPr>
        <w:suppressAutoHyphens w:val="0"/>
        <w:autoSpaceDE w:val="0"/>
        <w:autoSpaceDN w:val="0"/>
        <w:adjustRightInd w:val="0"/>
        <w:spacing w:before="120" w:line="240" w:lineRule="auto"/>
        <w:jc w:val="both"/>
        <w:rPr>
          <w:bCs/>
          <w:snapToGrid/>
          <w:lang w:val="de-DE" w:eastAsia="de-DE"/>
        </w:rPr>
      </w:pPr>
      <w:r w:rsidRPr="004B23AD">
        <w:rPr>
          <w:bCs/>
          <w:snapToGrid/>
          <w:lang w:val="de-DE" w:eastAsia="de-DE"/>
        </w:rPr>
        <w:t xml:space="preserve">Auch hier stellt sich die Frage, ob offene Container, Fahrzeuge und Wagen oder Container, Fahrzeuge und Wagen mit </w:t>
      </w:r>
      <w:proofErr w:type="spellStart"/>
      <w:r w:rsidRPr="004B23AD">
        <w:rPr>
          <w:bCs/>
          <w:snapToGrid/>
          <w:lang w:val="de-DE" w:eastAsia="de-DE"/>
        </w:rPr>
        <w:t>Planendach</w:t>
      </w:r>
      <w:proofErr w:type="spellEnd"/>
      <w:r w:rsidRPr="004B23AD">
        <w:rPr>
          <w:bCs/>
          <w:snapToGrid/>
          <w:lang w:val="de-DE" w:eastAsia="de-DE"/>
        </w:rPr>
        <w:t xml:space="preserve"> außerhalb der Laderäume an Deck befördert werden dürfen. Es erscheint sinnvoll, auch hier die definierten Begriffe geschlossene Container und gedeckte Fahrzeuge und Wagen zu verwenden.</w:t>
      </w:r>
    </w:p>
    <w:p w:rsidR="004B23AD" w:rsidRDefault="004B23AD" w:rsidP="00274B11">
      <w:pPr>
        <w:suppressAutoHyphens w:val="0"/>
        <w:spacing w:before="120" w:line="240" w:lineRule="auto"/>
        <w:rPr>
          <w:bCs/>
          <w:snapToGrid/>
          <w:lang w:val="de-DE" w:eastAsia="de-DE"/>
        </w:rPr>
      </w:pPr>
    </w:p>
    <w:p w:rsidR="004B23AD" w:rsidRPr="004B23AD" w:rsidRDefault="00274B11" w:rsidP="004B23AD">
      <w:pPr>
        <w:suppressAutoHyphens w:val="0"/>
        <w:autoSpaceDE w:val="0"/>
        <w:autoSpaceDN w:val="0"/>
        <w:adjustRightInd w:val="0"/>
        <w:spacing w:line="240" w:lineRule="auto"/>
        <w:jc w:val="both"/>
        <w:rPr>
          <w:bCs/>
          <w:snapToGrid/>
          <w:lang w:val="de-DE" w:eastAsia="de-DE"/>
        </w:rPr>
      </w:pPr>
      <w:r>
        <w:rPr>
          <w:bCs/>
          <w:snapToGrid/>
          <w:lang w:val="de-DE" w:eastAsia="de-DE"/>
        </w:rPr>
        <w:t>5.</w:t>
      </w:r>
      <w:r>
        <w:rPr>
          <w:bCs/>
          <w:snapToGrid/>
          <w:lang w:val="de-DE" w:eastAsia="de-DE"/>
        </w:rPr>
        <w:tab/>
      </w:r>
      <w:r w:rsidR="004B23AD" w:rsidRPr="004B23AD">
        <w:rPr>
          <w:bCs/>
          <w:snapToGrid/>
          <w:lang w:val="de-DE" w:eastAsia="de-DE"/>
        </w:rPr>
        <w:t>1.1.3.6.2 d) lautet: „Die Güter müssen innerhalb der Laderäume untergebracht sein.</w:t>
      </w:r>
    </w:p>
    <w:p w:rsidR="004B23AD" w:rsidRPr="004B23AD" w:rsidRDefault="004B23AD" w:rsidP="004B23AD">
      <w:pPr>
        <w:suppressAutoHyphens w:val="0"/>
        <w:autoSpaceDE w:val="0"/>
        <w:autoSpaceDN w:val="0"/>
        <w:adjustRightInd w:val="0"/>
        <w:spacing w:line="240" w:lineRule="auto"/>
        <w:jc w:val="both"/>
        <w:rPr>
          <w:bCs/>
          <w:snapToGrid/>
          <w:lang w:val="de-DE" w:eastAsia="de-DE"/>
        </w:rPr>
      </w:pPr>
      <w:r w:rsidRPr="004B23AD">
        <w:rPr>
          <w:bCs/>
          <w:snapToGrid/>
          <w:lang w:val="de-DE" w:eastAsia="de-DE"/>
        </w:rPr>
        <w:t>Dies gilt nicht für Güter in:</w:t>
      </w:r>
    </w:p>
    <w:p w:rsidR="004B23AD" w:rsidRPr="004B23AD" w:rsidRDefault="004B23AD" w:rsidP="004B23AD">
      <w:pPr>
        <w:tabs>
          <w:tab w:val="left" w:pos="284"/>
        </w:tabs>
        <w:suppressAutoHyphens w:val="0"/>
        <w:autoSpaceDE w:val="0"/>
        <w:autoSpaceDN w:val="0"/>
        <w:adjustRightInd w:val="0"/>
        <w:spacing w:line="240" w:lineRule="auto"/>
        <w:jc w:val="both"/>
        <w:rPr>
          <w:bCs/>
          <w:snapToGrid/>
          <w:lang w:val="de-DE" w:eastAsia="de-DE"/>
        </w:rPr>
      </w:pPr>
      <w:r w:rsidRPr="004B23AD">
        <w:rPr>
          <w:bCs/>
          <w:snapToGrid/>
          <w:lang w:val="de-DE" w:eastAsia="de-DE"/>
        </w:rPr>
        <w:t>-</w:t>
      </w:r>
      <w:r>
        <w:rPr>
          <w:bCs/>
          <w:snapToGrid/>
          <w:lang w:val="de-DE" w:eastAsia="de-DE"/>
        </w:rPr>
        <w:tab/>
      </w:r>
      <w:r w:rsidRPr="004B23AD">
        <w:rPr>
          <w:bCs/>
          <w:snapToGrid/>
          <w:lang w:val="de-DE" w:eastAsia="de-DE"/>
        </w:rPr>
        <w:t xml:space="preserve">Containern mit </w:t>
      </w:r>
      <w:proofErr w:type="spellStart"/>
      <w:r w:rsidRPr="004B23AD">
        <w:rPr>
          <w:bCs/>
          <w:snapToGrid/>
          <w:lang w:val="de-DE" w:eastAsia="de-DE"/>
        </w:rPr>
        <w:t>vollwandigen</w:t>
      </w:r>
      <w:proofErr w:type="spellEnd"/>
      <w:r w:rsidRPr="004B23AD">
        <w:rPr>
          <w:bCs/>
          <w:snapToGrid/>
          <w:lang w:val="de-DE" w:eastAsia="de-DE"/>
        </w:rPr>
        <w:t xml:space="preserve"> spritzwasserdichten Wänden;</w:t>
      </w:r>
    </w:p>
    <w:p w:rsidR="004B23AD" w:rsidRPr="004B23AD" w:rsidRDefault="004B23AD" w:rsidP="004B23AD">
      <w:pPr>
        <w:tabs>
          <w:tab w:val="left" w:pos="284"/>
        </w:tabs>
        <w:suppressAutoHyphens w:val="0"/>
        <w:autoSpaceDE w:val="0"/>
        <w:autoSpaceDN w:val="0"/>
        <w:adjustRightInd w:val="0"/>
        <w:spacing w:line="240" w:lineRule="auto"/>
        <w:jc w:val="both"/>
        <w:rPr>
          <w:bCs/>
          <w:snapToGrid/>
          <w:lang w:val="de-DE" w:eastAsia="de-DE"/>
        </w:rPr>
      </w:pPr>
      <w:r w:rsidRPr="004B23AD">
        <w:rPr>
          <w:bCs/>
          <w:snapToGrid/>
          <w:lang w:val="de-DE" w:eastAsia="de-DE"/>
        </w:rPr>
        <w:t>-</w:t>
      </w:r>
      <w:r>
        <w:rPr>
          <w:bCs/>
          <w:snapToGrid/>
          <w:lang w:val="de-DE" w:eastAsia="de-DE"/>
        </w:rPr>
        <w:tab/>
      </w:r>
      <w:r w:rsidRPr="004B23AD">
        <w:rPr>
          <w:bCs/>
          <w:snapToGrid/>
          <w:lang w:val="de-DE" w:eastAsia="de-DE"/>
        </w:rPr>
        <w:t xml:space="preserve">Fahrzeugen mit </w:t>
      </w:r>
      <w:proofErr w:type="spellStart"/>
      <w:r w:rsidRPr="004B23AD">
        <w:rPr>
          <w:bCs/>
          <w:snapToGrid/>
          <w:lang w:val="de-DE" w:eastAsia="de-DE"/>
        </w:rPr>
        <w:t>vollwandigen</w:t>
      </w:r>
      <w:proofErr w:type="spellEnd"/>
      <w:r w:rsidRPr="004B23AD">
        <w:rPr>
          <w:bCs/>
          <w:snapToGrid/>
          <w:lang w:val="de-DE" w:eastAsia="de-DE"/>
        </w:rPr>
        <w:t xml:space="preserve"> spritzwasserdichten Wänden.“</w:t>
      </w:r>
    </w:p>
    <w:p w:rsidR="004B23AD" w:rsidRPr="004B23AD" w:rsidRDefault="004B23AD" w:rsidP="00274B11">
      <w:pPr>
        <w:suppressAutoHyphens w:val="0"/>
        <w:autoSpaceDE w:val="0"/>
        <w:autoSpaceDN w:val="0"/>
        <w:adjustRightInd w:val="0"/>
        <w:spacing w:before="120" w:line="240" w:lineRule="auto"/>
        <w:jc w:val="both"/>
        <w:rPr>
          <w:bCs/>
          <w:snapToGrid/>
          <w:lang w:val="de-DE" w:eastAsia="de-DE"/>
        </w:rPr>
      </w:pPr>
      <w:r w:rsidRPr="004B23AD">
        <w:rPr>
          <w:bCs/>
          <w:snapToGrid/>
          <w:lang w:val="de-DE" w:eastAsia="de-DE"/>
        </w:rPr>
        <w:t>Der Text müsste an die Entscheidung zu 7.1.4.14.4 angepasst werden.</w:t>
      </w:r>
    </w:p>
    <w:p w:rsidR="004B23AD" w:rsidRPr="004B23AD" w:rsidRDefault="004B23AD" w:rsidP="00274B11">
      <w:pPr>
        <w:suppressAutoHyphens w:val="0"/>
        <w:autoSpaceDE w:val="0"/>
        <w:autoSpaceDN w:val="0"/>
        <w:adjustRightInd w:val="0"/>
        <w:spacing w:before="120" w:line="240" w:lineRule="auto"/>
        <w:jc w:val="both"/>
        <w:rPr>
          <w:bCs/>
          <w:snapToGrid/>
          <w:lang w:val="de-DE" w:eastAsia="de-DE"/>
        </w:rPr>
      </w:pPr>
    </w:p>
    <w:p w:rsidR="004B23AD" w:rsidRPr="004B23AD" w:rsidRDefault="00274B11" w:rsidP="004B23AD">
      <w:pPr>
        <w:suppressAutoHyphens w:val="0"/>
        <w:autoSpaceDE w:val="0"/>
        <w:autoSpaceDN w:val="0"/>
        <w:adjustRightInd w:val="0"/>
        <w:spacing w:line="240" w:lineRule="auto"/>
        <w:jc w:val="both"/>
        <w:rPr>
          <w:bCs/>
          <w:snapToGrid/>
          <w:lang w:val="de-DE" w:eastAsia="de-DE"/>
        </w:rPr>
      </w:pPr>
      <w:r>
        <w:rPr>
          <w:bCs/>
          <w:snapToGrid/>
          <w:lang w:val="de-DE" w:eastAsia="de-DE"/>
        </w:rPr>
        <w:t>6.</w:t>
      </w:r>
      <w:r>
        <w:rPr>
          <w:bCs/>
          <w:snapToGrid/>
          <w:lang w:val="de-DE" w:eastAsia="de-DE"/>
        </w:rPr>
        <w:tab/>
      </w:r>
      <w:r w:rsidR="004B23AD" w:rsidRPr="004B23AD">
        <w:rPr>
          <w:bCs/>
          <w:snapToGrid/>
          <w:lang w:val="de-DE" w:eastAsia="de-DE"/>
        </w:rPr>
        <w:t>1.1.3.6.2 e) bezieht sich wie 7.1.4.4.2 auf das Zusammenladen und lautet: „Die Güter verschiedener Klassen müssen durch einen horizontalen Abstand von mindestens</w:t>
      </w:r>
      <w:r w:rsidR="004B23AD">
        <w:rPr>
          <w:bCs/>
          <w:snapToGrid/>
          <w:lang w:val="de-DE" w:eastAsia="de-DE"/>
        </w:rPr>
        <w:t xml:space="preserve"> </w:t>
      </w:r>
      <w:r w:rsidR="004B23AD" w:rsidRPr="004B23AD">
        <w:rPr>
          <w:bCs/>
          <w:snapToGrid/>
          <w:lang w:val="de-DE" w:eastAsia="de-DE"/>
        </w:rPr>
        <w:t>3 m voneinander getrennt sein. Sie dürfen nicht übereinander gestaut werden.</w:t>
      </w:r>
    </w:p>
    <w:p w:rsidR="004B23AD" w:rsidRPr="004B23AD" w:rsidRDefault="004B23AD" w:rsidP="004B23AD">
      <w:pPr>
        <w:suppressAutoHyphens w:val="0"/>
        <w:autoSpaceDE w:val="0"/>
        <w:autoSpaceDN w:val="0"/>
        <w:adjustRightInd w:val="0"/>
        <w:spacing w:line="240" w:lineRule="auto"/>
        <w:jc w:val="both"/>
        <w:rPr>
          <w:bCs/>
          <w:snapToGrid/>
          <w:lang w:val="de-DE" w:eastAsia="de-DE"/>
        </w:rPr>
      </w:pPr>
      <w:r w:rsidRPr="004B23AD">
        <w:rPr>
          <w:bCs/>
          <w:snapToGrid/>
          <w:lang w:val="de-DE" w:eastAsia="de-DE"/>
        </w:rPr>
        <w:t>Dies gilt nicht für:</w:t>
      </w:r>
    </w:p>
    <w:p w:rsidR="004B23AD" w:rsidRPr="004B23AD" w:rsidRDefault="004B23AD" w:rsidP="004B23AD">
      <w:pPr>
        <w:tabs>
          <w:tab w:val="left" w:pos="284"/>
        </w:tabs>
        <w:suppressAutoHyphens w:val="0"/>
        <w:autoSpaceDE w:val="0"/>
        <w:autoSpaceDN w:val="0"/>
        <w:adjustRightInd w:val="0"/>
        <w:spacing w:line="240" w:lineRule="auto"/>
        <w:jc w:val="both"/>
        <w:rPr>
          <w:bCs/>
          <w:snapToGrid/>
          <w:lang w:val="de-DE" w:eastAsia="de-DE"/>
        </w:rPr>
      </w:pPr>
      <w:r w:rsidRPr="004B23AD">
        <w:rPr>
          <w:bCs/>
          <w:snapToGrid/>
          <w:lang w:val="de-DE" w:eastAsia="de-DE"/>
        </w:rPr>
        <w:t>-</w:t>
      </w:r>
      <w:r>
        <w:rPr>
          <w:bCs/>
          <w:snapToGrid/>
          <w:lang w:val="de-DE" w:eastAsia="de-DE"/>
        </w:rPr>
        <w:tab/>
      </w:r>
      <w:r w:rsidRPr="004B23AD">
        <w:rPr>
          <w:bCs/>
          <w:snapToGrid/>
          <w:lang w:val="de-DE" w:eastAsia="de-DE"/>
        </w:rPr>
        <w:t>Container mit geschlossenen Metallwänden;</w:t>
      </w:r>
    </w:p>
    <w:p w:rsidR="004B23AD" w:rsidRPr="004B23AD" w:rsidRDefault="004B23AD" w:rsidP="004B23AD">
      <w:pPr>
        <w:tabs>
          <w:tab w:val="left" w:pos="284"/>
        </w:tabs>
        <w:suppressAutoHyphens w:val="0"/>
        <w:autoSpaceDE w:val="0"/>
        <w:autoSpaceDN w:val="0"/>
        <w:adjustRightInd w:val="0"/>
        <w:spacing w:line="240" w:lineRule="auto"/>
        <w:jc w:val="both"/>
        <w:rPr>
          <w:bCs/>
          <w:snapToGrid/>
          <w:lang w:val="de-DE" w:eastAsia="de-DE"/>
        </w:rPr>
      </w:pPr>
      <w:r w:rsidRPr="004B23AD">
        <w:rPr>
          <w:bCs/>
          <w:snapToGrid/>
          <w:lang w:val="de-DE" w:eastAsia="de-DE"/>
        </w:rPr>
        <w:t>-</w:t>
      </w:r>
      <w:r>
        <w:rPr>
          <w:bCs/>
          <w:snapToGrid/>
          <w:lang w:val="de-DE" w:eastAsia="de-DE"/>
        </w:rPr>
        <w:tab/>
      </w:r>
      <w:r w:rsidRPr="004B23AD">
        <w:rPr>
          <w:bCs/>
          <w:snapToGrid/>
          <w:lang w:val="de-DE" w:eastAsia="de-DE"/>
        </w:rPr>
        <w:t>Fahrzeuge mit geschlossenen Metallwänden.“</w:t>
      </w:r>
    </w:p>
    <w:p w:rsidR="004B23AD" w:rsidRPr="004B23AD" w:rsidRDefault="004B23AD" w:rsidP="00274B11">
      <w:pPr>
        <w:suppressAutoHyphens w:val="0"/>
        <w:autoSpaceDE w:val="0"/>
        <w:autoSpaceDN w:val="0"/>
        <w:adjustRightInd w:val="0"/>
        <w:spacing w:before="120" w:line="240" w:lineRule="auto"/>
        <w:jc w:val="both"/>
        <w:rPr>
          <w:bCs/>
          <w:snapToGrid/>
          <w:lang w:val="de-DE" w:eastAsia="de-DE"/>
        </w:rPr>
      </w:pPr>
      <w:r w:rsidRPr="004B23AD">
        <w:rPr>
          <w:bCs/>
          <w:snapToGrid/>
          <w:lang w:val="de-DE" w:eastAsia="de-DE"/>
        </w:rPr>
        <w:t>Dieser Text müsste mit 7.1.4.4.2 abgestimmt werden.</w:t>
      </w:r>
    </w:p>
    <w:p w:rsidR="00274B11" w:rsidRDefault="00274B11">
      <w:pPr>
        <w:suppressAutoHyphens w:val="0"/>
        <w:spacing w:line="240" w:lineRule="auto"/>
        <w:rPr>
          <w:b/>
          <w:bCs/>
          <w:snapToGrid/>
          <w:sz w:val="24"/>
          <w:szCs w:val="24"/>
          <w:lang w:val="de-DE" w:eastAsia="de-DE"/>
        </w:rPr>
      </w:pPr>
      <w:r>
        <w:rPr>
          <w:b/>
          <w:bCs/>
          <w:snapToGrid/>
          <w:sz w:val="24"/>
          <w:szCs w:val="24"/>
          <w:lang w:val="de-DE" w:eastAsia="de-DE"/>
        </w:rPr>
        <w:br w:type="page"/>
      </w:r>
    </w:p>
    <w:p w:rsidR="004B23AD" w:rsidRPr="004B23AD" w:rsidRDefault="004B23AD" w:rsidP="004B23AD">
      <w:pPr>
        <w:suppressAutoHyphens w:val="0"/>
        <w:autoSpaceDE w:val="0"/>
        <w:autoSpaceDN w:val="0"/>
        <w:adjustRightInd w:val="0"/>
        <w:spacing w:line="240" w:lineRule="auto"/>
        <w:jc w:val="both"/>
        <w:rPr>
          <w:bCs/>
          <w:snapToGrid/>
          <w:sz w:val="24"/>
          <w:szCs w:val="24"/>
          <w:lang w:val="de-DE" w:eastAsia="de-DE"/>
        </w:rPr>
      </w:pPr>
      <w:r w:rsidRPr="004B23AD">
        <w:rPr>
          <w:b/>
          <w:bCs/>
          <w:snapToGrid/>
          <w:sz w:val="24"/>
          <w:szCs w:val="24"/>
          <w:lang w:val="de-DE" w:eastAsia="de-DE"/>
        </w:rPr>
        <w:lastRenderedPageBreak/>
        <w:t>Vorschlag</w:t>
      </w:r>
    </w:p>
    <w:p w:rsidR="004B23AD" w:rsidRPr="004B23AD" w:rsidRDefault="004B23AD" w:rsidP="004B23AD">
      <w:pPr>
        <w:suppressAutoHyphens w:val="0"/>
        <w:autoSpaceDE w:val="0"/>
        <w:autoSpaceDN w:val="0"/>
        <w:adjustRightInd w:val="0"/>
        <w:spacing w:line="240" w:lineRule="auto"/>
        <w:jc w:val="both"/>
        <w:rPr>
          <w:bCs/>
          <w:snapToGrid/>
          <w:lang w:val="de-DE" w:eastAsia="de-DE"/>
        </w:rPr>
      </w:pPr>
    </w:p>
    <w:p w:rsidR="004B23AD" w:rsidRPr="004B23AD" w:rsidRDefault="004B23AD" w:rsidP="004B23AD">
      <w:pPr>
        <w:suppressAutoHyphens w:val="0"/>
        <w:autoSpaceDE w:val="0"/>
        <w:autoSpaceDN w:val="0"/>
        <w:adjustRightInd w:val="0"/>
        <w:spacing w:line="240" w:lineRule="auto"/>
        <w:jc w:val="both"/>
        <w:rPr>
          <w:bCs/>
          <w:snapToGrid/>
          <w:lang w:val="de-DE" w:eastAsia="de-DE"/>
        </w:rPr>
      </w:pPr>
      <w:r w:rsidRPr="004B23AD">
        <w:rPr>
          <w:bCs/>
          <w:snapToGrid/>
          <w:lang w:val="de-DE" w:eastAsia="de-DE"/>
        </w:rPr>
        <w:t>7.1.4.4.2</w:t>
      </w:r>
    </w:p>
    <w:p w:rsidR="004B23AD" w:rsidRPr="004B23AD" w:rsidRDefault="004B23AD" w:rsidP="004B23AD">
      <w:pPr>
        <w:suppressAutoHyphens w:val="0"/>
        <w:autoSpaceDE w:val="0"/>
        <w:autoSpaceDN w:val="0"/>
        <w:adjustRightInd w:val="0"/>
        <w:spacing w:line="240" w:lineRule="auto"/>
        <w:jc w:val="both"/>
        <w:rPr>
          <w:bCs/>
          <w:snapToGrid/>
          <w:lang w:val="de-DE" w:eastAsia="de-DE"/>
        </w:rPr>
      </w:pPr>
      <w:r w:rsidRPr="004B23AD">
        <w:rPr>
          <w:bCs/>
          <w:snapToGrid/>
          <w:lang w:val="de-DE" w:eastAsia="de-DE"/>
        </w:rPr>
        <w:t>Im zweiten Anstrich entfällt „mit geschlossenen Metallwänden“.</w:t>
      </w:r>
    </w:p>
    <w:p w:rsidR="004B23AD" w:rsidRPr="004B23AD" w:rsidRDefault="004B23AD" w:rsidP="004B23AD">
      <w:pPr>
        <w:suppressAutoHyphens w:val="0"/>
        <w:autoSpaceDE w:val="0"/>
        <w:autoSpaceDN w:val="0"/>
        <w:adjustRightInd w:val="0"/>
        <w:spacing w:line="240" w:lineRule="auto"/>
        <w:jc w:val="both"/>
        <w:rPr>
          <w:bCs/>
          <w:snapToGrid/>
          <w:lang w:val="de-DE" w:eastAsia="de-DE"/>
        </w:rPr>
      </w:pPr>
    </w:p>
    <w:p w:rsidR="004B23AD" w:rsidRPr="004B23AD" w:rsidRDefault="004B23AD" w:rsidP="004B23AD">
      <w:pPr>
        <w:suppressAutoHyphens w:val="0"/>
        <w:autoSpaceDE w:val="0"/>
        <w:autoSpaceDN w:val="0"/>
        <w:adjustRightInd w:val="0"/>
        <w:spacing w:line="240" w:lineRule="auto"/>
        <w:jc w:val="both"/>
        <w:rPr>
          <w:bCs/>
          <w:snapToGrid/>
          <w:lang w:val="de-DE" w:eastAsia="de-DE"/>
        </w:rPr>
      </w:pPr>
      <w:r w:rsidRPr="004B23AD">
        <w:rPr>
          <w:bCs/>
          <w:snapToGrid/>
          <w:lang w:val="de-DE" w:eastAsia="de-DE"/>
        </w:rPr>
        <w:t>7.1.4.3.4</w:t>
      </w:r>
    </w:p>
    <w:p w:rsidR="004B23AD" w:rsidRPr="004B23AD" w:rsidRDefault="004B23AD" w:rsidP="004B23AD">
      <w:pPr>
        <w:suppressAutoHyphens w:val="0"/>
        <w:autoSpaceDE w:val="0"/>
        <w:autoSpaceDN w:val="0"/>
        <w:adjustRightInd w:val="0"/>
        <w:spacing w:line="240" w:lineRule="auto"/>
        <w:jc w:val="both"/>
        <w:rPr>
          <w:bCs/>
          <w:snapToGrid/>
          <w:lang w:val="de-DE" w:eastAsia="de-DE"/>
        </w:rPr>
      </w:pPr>
      <w:r w:rsidRPr="004B23AD">
        <w:rPr>
          <w:bCs/>
          <w:snapToGrid/>
          <w:lang w:val="de-DE" w:eastAsia="de-DE"/>
        </w:rPr>
        <w:t>Di</w:t>
      </w:r>
      <w:r>
        <w:rPr>
          <w:bCs/>
          <w:snapToGrid/>
          <w:lang w:val="de-DE" w:eastAsia="de-DE"/>
        </w:rPr>
        <w:t>e Fußnote 1 zur Tabelle lautet:</w:t>
      </w:r>
    </w:p>
    <w:p w:rsidR="004B23AD" w:rsidRPr="004B23AD" w:rsidRDefault="004B23AD" w:rsidP="004B23AD">
      <w:pPr>
        <w:suppressAutoHyphens w:val="0"/>
        <w:autoSpaceDE w:val="0"/>
        <w:autoSpaceDN w:val="0"/>
        <w:adjustRightInd w:val="0"/>
        <w:spacing w:line="240" w:lineRule="auto"/>
        <w:jc w:val="both"/>
        <w:rPr>
          <w:bCs/>
          <w:snapToGrid/>
          <w:lang w:val="de-DE" w:eastAsia="de-DE"/>
        </w:rPr>
      </w:pPr>
      <w:r w:rsidRPr="004B23AD">
        <w:rPr>
          <w:bCs/>
          <w:snapToGrid/>
          <w:lang w:val="de-DE" w:eastAsia="de-DE"/>
        </w:rPr>
        <w:t>„Versandstücke mit Gegenständen der Verträglichkeitsgruppe „B“ und Versandstücke mit Stoffen und Gegenständen der Verträglichkeitsgruppe „D“ dürfen nur zusammen in einem Laderaum gestaut werden, wenn sie in geschlossenen Containern, gedeckten Fahrzeugen oder gedeckten Wagen verladen sind.“</w:t>
      </w:r>
      <w:r>
        <w:rPr>
          <w:bCs/>
          <w:snapToGrid/>
          <w:lang w:val="de-DE" w:eastAsia="de-DE"/>
        </w:rPr>
        <w:t>.</w:t>
      </w:r>
    </w:p>
    <w:p w:rsidR="004B23AD" w:rsidRPr="004B23AD" w:rsidRDefault="004B23AD" w:rsidP="004B23AD">
      <w:pPr>
        <w:suppressAutoHyphens w:val="0"/>
        <w:autoSpaceDE w:val="0"/>
        <w:autoSpaceDN w:val="0"/>
        <w:adjustRightInd w:val="0"/>
        <w:spacing w:line="240" w:lineRule="auto"/>
        <w:jc w:val="both"/>
        <w:rPr>
          <w:bCs/>
          <w:snapToGrid/>
          <w:lang w:val="de-DE" w:eastAsia="de-DE"/>
        </w:rPr>
      </w:pPr>
    </w:p>
    <w:p w:rsidR="004B23AD" w:rsidRPr="004B23AD" w:rsidRDefault="004B23AD" w:rsidP="004B23AD">
      <w:pPr>
        <w:suppressAutoHyphens w:val="0"/>
        <w:autoSpaceDE w:val="0"/>
        <w:autoSpaceDN w:val="0"/>
        <w:adjustRightInd w:val="0"/>
        <w:spacing w:line="240" w:lineRule="auto"/>
        <w:jc w:val="both"/>
        <w:rPr>
          <w:bCs/>
          <w:snapToGrid/>
          <w:lang w:val="de-DE" w:eastAsia="de-DE"/>
        </w:rPr>
      </w:pPr>
      <w:r w:rsidRPr="004B23AD">
        <w:rPr>
          <w:bCs/>
          <w:snapToGrid/>
          <w:lang w:val="de-DE" w:eastAsia="de-DE"/>
        </w:rPr>
        <w:t>7.1.4.14.4</w:t>
      </w:r>
    </w:p>
    <w:p w:rsidR="004B23AD" w:rsidRPr="004B23AD" w:rsidRDefault="004B23AD" w:rsidP="004B23AD">
      <w:pPr>
        <w:suppressAutoHyphens w:val="0"/>
        <w:autoSpaceDE w:val="0"/>
        <w:autoSpaceDN w:val="0"/>
        <w:adjustRightInd w:val="0"/>
        <w:spacing w:line="240" w:lineRule="auto"/>
        <w:jc w:val="both"/>
        <w:rPr>
          <w:bCs/>
          <w:snapToGrid/>
          <w:lang w:val="de-DE" w:eastAsia="de-DE"/>
        </w:rPr>
      </w:pPr>
      <w:r w:rsidRPr="004B23AD">
        <w:rPr>
          <w:bCs/>
          <w:snapToGrid/>
          <w:lang w:val="de-DE" w:eastAsia="de-DE"/>
        </w:rPr>
        <w:t>Der erste Anstrich lautet: „geschlossenen Containern;“.</w:t>
      </w:r>
    </w:p>
    <w:p w:rsidR="004B23AD" w:rsidRPr="004B23AD" w:rsidRDefault="004B23AD" w:rsidP="004B23AD">
      <w:pPr>
        <w:suppressAutoHyphens w:val="0"/>
        <w:autoSpaceDE w:val="0"/>
        <w:autoSpaceDN w:val="0"/>
        <w:adjustRightInd w:val="0"/>
        <w:spacing w:line="240" w:lineRule="auto"/>
        <w:jc w:val="both"/>
        <w:rPr>
          <w:bCs/>
          <w:snapToGrid/>
          <w:lang w:val="de-DE" w:eastAsia="de-DE"/>
        </w:rPr>
      </w:pPr>
      <w:r w:rsidRPr="004B23AD">
        <w:rPr>
          <w:bCs/>
          <w:snapToGrid/>
          <w:lang w:val="de-DE" w:eastAsia="de-DE"/>
        </w:rPr>
        <w:t>Der dritte anstrich lautet: „gedeckten Fahrzeugen oder gedeckten Wagen;“.</w:t>
      </w:r>
    </w:p>
    <w:p w:rsidR="004B23AD" w:rsidRPr="004B23AD" w:rsidRDefault="004B23AD" w:rsidP="004B23AD">
      <w:pPr>
        <w:suppressAutoHyphens w:val="0"/>
        <w:autoSpaceDE w:val="0"/>
        <w:autoSpaceDN w:val="0"/>
        <w:adjustRightInd w:val="0"/>
        <w:spacing w:line="240" w:lineRule="auto"/>
        <w:jc w:val="both"/>
        <w:rPr>
          <w:bCs/>
          <w:snapToGrid/>
          <w:lang w:val="de-DE" w:eastAsia="de-DE"/>
        </w:rPr>
      </w:pPr>
    </w:p>
    <w:p w:rsidR="004B23AD" w:rsidRPr="004B23AD" w:rsidRDefault="004B23AD" w:rsidP="004B23AD">
      <w:pPr>
        <w:suppressAutoHyphens w:val="0"/>
        <w:autoSpaceDE w:val="0"/>
        <w:autoSpaceDN w:val="0"/>
        <w:adjustRightInd w:val="0"/>
        <w:spacing w:line="240" w:lineRule="auto"/>
        <w:jc w:val="both"/>
        <w:rPr>
          <w:bCs/>
          <w:snapToGrid/>
          <w:lang w:val="de-DE" w:eastAsia="de-DE"/>
        </w:rPr>
      </w:pPr>
      <w:r w:rsidRPr="004B23AD">
        <w:rPr>
          <w:bCs/>
          <w:snapToGrid/>
          <w:lang w:val="de-DE" w:eastAsia="de-DE"/>
        </w:rPr>
        <w:t>1.1.3.6.2</w:t>
      </w:r>
    </w:p>
    <w:p w:rsidR="004B23AD" w:rsidRPr="004B23AD" w:rsidRDefault="004B23AD" w:rsidP="004B23AD">
      <w:pPr>
        <w:suppressAutoHyphens w:val="0"/>
        <w:autoSpaceDE w:val="0"/>
        <w:autoSpaceDN w:val="0"/>
        <w:adjustRightInd w:val="0"/>
        <w:spacing w:line="240" w:lineRule="auto"/>
        <w:jc w:val="both"/>
        <w:rPr>
          <w:bCs/>
          <w:snapToGrid/>
          <w:lang w:val="de-DE" w:eastAsia="de-DE"/>
        </w:rPr>
      </w:pPr>
      <w:r w:rsidRPr="004B23AD">
        <w:rPr>
          <w:bCs/>
          <w:snapToGrid/>
          <w:lang w:val="de-DE" w:eastAsia="de-DE"/>
        </w:rPr>
        <w:t>Der erste und zweite Anstrich von Buchstabe d) lauten:</w:t>
      </w:r>
    </w:p>
    <w:p w:rsidR="004B23AD" w:rsidRPr="004B23AD" w:rsidRDefault="004B23AD" w:rsidP="004B23AD">
      <w:pPr>
        <w:tabs>
          <w:tab w:val="left" w:pos="284"/>
        </w:tabs>
        <w:suppressAutoHyphens w:val="0"/>
        <w:autoSpaceDE w:val="0"/>
        <w:autoSpaceDN w:val="0"/>
        <w:adjustRightInd w:val="0"/>
        <w:spacing w:line="240" w:lineRule="auto"/>
        <w:jc w:val="both"/>
        <w:rPr>
          <w:bCs/>
          <w:snapToGrid/>
          <w:lang w:val="de-DE" w:eastAsia="de-DE"/>
        </w:rPr>
      </w:pPr>
      <w:r w:rsidRPr="004B23AD">
        <w:rPr>
          <w:bCs/>
          <w:snapToGrid/>
          <w:lang w:val="de-DE" w:eastAsia="de-DE"/>
        </w:rPr>
        <w:t>„-</w:t>
      </w:r>
      <w:r>
        <w:rPr>
          <w:bCs/>
          <w:snapToGrid/>
          <w:lang w:val="de-DE" w:eastAsia="de-DE"/>
        </w:rPr>
        <w:tab/>
      </w:r>
      <w:r w:rsidRPr="004B23AD">
        <w:rPr>
          <w:bCs/>
          <w:snapToGrid/>
          <w:lang w:val="de-DE" w:eastAsia="de-DE"/>
        </w:rPr>
        <w:t>geschlossenen Containern;</w:t>
      </w:r>
    </w:p>
    <w:p w:rsidR="004B23AD" w:rsidRPr="004B23AD" w:rsidRDefault="004B23AD" w:rsidP="004B23AD">
      <w:pPr>
        <w:pStyle w:val="ListParagraph"/>
        <w:numPr>
          <w:ilvl w:val="0"/>
          <w:numId w:val="42"/>
        </w:numPr>
        <w:tabs>
          <w:tab w:val="left" w:pos="284"/>
        </w:tabs>
        <w:suppressAutoHyphens w:val="0"/>
        <w:autoSpaceDE w:val="0"/>
        <w:autoSpaceDN w:val="0"/>
        <w:adjustRightInd w:val="0"/>
        <w:spacing w:line="240" w:lineRule="auto"/>
        <w:ind w:left="0" w:firstLine="0"/>
        <w:jc w:val="both"/>
        <w:rPr>
          <w:bCs/>
          <w:snapToGrid/>
          <w:lang w:val="de-DE" w:eastAsia="de-DE"/>
        </w:rPr>
      </w:pPr>
      <w:r w:rsidRPr="004B23AD">
        <w:rPr>
          <w:bCs/>
          <w:snapToGrid/>
          <w:lang w:val="de-DE" w:eastAsia="de-DE"/>
        </w:rPr>
        <w:t>gedeckten Fahrzeugen oder gedeckten Wagen.“.</w:t>
      </w:r>
    </w:p>
    <w:p w:rsidR="004B23AD" w:rsidRPr="004B23AD" w:rsidRDefault="004B23AD" w:rsidP="004B23AD">
      <w:pPr>
        <w:tabs>
          <w:tab w:val="left" w:pos="284"/>
        </w:tabs>
        <w:suppressAutoHyphens w:val="0"/>
        <w:autoSpaceDE w:val="0"/>
        <w:autoSpaceDN w:val="0"/>
        <w:adjustRightInd w:val="0"/>
        <w:spacing w:line="240" w:lineRule="auto"/>
        <w:jc w:val="both"/>
        <w:rPr>
          <w:bCs/>
          <w:snapToGrid/>
          <w:lang w:val="de-DE" w:eastAsia="de-DE"/>
        </w:rPr>
      </w:pPr>
      <w:r w:rsidRPr="004B23AD">
        <w:rPr>
          <w:bCs/>
          <w:snapToGrid/>
          <w:lang w:val="de-DE" w:eastAsia="de-DE"/>
        </w:rPr>
        <w:t>Der erste und zweite Anstrich von Buchstabe e) lauten:</w:t>
      </w:r>
    </w:p>
    <w:p w:rsidR="004B23AD" w:rsidRPr="004B23AD" w:rsidRDefault="004B23AD" w:rsidP="004B23AD">
      <w:pPr>
        <w:tabs>
          <w:tab w:val="left" w:pos="284"/>
        </w:tabs>
        <w:suppressAutoHyphens w:val="0"/>
        <w:autoSpaceDE w:val="0"/>
        <w:autoSpaceDN w:val="0"/>
        <w:adjustRightInd w:val="0"/>
        <w:spacing w:line="240" w:lineRule="auto"/>
        <w:jc w:val="both"/>
        <w:rPr>
          <w:bCs/>
          <w:snapToGrid/>
          <w:lang w:val="de-DE" w:eastAsia="de-DE"/>
        </w:rPr>
      </w:pPr>
      <w:r w:rsidRPr="004B23AD">
        <w:rPr>
          <w:bCs/>
          <w:snapToGrid/>
          <w:lang w:val="de-DE" w:eastAsia="de-DE"/>
        </w:rPr>
        <w:t>„-</w:t>
      </w:r>
      <w:r>
        <w:rPr>
          <w:bCs/>
          <w:snapToGrid/>
          <w:lang w:val="de-DE" w:eastAsia="de-DE"/>
        </w:rPr>
        <w:tab/>
      </w:r>
      <w:r w:rsidRPr="004B23AD">
        <w:rPr>
          <w:bCs/>
          <w:snapToGrid/>
          <w:lang w:val="de-DE" w:eastAsia="de-DE"/>
        </w:rPr>
        <w:t>geschlossene Containern;</w:t>
      </w:r>
    </w:p>
    <w:p w:rsidR="004B23AD" w:rsidRPr="004B23AD" w:rsidRDefault="004B23AD" w:rsidP="004B23AD">
      <w:pPr>
        <w:pStyle w:val="ListParagraph"/>
        <w:numPr>
          <w:ilvl w:val="0"/>
          <w:numId w:val="41"/>
        </w:numPr>
        <w:tabs>
          <w:tab w:val="left" w:pos="284"/>
        </w:tabs>
        <w:suppressAutoHyphens w:val="0"/>
        <w:autoSpaceDE w:val="0"/>
        <w:autoSpaceDN w:val="0"/>
        <w:adjustRightInd w:val="0"/>
        <w:spacing w:line="240" w:lineRule="auto"/>
        <w:ind w:left="0" w:firstLine="0"/>
        <w:jc w:val="both"/>
        <w:rPr>
          <w:bCs/>
          <w:snapToGrid/>
          <w:lang w:val="de-DE" w:eastAsia="de-DE"/>
        </w:rPr>
      </w:pPr>
      <w:r w:rsidRPr="004B23AD">
        <w:rPr>
          <w:bCs/>
          <w:snapToGrid/>
          <w:lang w:val="de-DE" w:eastAsia="de-DE"/>
        </w:rPr>
        <w:t>gedeckte Fahrzeuge und gedeckte Wagen.“.</w:t>
      </w:r>
    </w:p>
    <w:p w:rsidR="003317E7" w:rsidRPr="004B23AD" w:rsidRDefault="003317E7" w:rsidP="004B23AD">
      <w:pPr>
        <w:jc w:val="both"/>
        <w:rPr>
          <w:b/>
          <w:snapToGrid/>
          <w:lang w:val="de-DE" w:eastAsia="de-DE"/>
        </w:rPr>
      </w:pPr>
    </w:p>
    <w:p w:rsidR="00BD7264" w:rsidRPr="004B23AD" w:rsidRDefault="0004012A" w:rsidP="004B23AD">
      <w:pPr>
        <w:tabs>
          <w:tab w:val="left" w:pos="1985"/>
        </w:tabs>
        <w:suppressAutoHyphens w:val="0"/>
        <w:autoSpaceDE w:val="0"/>
        <w:autoSpaceDN w:val="0"/>
        <w:adjustRightInd w:val="0"/>
        <w:ind w:left="1134" w:right="567"/>
        <w:jc w:val="center"/>
        <w:rPr>
          <w:lang w:val="fr-FR"/>
        </w:rPr>
      </w:pPr>
      <w:r w:rsidRPr="004B23AD">
        <w:rPr>
          <w:lang w:val="fr-FR"/>
        </w:rPr>
        <w:t>***</w:t>
      </w:r>
    </w:p>
    <w:sectPr w:rsidR="00BD7264" w:rsidRPr="004B23AD" w:rsidSect="004B23AD">
      <w:headerReference w:type="even" r:id="rId10"/>
      <w:headerReference w:type="default" r:id="rId11"/>
      <w:footerReference w:type="even" r:id="rId12"/>
      <w:footerReference w:type="default" r:id="rId13"/>
      <w:pgSz w:w="11907" w:h="16839" w:code="9"/>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A12" w:rsidRDefault="00361A12">
      <w:pPr>
        <w:rPr>
          <w:szCs w:val="24"/>
        </w:rPr>
      </w:pPr>
    </w:p>
  </w:endnote>
  <w:endnote w:type="continuationSeparator" w:id="0">
    <w:p w:rsidR="00361A12" w:rsidRDefault="00361A12">
      <w:pPr>
        <w:rPr>
          <w:szCs w:val="24"/>
        </w:rPr>
      </w:pPr>
    </w:p>
  </w:endnote>
  <w:endnote w:type="continuationNotice" w:id="1">
    <w:p w:rsidR="00361A12" w:rsidRDefault="00361A12">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12" w:rsidRPr="00E345CE" w:rsidRDefault="00361A12" w:rsidP="0004012A">
    <w:pPr>
      <w:pStyle w:val="Footer"/>
      <w:jc w:val="right"/>
      <w:rPr>
        <w:rFonts w:ascii="Arial" w:hAnsi="Arial"/>
        <w:noProof/>
        <w:snapToGrid/>
        <w:sz w:val="12"/>
        <w:szCs w:val="24"/>
        <w:lang w:val="en-US"/>
      </w:rPr>
    </w:pPr>
    <w:r>
      <w:rPr>
        <w:rFonts w:ascii="Arial" w:hAnsi="Arial"/>
        <w:noProof/>
        <w:snapToGrid/>
        <w:sz w:val="12"/>
        <w:szCs w:val="24"/>
        <w:lang w:val="en-US"/>
      </w:rPr>
      <w:t>mm/adn_wp15_ac2_201</w:t>
    </w:r>
    <w:r w:rsidR="000B32A6">
      <w:rPr>
        <w:rFonts w:ascii="Arial" w:hAnsi="Arial"/>
        <w:noProof/>
        <w:snapToGrid/>
        <w:sz w:val="12"/>
        <w:szCs w:val="24"/>
        <w:lang w:val="en-US"/>
      </w:rPr>
      <w:t>7</w:t>
    </w:r>
    <w:r>
      <w:rPr>
        <w:rFonts w:ascii="Arial" w:hAnsi="Arial"/>
        <w:noProof/>
        <w:snapToGrid/>
        <w:sz w:val="12"/>
        <w:szCs w:val="24"/>
        <w:lang w:val="en-US"/>
      </w:rPr>
      <w:t>_</w:t>
    </w:r>
    <w:r w:rsidR="008F0966">
      <w:rPr>
        <w:rFonts w:ascii="Arial" w:hAnsi="Arial"/>
        <w:noProof/>
        <w:snapToGrid/>
        <w:sz w:val="12"/>
        <w:szCs w:val="24"/>
        <w:lang w:val="en-US"/>
      </w:rPr>
      <w:t>26</w:t>
    </w:r>
    <w:r>
      <w:rPr>
        <w:rFonts w:ascii="Arial" w:hAnsi="Arial"/>
        <w:noProof/>
        <w:snapToGrid/>
        <w:sz w:val="12"/>
        <w:szCs w:val="24"/>
        <w:lang w:val="en-US"/>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12" w:rsidRPr="00951A0F" w:rsidRDefault="006C380B" w:rsidP="00951A0F">
    <w:pPr>
      <w:pStyle w:val="Footer"/>
      <w:jc w:val="right"/>
      <w:rPr>
        <w:lang w:val="fr-FR"/>
      </w:rPr>
    </w:pPr>
    <w:r>
      <w:rPr>
        <w:rFonts w:ascii="Arial" w:hAnsi="Arial"/>
        <w:noProof/>
        <w:snapToGrid/>
        <w:sz w:val="12"/>
        <w:szCs w:val="24"/>
        <w:lang w:val="en-US"/>
      </w:rPr>
      <w:t>mm/adn_wp15_ac2_2017_</w:t>
    </w:r>
    <w:r w:rsidR="00274B11">
      <w:rPr>
        <w:rFonts w:ascii="Arial" w:hAnsi="Arial"/>
        <w:noProof/>
        <w:snapToGrid/>
        <w:sz w:val="12"/>
        <w:szCs w:val="24"/>
        <w:lang w:val="en-US"/>
      </w:rPr>
      <w:t>26</w:t>
    </w:r>
    <w:r>
      <w:rPr>
        <w:rFonts w:ascii="Arial" w:hAnsi="Arial"/>
        <w:noProof/>
        <w:snapToGrid/>
        <w:sz w:val="12"/>
        <w:szCs w:val="24"/>
        <w:lang w:val="en-US"/>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A12" w:rsidRDefault="00361A12">
      <w:pPr>
        <w:tabs>
          <w:tab w:val="right" w:pos="2155"/>
        </w:tabs>
        <w:spacing w:after="80"/>
        <w:ind w:left="680"/>
        <w:rPr>
          <w:szCs w:val="24"/>
          <w:u w:val="single"/>
        </w:rPr>
      </w:pPr>
      <w:r>
        <w:rPr>
          <w:szCs w:val="24"/>
          <w:u w:val="single"/>
        </w:rPr>
        <w:tab/>
      </w:r>
    </w:p>
  </w:footnote>
  <w:footnote w:type="continuationSeparator" w:id="0">
    <w:p w:rsidR="00361A12" w:rsidRDefault="00361A12">
      <w:pPr>
        <w:tabs>
          <w:tab w:val="left" w:pos="2155"/>
        </w:tabs>
        <w:spacing w:after="80"/>
        <w:ind w:left="680"/>
        <w:rPr>
          <w:szCs w:val="24"/>
          <w:u w:val="single"/>
        </w:rPr>
      </w:pPr>
      <w:r>
        <w:rPr>
          <w:szCs w:val="24"/>
          <w:u w:val="single"/>
        </w:rPr>
        <w:tab/>
      </w:r>
    </w:p>
  </w:footnote>
  <w:footnote w:type="continuationNotice" w:id="1">
    <w:p w:rsidR="00361A12" w:rsidRDefault="00361A12">
      <w:pPr>
        <w:rPr>
          <w:szCs w:val="24"/>
        </w:rPr>
      </w:pPr>
    </w:p>
  </w:footnote>
  <w:footnote w:id="2">
    <w:p w:rsidR="00361A12" w:rsidRPr="005F667A" w:rsidRDefault="00361A12" w:rsidP="00E15DF0">
      <w:pPr>
        <w:pStyle w:val="FootnoteText"/>
        <w:ind w:left="284" w:hanging="284"/>
        <w:rPr>
          <w:sz w:val="16"/>
          <w:szCs w:val="16"/>
          <w:lang w:val="de-DE"/>
        </w:rPr>
      </w:pPr>
      <w:r w:rsidRPr="0061638E">
        <w:rPr>
          <w:rStyle w:val="FootnoteReference"/>
          <w:sz w:val="16"/>
          <w:szCs w:val="16"/>
        </w:rPr>
        <w:footnoteRef/>
      </w:r>
      <w:r w:rsidRPr="005F667A">
        <w:rPr>
          <w:sz w:val="16"/>
          <w:szCs w:val="16"/>
          <w:lang w:val="de-DE"/>
        </w:rPr>
        <w:t xml:space="preserve"> </w:t>
      </w:r>
      <w:r w:rsidRPr="005F667A">
        <w:rPr>
          <w:sz w:val="16"/>
          <w:szCs w:val="16"/>
          <w:lang w:val="de-DE"/>
        </w:rPr>
        <w:tab/>
        <w:t>Von der UN-ECE in Englisch, Französisch und Russisch unter dem Aktenzeichen ECE/TRANS/WP.15/AC.2/</w:t>
      </w:r>
      <w:r>
        <w:rPr>
          <w:sz w:val="16"/>
          <w:szCs w:val="16"/>
          <w:lang w:val="de-DE"/>
        </w:rPr>
        <w:t>201</w:t>
      </w:r>
      <w:r w:rsidR="000C41C9">
        <w:rPr>
          <w:sz w:val="16"/>
          <w:szCs w:val="16"/>
          <w:lang w:val="de-DE"/>
        </w:rPr>
        <w:t>7</w:t>
      </w:r>
      <w:r w:rsidRPr="005F667A">
        <w:rPr>
          <w:sz w:val="16"/>
          <w:szCs w:val="16"/>
          <w:lang w:val="de-DE"/>
        </w:rPr>
        <w:t>/</w:t>
      </w:r>
      <w:r w:rsidR="008F0966">
        <w:rPr>
          <w:sz w:val="16"/>
          <w:szCs w:val="16"/>
          <w:lang w:val="de-DE"/>
        </w:rPr>
        <w:t>26</w:t>
      </w:r>
      <w:r>
        <w:rPr>
          <w:sz w:val="16"/>
          <w:szCs w:val="16"/>
          <w:lang w:val="de-DE"/>
        </w:rPr>
        <w:t xml:space="preserve"> </w:t>
      </w:r>
      <w:r w:rsidRPr="005F667A">
        <w:rPr>
          <w:sz w:val="16"/>
          <w:szCs w:val="16"/>
          <w:lang w:val="de-DE"/>
        </w:rPr>
        <w:t>verteilt.</w:t>
      </w:r>
    </w:p>
  </w:footnote>
  <w:footnote w:id="3">
    <w:p w:rsidR="00361A12" w:rsidRPr="00447333" w:rsidRDefault="00361A12" w:rsidP="004545E9">
      <w:pPr>
        <w:pStyle w:val="FootnoteText"/>
        <w:tabs>
          <w:tab w:val="clear" w:pos="1021"/>
          <w:tab w:val="left" w:pos="284"/>
        </w:tabs>
        <w:ind w:left="284" w:hanging="284"/>
        <w:rPr>
          <w:sz w:val="16"/>
          <w:szCs w:val="16"/>
          <w:lang w:val="de-DE"/>
        </w:rPr>
      </w:pPr>
      <w:r>
        <w:rPr>
          <w:rStyle w:val="FootnoteReference"/>
        </w:rPr>
        <w:footnoteRef/>
      </w:r>
      <w:r w:rsidRPr="00447333">
        <w:rPr>
          <w:lang w:val="de-DE"/>
        </w:rPr>
        <w:t xml:space="preserve"> </w:t>
      </w:r>
      <w:r>
        <w:rPr>
          <w:lang w:val="de-DE"/>
        </w:rPr>
        <w:tab/>
      </w:r>
      <w:r w:rsidRPr="00447333">
        <w:rPr>
          <w:sz w:val="16"/>
          <w:szCs w:val="16"/>
          <w:lang w:val="de-DE"/>
        </w:rPr>
        <w:t>Entsprechend dem Arbeitsprogramm des Binnenverkehrsausschusses für 2016-2017 (ECE/TRANS/2016/28/Add.1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C9" w:rsidRDefault="00361A12" w:rsidP="0004012A">
    <w:pPr>
      <w:pStyle w:val="Header"/>
      <w:pBdr>
        <w:bottom w:val="none" w:sz="0" w:space="0" w:color="auto"/>
      </w:pBdr>
      <w:rPr>
        <w:rFonts w:ascii="Arial" w:hAnsi="Arial"/>
        <w:b w:val="0"/>
        <w:sz w:val="16"/>
        <w:szCs w:val="16"/>
        <w:lang w:val="en-US"/>
      </w:rPr>
    </w:pPr>
    <w:r w:rsidRPr="00BE68B7">
      <w:rPr>
        <w:rFonts w:ascii="Arial" w:hAnsi="Arial"/>
        <w:b w:val="0"/>
        <w:sz w:val="16"/>
        <w:szCs w:val="16"/>
        <w:lang w:val="en-US"/>
      </w:rPr>
      <w:t>CCNR-ZKR/ADN/WP.15/AC.2/201</w:t>
    </w:r>
    <w:r w:rsidR="000B32A6">
      <w:rPr>
        <w:rFonts w:ascii="Arial" w:hAnsi="Arial"/>
        <w:b w:val="0"/>
        <w:sz w:val="16"/>
        <w:szCs w:val="16"/>
        <w:lang w:val="en-US"/>
      </w:rPr>
      <w:t>7/</w:t>
    </w:r>
    <w:r w:rsidR="008F0966">
      <w:rPr>
        <w:rFonts w:ascii="Arial" w:hAnsi="Arial"/>
        <w:b w:val="0"/>
        <w:sz w:val="16"/>
        <w:szCs w:val="16"/>
        <w:lang w:val="en-US"/>
      </w:rPr>
      <w:t>26</w:t>
    </w:r>
  </w:p>
  <w:p w:rsidR="00361A12" w:rsidRPr="008F1455" w:rsidRDefault="00361A12" w:rsidP="0004012A">
    <w:pPr>
      <w:pStyle w:val="Header"/>
      <w:pBdr>
        <w:bottom w:val="none" w:sz="0" w:space="0" w:color="auto"/>
      </w:pBdr>
      <w:rPr>
        <w:rFonts w:ascii="Arial" w:hAnsi="Arial"/>
        <w:b w:val="0"/>
        <w:sz w:val="16"/>
        <w:szCs w:val="16"/>
      </w:rPr>
    </w:pPr>
    <w:proofErr w:type="spellStart"/>
    <w:r>
      <w:rPr>
        <w:rFonts w:ascii="Arial" w:hAnsi="Arial"/>
        <w:b w:val="0"/>
        <w:sz w:val="16"/>
        <w:szCs w:val="16"/>
      </w:rPr>
      <w:t>Seite</w:t>
    </w:r>
    <w:proofErr w:type="spellEnd"/>
    <w:r w:rsidRPr="008F1455">
      <w:rPr>
        <w:rFonts w:ascii="Arial" w:hAnsi="Arial"/>
        <w:b w:val="0"/>
        <w:sz w:val="16"/>
        <w:szCs w:val="16"/>
      </w:rPr>
      <w:t xml:space="preserv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sidR="00A5519B">
      <w:rPr>
        <w:rFonts w:ascii="Arial" w:hAnsi="Arial"/>
        <w:b w:val="0"/>
        <w:noProof/>
        <w:sz w:val="16"/>
        <w:szCs w:val="16"/>
      </w:rPr>
      <w:t>2</w:t>
    </w:r>
    <w:r w:rsidRPr="008F1455">
      <w:rPr>
        <w:rFonts w:ascii="Arial" w:hAnsi="Arial"/>
        <w:b w:val="0"/>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12" w:rsidRPr="008F1455" w:rsidRDefault="00361A12" w:rsidP="0004012A">
    <w:pPr>
      <w:pStyle w:val="Header"/>
      <w:pBdr>
        <w:bottom w:val="none" w:sz="0" w:space="0" w:color="auto"/>
      </w:pBdr>
      <w:jc w:val="right"/>
      <w:rPr>
        <w:rFonts w:ascii="Arial" w:hAnsi="Arial"/>
        <w:b w:val="0"/>
        <w:sz w:val="16"/>
        <w:szCs w:val="16"/>
        <w:lang w:val="fr-FR"/>
      </w:rPr>
    </w:pPr>
    <w:r w:rsidRPr="008F1455">
      <w:rPr>
        <w:rFonts w:ascii="Arial" w:hAnsi="Arial"/>
        <w:b w:val="0"/>
        <w:sz w:val="16"/>
        <w:szCs w:val="16"/>
        <w:lang w:val="fr-FR"/>
      </w:rPr>
      <w:t>CCNR-ZKR/ADN/WP.15/AC.2/201</w:t>
    </w:r>
    <w:r w:rsidR="00D748D7">
      <w:rPr>
        <w:rFonts w:ascii="Arial" w:hAnsi="Arial"/>
        <w:b w:val="0"/>
        <w:sz w:val="16"/>
        <w:szCs w:val="16"/>
        <w:lang w:val="fr-FR"/>
      </w:rPr>
      <w:t>7/</w:t>
    </w:r>
    <w:r w:rsidR="00274B11">
      <w:rPr>
        <w:rFonts w:ascii="Arial" w:hAnsi="Arial"/>
        <w:b w:val="0"/>
        <w:sz w:val="16"/>
        <w:szCs w:val="16"/>
        <w:lang w:val="fr-FR"/>
      </w:rPr>
      <w:t>26</w:t>
    </w:r>
  </w:p>
  <w:p w:rsidR="00361A12" w:rsidRPr="008F1455" w:rsidRDefault="00372808" w:rsidP="0004012A">
    <w:pPr>
      <w:pStyle w:val="Header"/>
      <w:pBdr>
        <w:bottom w:val="none" w:sz="0" w:space="0" w:color="auto"/>
      </w:pBdr>
      <w:jc w:val="right"/>
      <w:rPr>
        <w:rFonts w:ascii="Arial" w:hAnsi="Arial"/>
        <w:b w:val="0"/>
        <w:sz w:val="16"/>
        <w:szCs w:val="16"/>
      </w:rPr>
    </w:pPr>
    <w:proofErr w:type="spellStart"/>
    <w:r>
      <w:rPr>
        <w:rFonts w:ascii="Arial" w:hAnsi="Arial"/>
        <w:b w:val="0"/>
        <w:sz w:val="16"/>
        <w:szCs w:val="16"/>
      </w:rPr>
      <w:t>Seite</w:t>
    </w:r>
    <w:proofErr w:type="spellEnd"/>
    <w:r w:rsidR="00361A12" w:rsidRPr="008F1455">
      <w:rPr>
        <w:rFonts w:ascii="Arial" w:hAnsi="Arial"/>
        <w:b w:val="0"/>
        <w:sz w:val="16"/>
        <w:szCs w:val="16"/>
      </w:rPr>
      <w:t xml:space="preserve"> </w:t>
    </w:r>
    <w:r w:rsidR="00361A12" w:rsidRPr="008F1455">
      <w:rPr>
        <w:rFonts w:ascii="Arial" w:hAnsi="Arial"/>
        <w:b w:val="0"/>
        <w:sz w:val="16"/>
        <w:szCs w:val="16"/>
      </w:rPr>
      <w:fldChar w:fldCharType="begin"/>
    </w:r>
    <w:r w:rsidR="00361A12" w:rsidRPr="008F1455">
      <w:rPr>
        <w:rFonts w:ascii="Arial" w:hAnsi="Arial"/>
        <w:b w:val="0"/>
        <w:sz w:val="16"/>
        <w:szCs w:val="16"/>
      </w:rPr>
      <w:instrText xml:space="preserve"> PAGE  \* MERGEFORMAT </w:instrText>
    </w:r>
    <w:r w:rsidR="00361A12" w:rsidRPr="008F1455">
      <w:rPr>
        <w:rFonts w:ascii="Arial" w:hAnsi="Arial"/>
        <w:b w:val="0"/>
        <w:sz w:val="16"/>
        <w:szCs w:val="16"/>
      </w:rPr>
      <w:fldChar w:fldCharType="separate"/>
    </w:r>
    <w:r w:rsidR="00A5519B">
      <w:rPr>
        <w:rFonts w:ascii="Arial" w:hAnsi="Arial"/>
        <w:b w:val="0"/>
        <w:noProof/>
        <w:sz w:val="16"/>
        <w:szCs w:val="16"/>
      </w:rPr>
      <w:t>3</w:t>
    </w:r>
    <w:r w:rsidR="00361A12" w:rsidRPr="008F1455">
      <w:rPr>
        <w:rFonts w:ascii="Arial" w:hAnsi="Arial"/>
        <w:b w:val="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nsid w:val="271C1FC5"/>
    <w:multiLevelType w:val="hybridMultilevel"/>
    <w:tmpl w:val="2AA6AFF4"/>
    <w:lvl w:ilvl="0" w:tplc="65BAFB60">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2">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nsid w:val="39EA16C0"/>
    <w:multiLevelType w:val="hybridMultilevel"/>
    <w:tmpl w:val="BDFAA804"/>
    <w:lvl w:ilvl="0" w:tplc="B00897C4">
      <w:start w:val="1"/>
      <w:numFmt w:val="decimal"/>
      <w:lvlText w:val="%1."/>
      <w:lvlJc w:val="left"/>
      <w:pPr>
        <w:ind w:left="1974" w:hanging="840"/>
      </w:pPr>
      <w:rPr>
        <w:rFonts w:hint="default"/>
        <w:sz w:val="22"/>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6">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7">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8">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20">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2">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3">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5">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6">
    <w:nsid w:val="54E22E6B"/>
    <w:multiLevelType w:val="hybridMultilevel"/>
    <w:tmpl w:val="61FA08C8"/>
    <w:lvl w:ilvl="0" w:tplc="2D3EEBB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7">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8">
    <w:nsid w:val="5C560D70"/>
    <w:multiLevelType w:val="hybridMultilevel"/>
    <w:tmpl w:val="0C100030"/>
    <w:lvl w:ilvl="0" w:tplc="A704CA00">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0">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32">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6">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7">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8">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9">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41">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4"/>
  </w:num>
  <w:num w:numId="4">
    <w:abstractNumId w:val="6"/>
  </w:num>
  <w:num w:numId="5">
    <w:abstractNumId w:val="39"/>
  </w:num>
  <w:num w:numId="6">
    <w:abstractNumId w:val="4"/>
  </w:num>
  <w:num w:numId="7">
    <w:abstractNumId w:val="7"/>
  </w:num>
  <w:num w:numId="8">
    <w:abstractNumId w:val="24"/>
  </w:num>
  <w:num w:numId="9">
    <w:abstractNumId w:val="15"/>
  </w:num>
  <w:num w:numId="10">
    <w:abstractNumId w:val="8"/>
  </w:num>
  <w:num w:numId="11">
    <w:abstractNumId w:val="27"/>
  </w:num>
  <w:num w:numId="12">
    <w:abstractNumId w:val="5"/>
  </w:num>
  <w:num w:numId="13">
    <w:abstractNumId w:val="37"/>
  </w:num>
  <w:num w:numId="14">
    <w:abstractNumId w:val="9"/>
  </w:num>
  <w:num w:numId="15">
    <w:abstractNumId w:val="41"/>
  </w:num>
  <w:num w:numId="16">
    <w:abstractNumId w:val="35"/>
  </w:num>
  <w:num w:numId="17">
    <w:abstractNumId w:val="23"/>
  </w:num>
  <w:num w:numId="18">
    <w:abstractNumId w:val="17"/>
  </w:num>
  <w:num w:numId="19">
    <w:abstractNumId w:val="25"/>
  </w:num>
  <w:num w:numId="20">
    <w:abstractNumId w:val="11"/>
  </w:num>
  <w:num w:numId="21">
    <w:abstractNumId w:val="32"/>
  </w:num>
  <w:num w:numId="22">
    <w:abstractNumId w:val="40"/>
  </w:num>
  <w:num w:numId="23">
    <w:abstractNumId w:val="33"/>
  </w:num>
  <w:num w:numId="24">
    <w:abstractNumId w:val="20"/>
  </w:num>
  <w:num w:numId="25">
    <w:abstractNumId w:val="31"/>
  </w:num>
  <w:num w:numId="26">
    <w:abstractNumId w:val="19"/>
  </w:num>
  <w:num w:numId="27">
    <w:abstractNumId w:val="18"/>
  </w:num>
  <w:num w:numId="28">
    <w:abstractNumId w:val="36"/>
  </w:num>
  <w:num w:numId="29">
    <w:abstractNumId w:val="21"/>
  </w:num>
  <w:num w:numId="30">
    <w:abstractNumId w:val="30"/>
  </w:num>
  <w:num w:numId="31">
    <w:abstractNumId w:val="22"/>
  </w:num>
  <w:num w:numId="32">
    <w:abstractNumId w:val="29"/>
  </w:num>
  <w:num w:numId="33">
    <w:abstractNumId w:val="3"/>
  </w:num>
  <w:num w:numId="34">
    <w:abstractNumId w:val="13"/>
  </w:num>
  <w:num w:numId="35">
    <w:abstractNumId w:val="38"/>
  </w:num>
  <w:num w:numId="36">
    <w:abstractNumId w:val="16"/>
  </w:num>
  <w:num w:numId="37">
    <w:abstractNumId w:val="2"/>
  </w:num>
  <w:num w:numId="38">
    <w:abstractNumId w:val="12"/>
  </w:num>
  <w:num w:numId="39">
    <w:abstractNumId w:val="14"/>
  </w:num>
  <w:num w:numId="40">
    <w:abstractNumId w:val="26"/>
  </w:num>
  <w:num w:numId="41">
    <w:abstractNumId w:val="10"/>
  </w:num>
  <w:num w:numId="42">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80"/>
    <w:rsid w:val="000012AB"/>
    <w:rsid w:val="00001364"/>
    <w:rsid w:val="00001C32"/>
    <w:rsid w:val="000053C5"/>
    <w:rsid w:val="00010CCD"/>
    <w:rsid w:val="00020B06"/>
    <w:rsid w:val="0002116F"/>
    <w:rsid w:val="00024FB3"/>
    <w:rsid w:val="00030C06"/>
    <w:rsid w:val="00031537"/>
    <w:rsid w:val="000355BD"/>
    <w:rsid w:val="00035613"/>
    <w:rsid w:val="00037CC1"/>
    <w:rsid w:val="0004012A"/>
    <w:rsid w:val="0004044C"/>
    <w:rsid w:val="00042A50"/>
    <w:rsid w:val="00045320"/>
    <w:rsid w:val="000463F9"/>
    <w:rsid w:val="000471D8"/>
    <w:rsid w:val="00050941"/>
    <w:rsid w:val="00050F6B"/>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81084"/>
    <w:rsid w:val="0008130D"/>
    <w:rsid w:val="0008130F"/>
    <w:rsid w:val="0008420F"/>
    <w:rsid w:val="0008613C"/>
    <w:rsid w:val="000907FA"/>
    <w:rsid w:val="000931C0"/>
    <w:rsid w:val="00095E3D"/>
    <w:rsid w:val="00097767"/>
    <w:rsid w:val="000A0570"/>
    <w:rsid w:val="000A446A"/>
    <w:rsid w:val="000A52E3"/>
    <w:rsid w:val="000B175B"/>
    <w:rsid w:val="000B1C22"/>
    <w:rsid w:val="000B32A6"/>
    <w:rsid w:val="000B3A0F"/>
    <w:rsid w:val="000B5909"/>
    <w:rsid w:val="000B6729"/>
    <w:rsid w:val="000B6B5B"/>
    <w:rsid w:val="000B7ECB"/>
    <w:rsid w:val="000C023D"/>
    <w:rsid w:val="000C038D"/>
    <w:rsid w:val="000C41C9"/>
    <w:rsid w:val="000C4400"/>
    <w:rsid w:val="000C67EE"/>
    <w:rsid w:val="000C7258"/>
    <w:rsid w:val="000D14D1"/>
    <w:rsid w:val="000D1E8D"/>
    <w:rsid w:val="000D4601"/>
    <w:rsid w:val="000D57E8"/>
    <w:rsid w:val="000E0415"/>
    <w:rsid w:val="000E520B"/>
    <w:rsid w:val="000E566D"/>
    <w:rsid w:val="000E7062"/>
    <w:rsid w:val="000E7BD0"/>
    <w:rsid w:val="000F1374"/>
    <w:rsid w:val="000F2981"/>
    <w:rsid w:val="00101C30"/>
    <w:rsid w:val="001025CF"/>
    <w:rsid w:val="001066C5"/>
    <w:rsid w:val="00111C23"/>
    <w:rsid w:val="00113E8D"/>
    <w:rsid w:val="00113FC7"/>
    <w:rsid w:val="00120D79"/>
    <w:rsid w:val="00121B98"/>
    <w:rsid w:val="001220B8"/>
    <w:rsid w:val="00123A7B"/>
    <w:rsid w:val="00126927"/>
    <w:rsid w:val="00131A08"/>
    <w:rsid w:val="0013213F"/>
    <w:rsid w:val="0013574C"/>
    <w:rsid w:val="00135BA5"/>
    <w:rsid w:val="00136129"/>
    <w:rsid w:val="00137A57"/>
    <w:rsid w:val="001422F4"/>
    <w:rsid w:val="001426C0"/>
    <w:rsid w:val="00146FF1"/>
    <w:rsid w:val="001471A5"/>
    <w:rsid w:val="00151BFD"/>
    <w:rsid w:val="00155C78"/>
    <w:rsid w:val="00161846"/>
    <w:rsid w:val="0016237E"/>
    <w:rsid w:val="001628F5"/>
    <w:rsid w:val="00172CF3"/>
    <w:rsid w:val="001730D3"/>
    <w:rsid w:val="0017426A"/>
    <w:rsid w:val="00174EA5"/>
    <w:rsid w:val="001817E0"/>
    <w:rsid w:val="00181A2A"/>
    <w:rsid w:val="001870ED"/>
    <w:rsid w:val="00191685"/>
    <w:rsid w:val="00193460"/>
    <w:rsid w:val="001938F0"/>
    <w:rsid w:val="00194E53"/>
    <w:rsid w:val="001A1048"/>
    <w:rsid w:val="001A148C"/>
    <w:rsid w:val="001A2704"/>
    <w:rsid w:val="001A4ED5"/>
    <w:rsid w:val="001B3169"/>
    <w:rsid w:val="001B38C7"/>
    <w:rsid w:val="001B3934"/>
    <w:rsid w:val="001B4857"/>
    <w:rsid w:val="001B4B04"/>
    <w:rsid w:val="001B5B74"/>
    <w:rsid w:val="001C3971"/>
    <w:rsid w:val="001C5D76"/>
    <w:rsid w:val="001C6663"/>
    <w:rsid w:val="001C7895"/>
    <w:rsid w:val="001C7D91"/>
    <w:rsid w:val="001D184F"/>
    <w:rsid w:val="001D26DF"/>
    <w:rsid w:val="001D6796"/>
    <w:rsid w:val="001E73AA"/>
    <w:rsid w:val="001F09CD"/>
    <w:rsid w:val="001F1354"/>
    <w:rsid w:val="001F14EB"/>
    <w:rsid w:val="001F5DEF"/>
    <w:rsid w:val="00203DD1"/>
    <w:rsid w:val="00205464"/>
    <w:rsid w:val="00205B1D"/>
    <w:rsid w:val="00207CB9"/>
    <w:rsid w:val="00211454"/>
    <w:rsid w:val="00211E0B"/>
    <w:rsid w:val="002161C2"/>
    <w:rsid w:val="002165DC"/>
    <w:rsid w:val="00224AA7"/>
    <w:rsid w:val="00225418"/>
    <w:rsid w:val="00231733"/>
    <w:rsid w:val="00236DE8"/>
    <w:rsid w:val="002405A7"/>
    <w:rsid w:val="00242C50"/>
    <w:rsid w:val="00242D7E"/>
    <w:rsid w:val="002478DF"/>
    <w:rsid w:val="00250C0B"/>
    <w:rsid w:val="00250D22"/>
    <w:rsid w:val="00252025"/>
    <w:rsid w:val="00252334"/>
    <w:rsid w:val="00252B1A"/>
    <w:rsid w:val="00256528"/>
    <w:rsid w:val="00256C6B"/>
    <w:rsid w:val="00261834"/>
    <w:rsid w:val="00261D35"/>
    <w:rsid w:val="00263764"/>
    <w:rsid w:val="002728A1"/>
    <w:rsid w:val="002736EA"/>
    <w:rsid w:val="002745AF"/>
    <w:rsid w:val="00274B11"/>
    <w:rsid w:val="00275092"/>
    <w:rsid w:val="00277B86"/>
    <w:rsid w:val="00287ADB"/>
    <w:rsid w:val="0029135B"/>
    <w:rsid w:val="00293E45"/>
    <w:rsid w:val="0029559D"/>
    <w:rsid w:val="002A0F84"/>
    <w:rsid w:val="002A3AB5"/>
    <w:rsid w:val="002B431F"/>
    <w:rsid w:val="002B50AC"/>
    <w:rsid w:val="002B7E5F"/>
    <w:rsid w:val="002C017B"/>
    <w:rsid w:val="002C03A7"/>
    <w:rsid w:val="002C2D92"/>
    <w:rsid w:val="002C3A68"/>
    <w:rsid w:val="002C49BA"/>
    <w:rsid w:val="002C59A6"/>
    <w:rsid w:val="002C5B89"/>
    <w:rsid w:val="002C5C89"/>
    <w:rsid w:val="002C6ACD"/>
    <w:rsid w:val="002C7C88"/>
    <w:rsid w:val="002D0E0E"/>
    <w:rsid w:val="002D19AD"/>
    <w:rsid w:val="002D4125"/>
    <w:rsid w:val="002D652F"/>
    <w:rsid w:val="002E0DF2"/>
    <w:rsid w:val="002E0EE4"/>
    <w:rsid w:val="002E1352"/>
    <w:rsid w:val="002F594A"/>
    <w:rsid w:val="00300698"/>
    <w:rsid w:val="00304304"/>
    <w:rsid w:val="003107FA"/>
    <w:rsid w:val="0031437A"/>
    <w:rsid w:val="00314C4D"/>
    <w:rsid w:val="00315F72"/>
    <w:rsid w:val="003229D8"/>
    <w:rsid w:val="00323726"/>
    <w:rsid w:val="00324FA1"/>
    <w:rsid w:val="00326EAB"/>
    <w:rsid w:val="0033023C"/>
    <w:rsid w:val="003317E7"/>
    <w:rsid w:val="00332291"/>
    <w:rsid w:val="00333876"/>
    <w:rsid w:val="0033408B"/>
    <w:rsid w:val="00335A85"/>
    <w:rsid w:val="0033745A"/>
    <w:rsid w:val="00350559"/>
    <w:rsid w:val="00350DE1"/>
    <w:rsid w:val="00354544"/>
    <w:rsid w:val="003545F4"/>
    <w:rsid w:val="00361A12"/>
    <w:rsid w:val="003630AA"/>
    <w:rsid w:val="003632F3"/>
    <w:rsid w:val="003641EF"/>
    <w:rsid w:val="003709C2"/>
    <w:rsid w:val="00370F68"/>
    <w:rsid w:val="00371FB2"/>
    <w:rsid w:val="00372808"/>
    <w:rsid w:val="00375D3A"/>
    <w:rsid w:val="00380A4E"/>
    <w:rsid w:val="003820C5"/>
    <w:rsid w:val="0038591B"/>
    <w:rsid w:val="00385F86"/>
    <w:rsid w:val="0039277A"/>
    <w:rsid w:val="00395B0F"/>
    <w:rsid w:val="00395B51"/>
    <w:rsid w:val="003972E0"/>
    <w:rsid w:val="003A1EBD"/>
    <w:rsid w:val="003A3950"/>
    <w:rsid w:val="003B071E"/>
    <w:rsid w:val="003B0BDF"/>
    <w:rsid w:val="003B1FD7"/>
    <w:rsid w:val="003B3F7F"/>
    <w:rsid w:val="003B4590"/>
    <w:rsid w:val="003B507C"/>
    <w:rsid w:val="003B5C22"/>
    <w:rsid w:val="003B7822"/>
    <w:rsid w:val="003C1867"/>
    <w:rsid w:val="003C2CC4"/>
    <w:rsid w:val="003C2E87"/>
    <w:rsid w:val="003C3936"/>
    <w:rsid w:val="003C5DF2"/>
    <w:rsid w:val="003C70C8"/>
    <w:rsid w:val="003D0F99"/>
    <w:rsid w:val="003D2B8F"/>
    <w:rsid w:val="003D34BE"/>
    <w:rsid w:val="003D3B4A"/>
    <w:rsid w:val="003D4B23"/>
    <w:rsid w:val="003D620D"/>
    <w:rsid w:val="003E11C5"/>
    <w:rsid w:val="003E2153"/>
    <w:rsid w:val="003E34F3"/>
    <w:rsid w:val="003E6688"/>
    <w:rsid w:val="003E7A98"/>
    <w:rsid w:val="003F1ED3"/>
    <w:rsid w:val="003F3B18"/>
    <w:rsid w:val="003F4A0B"/>
    <w:rsid w:val="003F729B"/>
    <w:rsid w:val="003F72C8"/>
    <w:rsid w:val="00400769"/>
    <w:rsid w:val="00403952"/>
    <w:rsid w:val="004049D8"/>
    <w:rsid w:val="00407014"/>
    <w:rsid w:val="004152DA"/>
    <w:rsid w:val="00415889"/>
    <w:rsid w:val="00417E2F"/>
    <w:rsid w:val="00421563"/>
    <w:rsid w:val="00423439"/>
    <w:rsid w:val="00424A17"/>
    <w:rsid w:val="004307E7"/>
    <w:rsid w:val="004316DA"/>
    <w:rsid w:val="004325CB"/>
    <w:rsid w:val="00433C98"/>
    <w:rsid w:val="00434E37"/>
    <w:rsid w:val="00442733"/>
    <w:rsid w:val="00446793"/>
    <w:rsid w:val="00446DE4"/>
    <w:rsid w:val="0044788E"/>
    <w:rsid w:val="0045017B"/>
    <w:rsid w:val="00452BB4"/>
    <w:rsid w:val="004535E7"/>
    <w:rsid w:val="0045394D"/>
    <w:rsid w:val="004545E9"/>
    <w:rsid w:val="0045575E"/>
    <w:rsid w:val="004578CF"/>
    <w:rsid w:val="004644C6"/>
    <w:rsid w:val="00466C98"/>
    <w:rsid w:val="004743AE"/>
    <w:rsid w:val="0047563F"/>
    <w:rsid w:val="004805AE"/>
    <w:rsid w:val="00480BB9"/>
    <w:rsid w:val="00481194"/>
    <w:rsid w:val="00481AC6"/>
    <w:rsid w:val="00481C01"/>
    <w:rsid w:val="004835E7"/>
    <w:rsid w:val="00492241"/>
    <w:rsid w:val="00492774"/>
    <w:rsid w:val="004933E1"/>
    <w:rsid w:val="00495EE5"/>
    <w:rsid w:val="00496493"/>
    <w:rsid w:val="00497343"/>
    <w:rsid w:val="004A1A53"/>
    <w:rsid w:val="004A1EF5"/>
    <w:rsid w:val="004A1F22"/>
    <w:rsid w:val="004A1F48"/>
    <w:rsid w:val="004A2EDD"/>
    <w:rsid w:val="004A3894"/>
    <w:rsid w:val="004A3E33"/>
    <w:rsid w:val="004A41CA"/>
    <w:rsid w:val="004A4DB1"/>
    <w:rsid w:val="004A5778"/>
    <w:rsid w:val="004B1567"/>
    <w:rsid w:val="004B23AD"/>
    <w:rsid w:val="004B29D2"/>
    <w:rsid w:val="004B5816"/>
    <w:rsid w:val="004B7168"/>
    <w:rsid w:val="004C0580"/>
    <w:rsid w:val="004C5912"/>
    <w:rsid w:val="004C7BD2"/>
    <w:rsid w:val="004D2AF1"/>
    <w:rsid w:val="004D785F"/>
    <w:rsid w:val="004D7A03"/>
    <w:rsid w:val="004E2C8B"/>
    <w:rsid w:val="004E6760"/>
    <w:rsid w:val="004E74FC"/>
    <w:rsid w:val="004F13C8"/>
    <w:rsid w:val="004F17B7"/>
    <w:rsid w:val="004F1BE5"/>
    <w:rsid w:val="004F2C14"/>
    <w:rsid w:val="004F312F"/>
    <w:rsid w:val="004F4FBF"/>
    <w:rsid w:val="004F6071"/>
    <w:rsid w:val="004F750B"/>
    <w:rsid w:val="00501AA2"/>
    <w:rsid w:val="00503228"/>
    <w:rsid w:val="00505384"/>
    <w:rsid w:val="00513283"/>
    <w:rsid w:val="005134CA"/>
    <w:rsid w:val="0051520D"/>
    <w:rsid w:val="0051600A"/>
    <w:rsid w:val="005166F9"/>
    <w:rsid w:val="00516773"/>
    <w:rsid w:val="0052122E"/>
    <w:rsid w:val="00521ECF"/>
    <w:rsid w:val="00526A9F"/>
    <w:rsid w:val="00526E25"/>
    <w:rsid w:val="00527CFD"/>
    <w:rsid w:val="0053266F"/>
    <w:rsid w:val="005337C8"/>
    <w:rsid w:val="00536424"/>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72177"/>
    <w:rsid w:val="00573165"/>
    <w:rsid w:val="00580C8B"/>
    <w:rsid w:val="00580ED5"/>
    <w:rsid w:val="00587F3C"/>
    <w:rsid w:val="00590B15"/>
    <w:rsid w:val="0059380F"/>
    <w:rsid w:val="005A0417"/>
    <w:rsid w:val="005A0851"/>
    <w:rsid w:val="005A1D62"/>
    <w:rsid w:val="005A21DC"/>
    <w:rsid w:val="005A56C5"/>
    <w:rsid w:val="005A63C6"/>
    <w:rsid w:val="005B0C72"/>
    <w:rsid w:val="005B353D"/>
    <w:rsid w:val="005B3DB3"/>
    <w:rsid w:val="005B4CE0"/>
    <w:rsid w:val="005C173D"/>
    <w:rsid w:val="005C3653"/>
    <w:rsid w:val="005C6DF8"/>
    <w:rsid w:val="005D3642"/>
    <w:rsid w:val="005D3FE8"/>
    <w:rsid w:val="005D7718"/>
    <w:rsid w:val="005E286B"/>
    <w:rsid w:val="005E7C6F"/>
    <w:rsid w:val="005F2595"/>
    <w:rsid w:val="005F2BD2"/>
    <w:rsid w:val="005F30BB"/>
    <w:rsid w:val="005F3E0D"/>
    <w:rsid w:val="005F4208"/>
    <w:rsid w:val="005F441C"/>
    <w:rsid w:val="005F667A"/>
    <w:rsid w:val="005F6B61"/>
    <w:rsid w:val="005F6E62"/>
    <w:rsid w:val="00601D72"/>
    <w:rsid w:val="0060248B"/>
    <w:rsid w:val="00603334"/>
    <w:rsid w:val="00603EBA"/>
    <w:rsid w:val="00606CF1"/>
    <w:rsid w:val="00610834"/>
    <w:rsid w:val="00611FC4"/>
    <w:rsid w:val="00617178"/>
    <w:rsid w:val="006176FB"/>
    <w:rsid w:val="0062304B"/>
    <w:rsid w:val="006249FB"/>
    <w:rsid w:val="00626B1C"/>
    <w:rsid w:val="00627ED0"/>
    <w:rsid w:val="00630B7D"/>
    <w:rsid w:val="00631FF4"/>
    <w:rsid w:val="006353A0"/>
    <w:rsid w:val="006364CC"/>
    <w:rsid w:val="00637CA2"/>
    <w:rsid w:val="00640B26"/>
    <w:rsid w:val="00642C2E"/>
    <w:rsid w:val="00644FED"/>
    <w:rsid w:val="0064585E"/>
    <w:rsid w:val="006517B6"/>
    <w:rsid w:val="00651FC8"/>
    <w:rsid w:val="00665595"/>
    <w:rsid w:val="006659D9"/>
    <w:rsid w:val="00665BFA"/>
    <w:rsid w:val="006679D1"/>
    <w:rsid w:val="00673795"/>
    <w:rsid w:val="00676EEB"/>
    <w:rsid w:val="00682DD7"/>
    <w:rsid w:val="0068316E"/>
    <w:rsid w:val="00683296"/>
    <w:rsid w:val="006833A6"/>
    <w:rsid w:val="0068441D"/>
    <w:rsid w:val="00690D91"/>
    <w:rsid w:val="0069157F"/>
    <w:rsid w:val="00692279"/>
    <w:rsid w:val="00695384"/>
    <w:rsid w:val="00697CD4"/>
    <w:rsid w:val="006A1E28"/>
    <w:rsid w:val="006A3F0D"/>
    <w:rsid w:val="006A4DDD"/>
    <w:rsid w:val="006A5C73"/>
    <w:rsid w:val="006A6D47"/>
    <w:rsid w:val="006A7392"/>
    <w:rsid w:val="006A7CCA"/>
    <w:rsid w:val="006B0C4E"/>
    <w:rsid w:val="006B19FE"/>
    <w:rsid w:val="006B3B2C"/>
    <w:rsid w:val="006B3DFE"/>
    <w:rsid w:val="006B57C3"/>
    <w:rsid w:val="006B706C"/>
    <w:rsid w:val="006C2742"/>
    <w:rsid w:val="006C380B"/>
    <w:rsid w:val="006C5214"/>
    <w:rsid w:val="006C5C34"/>
    <w:rsid w:val="006C60A6"/>
    <w:rsid w:val="006C7FB0"/>
    <w:rsid w:val="006D4415"/>
    <w:rsid w:val="006D5021"/>
    <w:rsid w:val="006D7D5B"/>
    <w:rsid w:val="006E09C4"/>
    <w:rsid w:val="006E0D61"/>
    <w:rsid w:val="006E564B"/>
    <w:rsid w:val="006E5D14"/>
    <w:rsid w:val="006F20A6"/>
    <w:rsid w:val="006F509F"/>
    <w:rsid w:val="006F7764"/>
    <w:rsid w:val="00700D90"/>
    <w:rsid w:val="00701D1E"/>
    <w:rsid w:val="007031F8"/>
    <w:rsid w:val="00703473"/>
    <w:rsid w:val="00703780"/>
    <w:rsid w:val="00705359"/>
    <w:rsid w:val="007078D5"/>
    <w:rsid w:val="00707EE3"/>
    <w:rsid w:val="00710632"/>
    <w:rsid w:val="00710E99"/>
    <w:rsid w:val="00712D44"/>
    <w:rsid w:val="00714AFC"/>
    <w:rsid w:val="00715157"/>
    <w:rsid w:val="00715E93"/>
    <w:rsid w:val="00715F12"/>
    <w:rsid w:val="00717597"/>
    <w:rsid w:val="007177A5"/>
    <w:rsid w:val="00717E9A"/>
    <w:rsid w:val="00720053"/>
    <w:rsid w:val="00722811"/>
    <w:rsid w:val="00723ECD"/>
    <w:rsid w:val="0072632A"/>
    <w:rsid w:val="00726CBE"/>
    <w:rsid w:val="0072750B"/>
    <w:rsid w:val="007309DE"/>
    <w:rsid w:val="0073465B"/>
    <w:rsid w:val="00734C2D"/>
    <w:rsid w:val="00737E85"/>
    <w:rsid w:val="00740176"/>
    <w:rsid w:val="007425B4"/>
    <w:rsid w:val="007431FB"/>
    <w:rsid w:val="00743AA0"/>
    <w:rsid w:val="00744294"/>
    <w:rsid w:val="007502C4"/>
    <w:rsid w:val="0075038C"/>
    <w:rsid w:val="00751197"/>
    <w:rsid w:val="0075241D"/>
    <w:rsid w:val="0075310B"/>
    <w:rsid w:val="0075352F"/>
    <w:rsid w:val="00756A00"/>
    <w:rsid w:val="00757B9F"/>
    <w:rsid w:val="00760E3C"/>
    <w:rsid w:val="00762551"/>
    <w:rsid w:val="0076336D"/>
    <w:rsid w:val="00763D35"/>
    <w:rsid w:val="007668D3"/>
    <w:rsid w:val="00766EC7"/>
    <w:rsid w:val="007674B0"/>
    <w:rsid w:val="0077083D"/>
    <w:rsid w:val="00774068"/>
    <w:rsid w:val="00777BDB"/>
    <w:rsid w:val="007838FF"/>
    <w:rsid w:val="00787CE3"/>
    <w:rsid w:val="00792806"/>
    <w:rsid w:val="007939A6"/>
    <w:rsid w:val="00797065"/>
    <w:rsid w:val="00797099"/>
    <w:rsid w:val="007A01FC"/>
    <w:rsid w:val="007A08D3"/>
    <w:rsid w:val="007A1A3F"/>
    <w:rsid w:val="007A3C01"/>
    <w:rsid w:val="007A3C0B"/>
    <w:rsid w:val="007B64F2"/>
    <w:rsid w:val="007B6BA5"/>
    <w:rsid w:val="007B7B1E"/>
    <w:rsid w:val="007C169B"/>
    <w:rsid w:val="007C3390"/>
    <w:rsid w:val="007C4F4B"/>
    <w:rsid w:val="007C7A4E"/>
    <w:rsid w:val="007D64B1"/>
    <w:rsid w:val="007E2878"/>
    <w:rsid w:val="007E5ABB"/>
    <w:rsid w:val="007E7364"/>
    <w:rsid w:val="007F0B83"/>
    <w:rsid w:val="007F2784"/>
    <w:rsid w:val="007F47D1"/>
    <w:rsid w:val="007F5967"/>
    <w:rsid w:val="007F6611"/>
    <w:rsid w:val="008002AF"/>
    <w:rsid w:val="00801D46"/>
    <w:rsid w:val="00803656"/>
    <w:rsid w:val="00803D3F"/>
    <w:rsid w:val="0081239D"/>
    <w:rsid w:val="008139F5"/>
    <w:rsid w:val="00816C3A"/>
    <w:rsid w:val="008175E9"/>
    <w:rsid w:val="00821686"/>
    <w:rsid w:val="008242D7"/>
    <w:rsid w:val="008244A4"/>
    <w:rsid w:val="00825A28"/>
    <w:rsid w:val="0082761D"/>
    <w:rsid w:val="00827E05"/>
    <w:rsid w:val="008305E5"/>
    <w:rsid w:val="008311A3"/>
    <w:rsid w:val="008333C7"/>
    <w:rsid w:val="00836A0C"/>
    <w:rsid w:val="00837A3F"/>
    <w:rsid w:val="0084125D"/>
    <w:rsid w:val="00842AFA"/>
    <w:rsid w:val="00842B7B"/>
    <w:rsid w:val="00844584"/>
    <w:rsid w:val="00845E42"/>
    <w:rsid w:val="00853E16"/>
    <w:rsid w:val="0085417D"/>
    <w:rsid w:val="008550E6"/>
    <w:rsid w:val="00861AFA"/>
    <w:rsid w:val="00863555"/>
    <w:rsid w:val="00864768"/>
    <w:rsid w:val="00866B0C"/>
    <w:rsid w:val="00866E24"/>
    <w:rsid w:val="008719EB"/>
    <w:rsid w:val="00871FD5"/>
    <w:rsid w:val="00873C18"/>
    <w:rsid w:val="00875B69"/>
    <w:rsid w:val="00876630"/>
    <w:rsid w:val="00880120"/>
    <w:rsid w:val="00880D35"/>
    <w:rsid w:val="00881E3E"/>
    <w:rsid w:val="00890BAF"/>
    <w:rsid w:val="008932A0"/>
    <w:rsid w:val="00894FF2"/>
    <w:rsid w:val="00894FF5"/>
    <w:rsid w:val="00896CBD"/>
    <w:rsid w:val="008978BC"/>
    <w:rsid w:val="008979B1"/>
    <w:rsid w:val="008A0994"/>
    <w:rsid w:val="008A1480"/>
    <w:rsid w:val="008A1DFC"/>
    <w:rsid w:val="008A2229"/>
    <w:rsid w:val="008A227E"/>
    <w:rsid w:val="008A31E3"/>
    <w:rsid w:val="008A3F15"/>
    <w:rsid w:val="008A6B25"/>
    <w:rsid w:val="008A6C4F"/>
    <w:rsid w:val="008A7A81"/>
    <w:rsid w:val="008B70D8"/>
    <w:rsid w:val="008C57B1"/>
    <w:rsid w:val="008C78C7"/>
    <w:rsid w:val="008D054A"/>
    <w:rsid w:val="008D3C1D"/>
    <w:rsid w:val="008D4730"/>
    <w:rsid w:val="008D49F6"/>
    <w:rsid w:val="008D5935"/>
    <w:rsid w:val="008E0E46"/>
    <w:rsid w:val="008E58A3"/>
    <w:rsid w:val="008E7D56"/>
    <w:rsid w:val="008F0966"/>
    <w:rsid w:val="008F1455"/>
    <w:rsid w:val="008F4E42"/>
    <w:rsid w:val="008F561F"/>
    <w:rsid w:val="008F649A"/>
    <w:rsid w:val="00903497"/>
    <w:rsid w:val="00907AD2"/>
    <w:rsid w:val="009124F2"/>
    <w:rsid w:val="00915860"/>
    <w:rsid w:val="00917C0E"/>
    <w:rsid w:val="00925B30"/>
    <w:rsid w:val="0092768B"/>
    <w:rsid w:val="009316CC"/>
    <w:rsid w:val="00932460"/>
    <w:rsid w:val="00936C2E"/>
    <w:rsid w:val="00936F09"/>
    <w:rsid w:val="009409EC"/>
    <w:rsid w:val="00940A5E"/>
    <w:rsid w:val="00945924"/>
    <w:rsid w:val="009464F5"/>
    <w:rsid w:val="00946B6A"/>
    <w:rsid w:val="00950A26"/>
    <w:rsid w:val="00951A0F"/>
    <w:rsid w:val="00953A54"/>
    <w:rsid w:val="00957E2B"/>
    <w:rsid w:val="00960ED4"/>
    <w:rsid w:val="00962117"/>
    <w:rsid w:val="009624BC"/>
    <w:rsid w:val="00963CBA"/>
    <w:rsid w:val="00965971"/>
    <w:rsid w:val="00965C97"/>
    <w:rsid w:val="009725A7"/>
    <w:rsid w:val="00972BAD"/>
    <w:rsid w:val="00974A8D"/>
    <w:rsid w:val="009755CD"/>
    <w:rsid w:val="00977283"/>
    <w:rsid w:val="0098356E"/>
    <w:rsid w:val="009861C7"/>
    <w:rsid w:val="00987B8A"/>
    <w:rsid w:val="00991261"/>
    <w:rsid w:val="00995E83"/>
    <w:rsid w:val="00996B20"/>
    <w:rsid w:val="00997711"/>
    <w:rsid w:val="00997760"/>
    <w:rsid w:val="009A0783"/>
    <w:rsid w:val="009A4DD4"/>
    <w:rsid w:val="009A4E3B"/>
    <w:rsid w:val="009A505F"/>
    <w:rsid w:val="009A54DF"/>
    <w:rsid w:val="009A6FE8"/>
    <w:rsid w:val="009B0335"/>
    <w:rsid w:val="009B45F7"/>
    <w:rsid w:val="009B4CA8"/>
    <w:rsid w:val="009B730A"/>
    <w:rsid w:val="009C2FB1"/>
    <w:rsid w:val="009C6273"/>
    <w:rsid w:val="009C675A"/>
    <w:rsid w:val="009D10EC"/>
    <w:rsid w:val="009D236B"/>
    <w:rsid w:val="009D43C2"/>
    <w:rsid w:val="009D474F"/>
    <w:rsid w:val="009D5DD3"/>
    <w:rsid w:val="009D60EC"/>
    <w:rsid w:val="009E088A"/>
    <w:rsid w:val="009E102B"/>
    <w:rsid w:val="009E171B"/>
    <w:rsid w:val="009E29EB"/>
    <w:rsid w:val="009E69DD"/>
    <w:rsid w:val="009F0D42"/>
    <w:rsid w:val="009F2A92"/>
    <w:rsid w:val="009F2F4F"/>
    <w:rsid w:val="009F3A17"/>
    <w:rsid w:val="009F49F7"/>
    <w:rsid w:val="009F4C42"/>
    <w:rsid w:val="009F5056"/>
    <w:rsid w:val="009F5ED7"/>
    <w:rsid w:val="00A002DC"/>
    <w:rsid w:val="00A01E5A"/>
    <w:rsid w:val="00A0550C"/>
    <w:rsid w:val="00A061AB"/>
    <w:rsid w:val="00A1427D"/>
    <w:rsid w:val="00A143BC"/>
    <w:rsid w:val="00A14774"/>
    <w:rsid w:val="00A177CF"/>
    <w:rsid w:val="00A17830"/>
    <w:rsid w:val="00A2070C"/>
    <w:rsid w:val="00A24105"/>
    <w:rsid w:val="00A2488D"/>
    <w:rsid w:val="00A26CE4"/>
    <w:rsid w:val="00A318FF"/>
    <w:rsid w:val="00A33DF6"/>
    <w:rsid w:val="00A413F7"/>
    <w:rsid w:val="00A42CEA"/>
    <w:rsid w:val="00A478E2"/>
    <w:rsid w:val="00A52F74"/>
    <w:rsid w:val="00A541EA"/>
    <w:rsid w:val="00A5519B"/>
    <w:rsid w:val="00A55D32"/>
    <w:rsid w:val="00A5718A"/>
    <w:rsid w:val="00A6339F"/>
    <w:rsid w:val="00A6700E"/>
    <w:rsid w:val="00A72F22"/>
    <w:rsid w:val="00A7307A"/>
    <w:rsid w:val="00A742F7"/>
    <w:rsid w:val="00A747E9"/>
    <w:rsid w:val="00A748A6"/>
    <w:rsid w:val="00A816FE"/>
    <w:rsid w:val="00A822B1"/>
    <w:rsid w:val="00A84BE1"/>
    <w:rsid w:val="00A854F0"/>
    <w:rsid w:val="00A879A4"/>
    <w:rsid w:val="00A905CA"/>
    <w:rsid w:val="00A92C14"/>
    <w:rsid w:val="00A92CBA"/>
    <w:rsid w:val="00A93320"/>
    <w:rsid w:val="00A94CE2"/>
    <w:rsid w:val="00A97F13"/>
    <w:rsid w:val="00AA021B"/>
    <w:rsid w:val="00AA17DC"/>
    <w:rsid w:val="00AA2F9E"/>
    <w:rsid w:val="00AA771D"/>
    <w:rsid w:val="00AB3DA4"/>
    <w:rsid w:val="00AB7662"/>
    <w:rsid w:val="00AB7676"/>
    <w:rsid w:val="00AC1316"/>
    <w:rsid w:val="00AC2900"/>
    <w:rsid w:val="00AC6F63"/>
    <w:rsid w:val="00AC76F5"/>
    <w:rsid w:val="00AD7888"/>
    <w:rsid w:val="00AE20DC"/>
    <w:rsid w:val="00AE55CE"/>
    <w:rsid w:val="00AE7A4A"/>
    <w:rsid w:val="00AF2B04"/>
    <w:rsid w:val="00AF6613"/>
    <w:rsid w:val="00AF685C"/>
    <w:rsid w:val="00B0077F"/>
    <w:rsid w:val="00B0164B"/>
    <w:rsid w:val="00B03A46"/>
    <w:rsid w:val="00B11FD2"/>
    <w:rsid w:val="00B12E63"/>
    <w:rsid w:val="00B146F4"/>
    <w:rsid w:val="00B24BA5"/>
    <w:rsid w:val="00B24D69"/>
    <w:rsid w:val="00B27444"/>
    <w:rsid w:val="00B30040"/>
    <w:rsid w:val="00B30179"/>
    <w:rsid w:val="00B31695"/>
    <w:rsid w:val="00B33EC0"/>
    <w:rsid w:val="00B35C41"/>
    <w:rsid w:val="00B36133"/>
    <w:rsid w:val="00B42B5F"/>
    <w:rsid w:val="00B4513A"/>
    <w:rsid w:val="00B46BB8"/>
    <w:rsid w:val="00B5119C"/>
    <w:rsid w:val="00B52A6D"/>
    <w:rsid w:val="00B5315C"/>
    <w:rsid w:val="00B54817"/>
    <w:rsid w:val="00B54A1E"/>
    <w:rsid w:val="00B55767"/>
    <w:rsid w:val="00B5723A"/>
    <w:rsid w:val="00B612E3"/>
    <w:rsid w:val="00B62664"/>
    <w:rsid w:val="00B66400"/>
    <w:rsid w:val="00B66AC9"/>
    <w:rsid w:val="00B72BAF"/>
    <w:rsid w:val="00B75DBE"/>
    <w:rsid w:val="00B81E12"/>
    <w:rsid w:val="00B83813"/>
    <w:rsid w:val="00B83C81"/>
    <w:rsid w:val="00B83D20"/>
    <w:rsid w:val="00B85B45"/>
    <w:rsid w:val="00B908E1"/>
    <w:rsid w:val="00B92F1E"/>
    <w:rsid w:val="00B92F25"/>
    <w:rsid w:val="00B94D0E"/>
    <w:rsid w:val="00B9615B"/>
    <w:rsid w:val="00BA31B9"/>
    <w:rsid w:val="00BA4C2C"/>
    <w:rsid w:val="00BA512A"/>
    <w:rsid w:val="00BA6EB9"/>
    <w:rsid w:val="00BA75EC"/>
    <w:rsid w:val="00BA7A1C"/>
    <w:rsid w:val="00BB0E9C"/>
    <w:rsid w:val="00BB3C77"/>
    <w:rsid w:val="00BB4DC2"/>
    <w:rsid w:val="00BB5567"/>
    <w:rsid w:val="00BC027E"/>
    <w:rsid w:val="00BC73EE"/>
    <w:rsid w:val="00BC74E9"/>
    <w:rsid w:val="00BC775C"/>
    <w:rsid w:val="00BD1D9F"/>
    <w:rsid w:val="00BD2146"/>
    <w:rsid w:val="00BD2427"/>
    <w:rsid w:val="00BD718A"/>
    <w:rsid w:val="00BD7264"/>
    <w:rsid w:val="00BE07FE"/>
    <w:rsid w:val="00BE2319"/>
    <w:rsid w:val="00BE2713"/>
    <w:rsid w:val="00BE4F74"/>
    <w:rsid w:val="00BE618E"/>
    <w:rsid w:val="00BE68B7"/>
    <w:rsid w:val="00BF25C2"/>
    <w:rsid w:val="00C0023D"/>
    <w:rsid w:val="00C024CD"/>
    <w:rsid w:val="00C1554D"/>
    <w:rsid w:val="00C17699"/>
    <w:rsid w:val="00C2337F"/>
    <w:rsid w:val="00C23F04"/>
    <w:rsid w:val="00C30246"/>
    <w:rsid w:val="00C30B51"/>
    <w:rsid w:val="00C3163F"/>
    <w:rsid w:val="00C32156"/>
    <w:rsid w:val="00C342A7"/>
    <w:rsid w:val="00C35F27"/>
    <w:rsid w:val="00C41A28"/>
    <w:rsid w:val="00C46154"/>
    <w:rsid w:val="00C463DD"/>
    <w:rsid w:val="00C5582C"/>
    <w:rsid w:val="00C60906"/>
    <w:rsid w:val="00C6118C"/>
    <w:rsid w:val="00C61A09"/>
    <w:rsid w:val="00C6435B"/>
    <w:rsid w:val="00C66354"/>
    <w:rsid w:val="00C66DDD"/>
    <w:rsid w:val="00C72817"/>
    <w:rsid w:val="00C7349C"/>
    <w:rsid w:val="00C73E53"/>
    <w:rsid w:val="00C745BF"/>
    <w:rsid w:val="00C745C3"/>
    <w:rsid w:val="00C746C9"/>
    <w:rsid w:val="00C74FBC"/>
    <w:rsid w:val="00C75952"/>
    <w:rsid w:val="00C800FE"/>
    <w:rsid w:val="00C805BC"/>
    <w:rsid w:val="00C84DF7"/>
    <w:rsid w:val="00C86451"/>
    <w:rsid w:val="00C87BF6"/>
    <w:rsid w:val="00C93F56"/>
    <w:rsid w:val="00C95E83"/>
    <w:rsid w:val="00C96EC2"/>
    <w:rsid w:val="00C97712"/>
    <w:rsid w:val="00CA0636"/>
    <w:rsid w:val="00CA21E8"/>
    <w:rsid w:val="00CA24FF"/>
    <w:rsid w:val="00CA3109"/>
    <w:rsid w:val="00CA60B4"/>
    <w:rsid w:val="00CA6FA0"/>
    <w:rsid w:val="00CA7472"/>
    <w:rsid w:val="00CB075D"/>
    <w:rsid w:val="00CB0D3B"/>
    <w:rsid w:val="00CB2911"/>
    <w:rsid w:val="00CB3570"/>
    <w:rsid w:val="00CB71A4"/>
    <w:rsid w:val="00CC1B61"/>
    <w:rsid w:val="00CC3511"/>
    <w:rsid w:val="00CC4E3B"/>
    <w:rsid w:val="00CC6C36"/>
    <w:rsid w:val="00CD0AB3"/>
    <w:rsid w:val="00CD403A"/>
    <w:rsid w:val="00CD6B2E"/>
    <w:rsid w:val="00CD7454"/>
    <w:rsid w:val="00CE01C0"/>
    <w:rsid w:val="00CE497F"/>
    <w:rsid w:val="00CE4A8F"/>
    <w:rsid w:val="00CE4B5A"/>
    <w:rsid w:val="00CE4D7C"/>
    <w:rsid w:val="00CE6550"/>
    <w:rsid w:val="00CF36F3"/>
    <w:rsid w:val="00CF37F3"/>
    <w:rsid w:val="00CF3CB7"/>
    <w:rsid w:val="00CF5BB0"/>
    <w:rsid w:val="00D00450"/>
    <w:rsid w:val="00D0058E"/>
    <w:rsid w:val="00D008A3"/>
    <w:rsid w:val="00D01E98"/>
    <w:rsid w:val="00D04BA4"/>
    <w:rsid w:val="00D04E81"/>
    <w:rsid w:val="00D073C6"/>
    <w:rsid w:val="00D07618"/>
    <w:rsid w:val="00D121B6"/>
    <w:rsid w:val="00D1389C"/>
    <w:rsid w:val="00D1425B"/>
    <w:rsid w:val="00D164DD"/>
    <w:rsid w:val="00D2031B"/>
    <w:rsid w:val="00D25388"/>
    <w:rsid w:val="00D25FE2"/>
    <w:rsid w:val="00D26929"/>
    <w:rsid w:val="00D27576"/>
    <w:rsid w:val="00D30977"/>
    <w:rsid w:val="00D317BB"/>
    <w:rsid w:val="00D33328"/>
    <w:rsid w:val="00D352CB"/>
    <w:rsid w:val="00D369D8"/>
    <w:rsid w:val="00D43252"/>
    <w:rsid w:val="00D45D0A"/>
    <w:rsid w:val="00D46B40"/>
    <w:rsid w:val="00D55857"/>
    <w:rsid w:val="00D60CDC"/>
    <w:rsid w:val="00D6389B"/>
    <w:rsid w:val="00D66BBC"/>
    <w:rsid w:val="00D71B47"/>
    <w:rsid w:val="00D72DE1"/>
    <w:rsid w:val="00D748D7"/>
    <w:rsid w:val="00D85458"/>
    <w:rsid w:val="00D96269"/>
    <w:rsid w:val="00D978C6"/>
    <w:rsid w:val="00D97FD0"/>
    <w:rsid w:val="00DA3C6C"/>
    <w:rsid w:val="00DA5A0F"/>
    <w:rsid w:val="00DA67AD"/>
    <w:rsid w:val="00DA6D4E"/>
    <w:rsid w:val="00DB06D2"/>
    <w:rsid w:val="00DB2042"/>
    <w:rsid w:val="00DB2A63"/>
    <w:rsid w:val="00DB4C2A"/>
    <w:rsid w:val="00DB5D0F"/>
    <w:rsid w:val="00DC59B0"/>
    <w:rsid w:val="00DC6021"/>
    <w:rsid w:val="00DC7AF7"/>
    <w:rsid w:val="00DD415F"/>
    <w:rsid w:val="00DE32AC"/>
    <w:rsid w:val="00DE3411"/>
    <w:rsid w:val="00DE4FE4"/>
    <w:rsid w:val="00DF0592"/>
    <w:rsid w:val="00DF12F7"/>
    <w:rsid w:val="00DF1747"/>
    <w:rsid w:val="00DF3292"/>
    <w:rsid w:val="00DF44B5"/>
    <w:rsid w:val="00DF495E"/>
    <w:rsid w:val="00DF6806"/>
    <w:rsid w:val="00E01A8F"/>
    <w:rsid w:val="00E02C81"/>
    <w:rsid w:val="00E02CC8"/>
    <w:rsid w:val="00E059FC"/>
    <w:rsid w:val="00E0797D"/>
    <w:rsid w:val="00E07B4D"/>
    <w:rsid w:val="00E12376"/>
    <w:rsid w:val="00E130AB"/>
    <w:rsid w:val="00E131BB"/>
    <w:rsid w:val="00E144BF"/>
    <w:rsid w:val="00E14F86"/>
    <w:rsid w:val="00E15501"/>
    <w:rsid w:val="00E15DC9"/>
    <w:rsid w:val="00E15DF0"/>
    <w:rsid w:val="00E23CAD"/>
    <w:rsid w:val="00E27CED"/>
    <w:rsid w:val="00E322B5"/>
    <w:rsid w:val="00E330C1"/>
    <w:rsid w:val="00E345CE"/>
    <w:rsid w:val="00E3617C"/>
    <w:rsid w:val="00E363D6"/>
    <w:rsid w:val="00E37B82"/>
    <w:rsid w:val="00E41CFE"/>
    <w:rsid w:val="00E43F71"/>
    <w:rsid w:val="00E46597"/>
    <w:rsid w:val="00E47898"/>
    <w:rsid w:val="00E53AC3"/>
    <w:rsid w:val="00E55279"/>
    <w:rsid w:val="00E66F5C"/>
    <w:rsid w:val="00E7260F"/>
    <w:rsid w:val="00E773CD"/>
    <w:rsid w:val="00E819ED"/>
    <w:rsid w:val="00E842CE"/>
    <w:rsid w:val="00E847C3"/>
    <w:rsid w:val="00E87921"/>
    <w:rsid w:val="00E913FD"/>
    <w:rsid w:val="00E92905"/>
    <w:rsid w:val="00E951FE"/>
    <w:rsid w:val="00E96630"/>
    <w:rsid w:val="00E96675"/>
    <w:rsid w:val="00EA264E"/>
    <w:rsid w:val="00EB247C"/>
    <w:rsid w:val="00EB504F"/>
    <w:rsid w:val="00EB6BAC"/>
    <w:rsid w:val="00EC1665"/>
    <w:rsid w:val="00EC2F56"/>
    <w:rsid w:val="00EC54BA"/>
    <w:rsid w:val="00EC67F7"/>
    <w:rsid w:val="00ED095F"/>
    <w:rsid w:val="00ED5D98"/>
    <w:rsid w:val="00ED621D"/>
    <w:rsid w:val="00ED7A2A"/>
    <w:rsid w:val="00EE17D9"/>
    <w:rsid w:val="00EE4A3B"/>
    <w:rsid w:val="00EE5AF8"/>
    <w:rsid w:val="00EE6953"/>
    <w:rsid w:val="00EF0752"/>
    <w:rsid w:val="00EF0C63"/>
    <w:rsid w:val="00EF1D7F"/>
    <w:rsid w:val="00EF6ACF"/>
    <w:rsid w:val="00F03020"/>
    <w:rsid w:val="00F07544"/>
    <w:rsid w:val="00F07C40"/>
    <w:rsid w:val="00F07C8A"/>
    <w:rsid w:val="00F1366A"/>
    <w:rsid w:val="00F168BE"/>
    <w:rsid w:val="00F20E92"/>
    <w:rsid w:val="00F2154F"/>
    <w:rsid w:val="00F30395"/>
    <w:rsid w:val="00F3378C"/>
    <w:rsid w:val="00F34786"/>
    <w:rsid w:val="00F35430"/>
    <w:rsid w:val="00F36BD3"/>
    <w:rsid w:val="00F37596"/>
    <w:rsid w:val="00F41C95"/>
    <w:rsid w:val="00F44197"/>
    <w:rsid w:val="00F52154"/>
    <w:rsid w:val="00F52A5F"/>
    <w:rsid w:val="00F53EDA"/>
    <w:rsid w:val="00F557DC"/>
    <w:rsid w:val="00F6021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B0E8E"/>
    <w:rsid w:val="00FB0F05"/>
    <w:rsid w:val="00FB171A"/>
    <w:rsid w:val="00FB4B23"/>
    <w:rsid w:val="00FB58C7"/>
    <w:rsid w:val="00FB782A"/>
    <w:rsid w:val="00FC1918"/>
    <w:rsid w:val="00FC4ADF"/>
    <w:rsid w:val="00FC68B7"/>
    <w:rsid w:val="00FD0951"/>
    <w:rsid w:val="00FD0E31"/>
    <w:rsid w:val="00FD1224"/>
    <w:rsid w:val="00FD5ECB"/>
    <w:rsid w:val="00FD7BF6"/>
    <w:rsid w:val="00FE0BD6"/>
    <w:rsid w:val="00FE1700"/>
    <w:rsid w:val="00FE2A8B"/>
    <w:rsid w:val="00FE460C"/>
    <w:rsid w:val="00FE78C4"/>
    <w:rsid w:val="00FF1C57"/>
    <w:rsid w:val="00FF2020"/>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uiPriority w:val="59"/>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 w:type="paragraph" w:customStyle="1" w:styleId="N5">
    <w:name w:val="N5"/>
    <w:basedOn w:val="Normal"/>
    <w:link w:val="N5Car"/>
    <w:rsid w:val="00A177CF"/>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character" w:customStyle="1" w:styleId="N5Car">
    <w:name w:val="N5 Car"/>
    <w:link w:val="N5"/>
    <w:rsid w:val="00A177CF"/>
    <w:rPr>
      <w:rFonts w:ascii="Arial" w:hAnsi="Arial"/>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uiPriority w:val="59"/>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 w:type="paragraph" w:customStyle="1" w:styleId="N5">
    <w:name w:val="N5"/>
    <w:basedOn w:val="Normal"/>
    <w:link w:val="N5Car"/>
    <w:rsid w:val="00A177CF"/>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character" w:customStyle="1" w:styleId="N5Car">
    <w:name w:val="N5 Car"/>
    <w:link w:val="N5"/>
    <w:rsid w:val="00A177CF"/>
    <w:rPr>
      <w:rFonts w:ascii="Arial" w:hAnsi="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13121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9F5A4-7035-458A-A6D1-9B5B9BDB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0</TotalTime>
  <Pages>3</Pages>
  <Words>637</Words>
  <Characters>3631</Characters>
  <Application>Microsoft Office Word</Application>
  <DocSecurity>0</DocSecurity>
  <Lines>30</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ECE-ADN-36-Add.1</cp:lastModifiedBy>
  <cp:revision>2</cp:revision>
  <cp:lastPrinted>2017-05-31T07:10:00Z</cp:lastPrinted>
  <dcterms:created xsi:type="dcterms:W3CDTF">2017-05-31T07:32:00Z</dcterms:created>
  <dcterms:modified xsi:type="dcterms:W3CDTF">2017-05-31T07:32:00Z</dcterms:modified>
</cp:coreProperties>
</file>