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01" w:rsidRPr="00192163" w:rsidRDefault="00403401" w:rsidP="00403401">
      <w:pPr>
        <w:spacing w:after="0" w:line="240" w:lineRule="auto"/>
        <w:ind w:left="5387" w:right="-286"/>
        <w:outlineLvl w:val="0"/>
        <w:rPr>
          <w:rFonts w:ascii="Arial" w:eastAsia="Times New Roman" w:hAnsi="Arial" w:cs="Times New Roman"/>
          <w:snapToGrid w:val="0"/>
          <w:sz w:val="20"/>
          <w:szCs w:val="20"/>
          <w:lang w:val="de-DE" w:eastAsia="fr-FR" w:bidi="fr-FR"/>
        </w:rPr>
      </w:pPr>
      <w:bookmarkStart w:id="0" w:name="OLE_LINK1"/>
      <w:bookmarkStart w:id="1" w:name="OLE_LINK2"/>
      <w:bookmarkStart w:id="2" w:name="_GoBack"/>
      <w:bookmarkEnd w:id="2"/>
      <w:r w:rsidRPr="00192163">
        <w:rPr>
          <w:rFonts w:ascii="Arial" w:eastAsia="Times New Roman" w:hAnsi="Arial" w:cs="Times New Roman"/>
          <w:noProof/>
          <w:snapToGrid w:val="0"/>
          <w:sz w:val="20"/>
          <w:szCs w:val="20"/>
          <w:lang w:val="en-GB" w:eastAsia="en-GB"/>
        </w:rPr>
        <w:drawing>
          <wp:anchor distT="0" distB="0" distL="114300" distR="114300" simplePos="0" relativeHeight="251661312" behindDoc="0" locked="0" layoutInCell="1" allowOverlap="1" wp14:anchorId="66630CE1" wp14:editId="00F1EF4E">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192163">
        <w:rPr>
          <w:rFonts w:ascii="Arial" w:eastAsia="Arial" w:hAnsi="Arial" w:cs="Times New Roman"/>
          <w:bCs/>
          <w:snapToGrid w:val="0"/>
          <w:sz w:val="20"/>
          <w:szCs w:val="24"/>
          <w:lang w:val="de-DE" w:eastAsia="de-DE" w:bidi="fr-FR"/>
        </w:rPr>
        <w:t>CCNR-ZKR/ADN/WP.15/AC.2/2017/</w:t>
      </w:r>
      <w:r w:rsidR="00F76CE9" w:rsidRPr="00192163">
        <w:rPr>
          <w:rFonts w:ascii="Arial" w:eastAsia="Arial" w:hAnsi="Arial" w:cs="Times New Roman"/>
          <w:bCs/>
          <w:snapToGrid w:val="0"/>
          <w:sz w:val="20"/>
          <w:szCs w:val="24"/>
          <w:lang w:val="de-DE" w:eastAsia="de-DE" w:bidi="fr-FR"/>
        </w:rPr>
        <w:t>23</w:t>
      </w:r>
    </w:p>
    <w:p w:rsidR="00403401" w:rsidRPr="00192163" w:rsidRDefault="00403401" w:rsidP="00403401">
      <w:pPr>
        <w:tabs>
          <w:tab w:val="left" w:pos="5670"/>
        </w:tabs>
        <w:spacing w:after="0" w:line="240" w:lineRule="auto"/>
        <w:ind w:left="5387"/>
        <w:rPr>
          <w:rFonts w:ascii="Arial" w:eastAsia="Times New Roman" w:hAnsi="Arial" w:cs="Arial"/>
          <w:sz w:val="16"/>
          <w:szCs w:val="24"/>
          <w:lang w:val="de-DE" w:eastAsia="de-DE"/>
        </w:rPr>
      </w:pPr>
      <w:r w:rsidRPr="00192163">
        <w:rPr>
          <w:rFonts w:ascii="Arial" w:eastAsia="Times New Roman" w:hAnsi="Arial" w:cs="Arial"/>
          <w:sz w:val="16"/>
          <w:szCs w:val="24"/>
          <w:lang w:val="de-DE" w:eastAsia="de-DE"/>
        </w:rPr>
        <w:t>Allgemeine Verteilung</w:t>
      </w:r>
    </w:p>
    <w:p w:rsidR="00403401" w:rsidRPr="00192163" w:rsidRDefault="00F76CE9" w:rsidP="00403401">
      <w:pPr>
        <w:tabs>
          <w:tab w:val="right" w:pos="3856"/>
          <w:tab w:val="left" w:pos="5670"/>
        </w:tabs>
        <w:spacing w:after="0" w:line="240" w:lineRule="auto"/>
        <w:ind w:left="5387"/>
        <w:rPr>
          <w:rFonts w:ascii="Arial" w:eastAsia="Arial" w:hAnsi="Arial" w:cs="Arial"/>
          <w:sz w:val="20"/>
          <w:szCs w:val="24"/>
          <w:lang w:val="de-DE" w:eastAsia="de-DE"/>
        </w:rPr>
      </w:pPr>
      <w:r w:rsidRPr="00192163">
        <w:rPr>
          <w:rFonts w:ascii="Arial" w:eastAsia="Arial" w:hAnsi="Arial" w:cs="Arial"/>
          <w:sz w:val="20"/>
          <w:szCs w:val="24"/>
          <w:lang w:val="de-DE" w:eastAsia="de-DE"/>
        </w:rPr>
        <w:t>23</w:t>
      </w:r>
      <w:r w:rsidR="00403401" w:rsidRPr="00192163">
        <w:rPr>
          <w:rFonts w:ascii="Arial" w:eastAsia="Arial" w:hAnsi="Arial" w:cs="Arial"/>
          <w:sz w:val="20"/>
          <w:szCs w:val="24"/>
          <w:lang w:val="de-DE" w:eastAsia="de-DE"/>
        </w:rPr>
        <w:t>. M</w:t>
      </w:r>
      <w:r w:rsidR="00915647" w:rsidRPr="00192163">
        <w:rPr>
          <w:rFonts w:ascii="Arial" w:eastAsia="Arial" w:hAnsi="Arial" w:cs="Arial"/>
          <w:sz w:val="20"/>
          <w:szCs w:val="24"/>
          <w:lang w:val="de-DE" w:eastAsia="de-DE"/>
        </w:rPr>
        <w:t>ai</w:t>
      </w:r>
      <w:r w:rsidR="00403401" w:rsidRPr="00192163">
        <w:rPr>
          <w:rFonts w:ascii="Arial" w:eastAsia="Arial" w:hAnsi="Arial" w:cs="Arial"/>
          <w:sz w:val="20"/>
          <w:szCs w:val="24"/>
          <w:lang w:val="de-DE" w:eastAsia="de-DE"/>
        </w:rPr>
        <w:t xml:space="preserve"> 2017</w:t>
      </w:r>
    </w:p>
    <w:p w:rsidR="00403401" w:rsidRPr="00192163" w:rsidRDefault="00403401" w:rsidP="00403401">
      <w:pPr>
        <w:tabs>
          <w:tab w:val="right" w:pos="3856"/>
          <w:tab w:val="left" w:pos="5670"/>
        </w:tabs>
        <w:spacing w:after="0" w:line="240" w:lineRule="auto"/>
        <w:ind w:left="5387" w:right="565"/>
        <w:rPr>
          <w:rFonts w:ascii="Arial" w:eastAsia="Times New Roman" w:hAnsi="Arial" w:cs="Arial"/>
          <w:snapToGrid w:val="0"/>
          <w:kern w:val="1"/>
          <w:sz w:val="20"/>
          <w:szCs w:val="20"/>
          <w:lang w:val="de-DE" w:eastAsia="de-DE"/>
        </w:rPr>
      </w:pPr>
      <w:proofErr w:type="spellStart"/>
      <w:r w:rsidRPr="00192163">
        <w:rPr>
          <w:rFonts w:ascii="Arial" w:eastAsia="Arial" w:hAnsi="Arial" w:cs="Arial"/>
          <w:sz w:val="16"/>
          <w:szCs w:val="24"/>
          <w:lang w:val="de-DE" w:eastAsia="de-DE"/>
        </w:rPr>
        <w:t>Or</w:t>
      </w:r>
      <w:proofErr w:type="spellEnd"/>
      <w:r w:rsidRPr="00192163">
        <w:rPr>
          <w:rFonts w:ascii="Arial" w:eastAsia="Arial" w:hAnsi="Arial" w:cs="Arial"/>
          <w:sz w:val="16"/>
          <w:szCs w:val="24"/>
          <w:lang w:val="de-DE" w:eastAsia="de-DE"/>
        </w:rPr>
        <w:t xml:space="preserve">.  </w:t>
      </w:r>
      <w:r w:rsidR="00915647" w:rsidRPr="00192163">
        <w:rPr>
          <w:rFonts w:ascii="Arial" w:eastAsia="Arial" w:hAnsi="Arial" w:cs="Arial"/>
          <w:sz w:val="16"/>
          <w:szCs w:val="24"/>
          <w:lang w:val="de-DE" w:eastAsia="de-DE"/>
        </w:rPr>
        <w:t>ENGLISCH</w:t>
      </w:r>
    </w:p>
    <w:p w:rsidR="00403401" w:rsidRPr="00192163" w:rsidRDefault="00403401" w:rsidP="00403401">
      <w:pPr>
        <w:spacing w:after="0" w:line="240" w:lineRule="auto"/>
        <w:rPr>
          <w:rFonts w:ascii="Arial" w:eastAsia="Times New Roman" w:hAnsi="Arial" w:cs="Arial"/>
          <w:sz w:val="16"/>
          <w:szCs w:val="24"/>
          <w:lang w:val="de-DE" w:eastAsia="de-DE"/>
        </w:rPr>
      </w:pPr>
    </w:p>
    <w:p w:rsidR="00403401" w:rsidRPr="00192163" w:rsidRDefault="00403401" w:rsidP="00403401">
      <w:pPr>
        <w:spacing w:after="0" w:line="240" w:lineRule="auto"/>
        <w:rPr>
          <w:rFonts w:ascii="Arial" w:eastAsia="Times New Roman" w:hAnsi="Arial" w:cs="Arial"/>
          <w:sz w:val="16"/>
          <w:szCs w:val="24"/>
          <w:lang w:val="de-DE" w:eastAsia="de-DE"/>
        </w:rPr>
      </w:pPr>
    </w:p>
    <w:p w:rsidR="00403401" w:rsidRPr="00192163" w:rsidRDefault="00403401" w:rsidP="00403401">
      <w:pPr>
        <w:overflowPunct w:val="0"/>
        <w:autoSpaceDE w:val="0"/>
        <w:autoSpaceDN w:val="0"/>
        <w:adjustRightInd w:val="0"/>
        <w:spacing w:after="0" w:line="240" w:lineRule="auto"/>
        <w:ind w:left="4111" w:right="-2"/>
        <w:textAlignment w:val="baseline"/>
        <w:rPr>
          <w:rFonts w:ascii="Arial" w:eastAsia="Times New Roman" w:hAnsi="Arial" w:cs="Arial"/>
          <w:snapToGrid w:val="0"/>
          <w:sz w:val="16"/>
          <w:szCs w:val="16"/>
          <w:lang w:val="de-DE" w:eastAsia="fr-FR"/>
        </w:rPr>
      </w:pPr>
      <w:r w:rsidRPr="00192163">
        <w:rPr>
          <w:rFonts w:ascii="Arial" w:eastAsia="Times New Roman" w:hAnsi="Arial" w:cs="Arial"/>
          <w:snapToGrid w:val="0"/>
          <w:sz w:val="16"/>
          <w:szCs w:val="16"/>
          <w:lang w:val="de-DE" w:eastAsia="fr-FR"/>
        </w:rPr>
        <w:t>GEMEINSAME EXPERTENTAGUNG FÜR DIE DEM ÜBEREINKOMMEN ÜBER DIE INTERNATIONALE BEFÖRDERUNG VON GEFÄHRLICHEN GÜTERN AUF BINNENWASSERSTRASSEN</w:t>
      </w:r>
    </w:p>
    <w:p w:rsidR="00403401" w:rsidRPr="00192163" w:rsidRDefault="00403401" w:rsidP="00403401">
      <w:pPr>
        <w:overflowPunct w:val="0"/>
        <w:autoSpaceDE w:val="0"/>
        <w:autoSpaceDN w:val="0"/>
        <w:adjustRightInd w:val="0"/>
        <w:spacing w:after="0" w:line="240" w:lineRule="auto"/>
        <w:ind w:left="4111" w:right="-2"/>
        <w:textAlignment w:val="baseline"/>
        <w:rPr>
          <w:rFonts w:ascii="Arial" w:eastAsia="Times New Roman" w:hAnsi="Arial" w:cs="Arial"/>
          <w:snapToGrid w:val="0"/>
          <w:sz w:val="16"/>
          <w:szCs w:val="16"/>
          <w:lang w:val="de-DE" w:eastAsia="fr-FR"/>
        </w:rPr>
      </w:pPr>
      <w:r w:rsidRPr="00192163">
        <w:rPr>
          <w:rFonts w:ascii="Arial" w:eastAsia="Times New Roman" w:hAnsi="Arial" w:cs="Arial"/>
          <w:snapToGrid w:val="0"/>
          <w:sz w:val="16"/>
          <w:szCs w:val="16"/>
          <w:lang w:val="de-DE" w:eastAsia="fr-FR"/>
        </w:rPr>
        <w:t>BEIGEFÜGTE VERORDNUNG (ADN)</w:t>
      </w:r>
    </w:p>
    <w:p w:rsidR="00403401" w:rsidRPr="00192163" w:rsidRDefault="00403401" w:rsidP="00403401">
      <w:pPr>
        <w:tabs>
          <w:tab w:val="left" w:pos="2977"/>
        </w:tabs>
        <w:spacing w:after="0" w:line="240" w:lineRule="auto"/>
        <w:ind w:left="4111" w:right="-2"/>
        <w:rPr>
          <w:rFonts w:ascii="Arial" w:eastAsia="Times New Roman" w:hAnsi="Arial" w:cs="Arial"/>
          <w:snapToGrid w:val="0"/>
          <w:sz w:val="16"/>
          <w:szCs w:val="16"/>
          <w:lang w:val="de-DE" w:eastAsia="fr-FR"/>
        </w:rPr>
      </w:pPr>
      <w:r w:rsidRPr="00192163">
        <w:rPr>
          <w:rFonts w:ascii="Arial" w:eastAsia="Times New Roman" w:hAnsi="Arial" w:cs="Arial"/>
          <w:snapToGrid w:val="0"/>
          <w:sz w:val="16"/>
          <w:szCs w:val="16"/>
          <w:lang w:val="de-DE" w:eastAsia="fr-FR"/>
        </w:rPr>
        <w:t>(SICHERHEITSAUSSCHUSS)</w:t>
      </w:r>
    </w:p>
    <w:p w:rsidR="00403401" w:rsidRPr="00192163" w:rsidRDefault="00403401" w:rsidP="00403401">
      <w:pPr>
        <w:tabs>
          <w:tab w:val="left" w:pos="2977"/>
        </w:tabs>
        <w:spacing w:after="0" w:line="240" w:lineRule="auto"/>
        <w:ind w:left="4111" w:right="-2"/>
        <w:rPr>
          <w:rFonts w:ascii="Arial" w:eastAsia="Times New Roman" w:hAnsi="Arial" w:cs="Arial"/>
          <w:snapToGrid w:val="0"/>
          <w:sz w:val="16"/>
          <w:szCs w:val="16"/>
          <w:lang w:val="de-DE" w:eastAsia="fr-FR"/>
        </w:rPr>
      </w:pPr>
      <w:r w:rsidRPr="00192163">
        <w:rPr>
          <w:rFonts w:ascii="Arial" w:eastAsia="Times New Roman" w:hAnsi="Arial" w:cs="Arial"/>
          <w:snapToGrid w:val="0"/>
          <w:sz w:val="16"/>
          <w:szCs w:val="16"/>
          <w:lang w:val="de-DE" w:eastAsia="fr-FR"/>
        </w:rPr>
        <w:t>(31. Tagung, Genf, 28. bis 31. August 2017)</w:t>
      </w:r>
    </w:p>
    <w:p w:rsidR="00403401" w:rsidRPr="00192163" w:rsidRDefault="00403401" w:rsidP="00403401">
      <w:pPr>
        <w:tabs>
          <w:tab w:val="left" w:pos="2977"/>
        </w:tabs>
        <w:spacing w:after="0" w:line="240" w:lineRule="auto"/>
        <w:ind w:left="4111" w:right="-2"/>
        <w:rPr>
          <w:rFonts w:ascii="Arial" w:eastAsia="Times New Roman" w:hAnsi="Arial" w:cs="Arial"/>
          <w:snapToGrid w:val="0"/>
          <w:sz w:val="16"/>
          <w:szCs w:val="16"/>
          <w:lang w:val="de-DE" w:eastAsia="fr-FR"/>
        </w:rPr>
      </w:pPr>
      <w:r w:rsidRPr="00192163">
        <w:rPr>
          <w:rFonts w:ascii="Arial" w:eastAsia="Times New Roman" w:hAnsi="Arial" w:cs="Arial"/>
          <w:snapToGrid w:val="0"/>
          <w:sz w:val="16"/>
          <w:szCs w:val="16"/>
          <w:lang w:val="de-DE" w:eastAsia="fr-FR"/>
        </w:rPr>
        <w:t xml:space="preserve">Punkt </w:t>
      </w:r>
      <w:r w:rsidR="00915647" w:rsidRPr="00192163">
        <w:rPr>
          <w:rFonts w:ascii="Arial" w:eastAsia="Times New Roman" w:hAnsi="Arial" w:cs="Arial"/>
          <w:snapToGrid w:val="0"/>
          <w:sz w:val="16"/>
          <w:szCs w:val="16"/>
          <w:lang w:val="de-DE" w:eastAsia="fr-FR"/>
        </w:rPr>
        <w:t>4 b)</w:t>
      </w:r>
      <w:r w:rsidRPr="00192163">
        <w:rPr>
          <w:rFonts w:ascii="Arial" w:eastAsia="Times New Roman" w:hAnsi="Arial" w:cs="Arial"/>
          <w:snapToGrid w:val="0"/>
          <w:sz w:val="16"/>
          <w:szCs w:val="16"/>
          <w:lang w:val="de-DE" w:eastAsia="fr-FR"/>
        </w:rPr>
        <w:t xml:space="preserve"> zur vorläufigen Tagesordnung</w:t>
      </w:r>
    </w:p>
    <w:p w:rsidR="00403401" w:rsidRDefault="00403401" w:rsidP="00403401">
      <w:pPr>
        <w:tabs>
          <w:tab w:val="left" w:pos="2977"/>
        </w:tabs>
        <w:spacing w:after="0" w:line="240" w:lineRule="auto"/>
        <w:ind w:left="4111"/>
        <w:rPr>
          <w:rFonts w:ascii="Arial" w:eastAsia="Times New Roman" w:hAnsi="Arial" w:cs="Arial"/>
          <w:b/>
          <w:sz w:val="16"/>
          <w:szCs w:val="16"/>
          <w:lang w:val="de-DE"/>
        </w:rPr>
      </w:pPr>
      <w:r w:rsidRPr="00192163">
        <w:rPr>
          <w:rFonts w:ascii="Arial" w:eastAsia="Times New Roman" w:hAnsi="Arial" w:cs="Arial"/>
          <w:b/>
          <w:sz w:val="16"/>
          <w:szCs w:val="16"/>
          <w:lang w:val="de-DE"/>
        </w:rPr>
        <w:t>Vorschläge für Änderungen der dem ADN beigefügten Verordnung:</w:t>
      </w:r>
      <w:r w:rsidR="00915647" w:rsidRPr="00192163">
        <w:rPr>
          <w:rFonts w:ascii="Arial" w:eastAsia="Times New Roman" w:hAnsi="Arial" w:cs="Arial"/>
          <w:b/>
          <w:sz w:val="16"/>
          <w:szCs w:val="16"/>
          <w:lang w:val="de-DE"/>
        </w:rPr>
        <w:t xml:space="preserve"> </w:t>
      </w:r>
      <w:r w:rsidRPr="00192163">
        <w:rPr>
          <w:rFonts w:ascii="Arial" w:eastAsia="Times New Roman" w:hAnsi="Arial" w:cs="Arial"/>
          <w:b/>
          <w:sz w:val="16"/>
          <w:szCs w:val="16"/>
          <w:lang w:val="de-DE"/>
        </w:rPr>
        <w:t>Weitere Vorschläge</w:t>
      </w:r>
    </w:p>
    <w:p w:rsidR="00F80B91" w:rsidRDefault="00F80B91" w:rsidP="00403401">
      <w:pPr>
        <w:tabs>
          <w:tab w:val="left" w:pos="2977"/>
        </w:tabs>
        <w:spacing w:after="0" w:line="240" w:lineRule="auto"/>
        <w:ind w:left="4111"/>
        <w:rPr>
          <w:rFonts w:ascii="Arial" w:eastAsia="Times New Roman" w:hAnsi="Arial" w:cs="Arial"/>
          <w:b/>
          <w:sz w:val="16"/>
          <w:szCs w:val="16"/>
          <w:lang w:val="de-DE"/>
        </w:rPr>
      </w:pPr>
    </w:p>
    <w:p w:rsidR="00F80B91" w:rsidRPr="00192163" w:rsidRDefault="00F80B91" w:rsidP="00403401">
      <w:pPr>
        <w:tabs>
          <w:tab w:val="left" w:pos="2977"/>
        </w:tabs>
        <w:spacing w:after="0" w:line="240" w:lineRule="auto"/>
        <w:ind w:left="4111"/>
        <w:rPr>
          <w:rFonts w:ascii="Arial" w:eastAsia="Times New Roman" w:hAnsi="Arial" w:cs="Arial"/>
          <w:b/>
          <w:sz w:val="16"/>
          <w:szCs w:val="16"/>
          <w:lang w:val="de-DE"/>
        </w:rPr>
      </w:pPr>
    </w:p>
    <w:p w:rsidR="00915647" w:rsidRDefault="00915647" w:rsidP="00F80B91">
      <w:pPr>
        <w:keepNext/>
        <w:keepLines/>
        <w:tabs>
          <w:tab w:val="right" w:pos="851"/>
        </w:tabs>
        <w:suppressAutoHyphens/>
        <w:spacing w:before="360" w:after="240" w:line="300" w:lineRule="exact"/>
        <w:ind w:left="1134" w:right="141" w:hanging="1134"/>
        <w:rPr>
          <w:rFonts w:ascii="Times New Roman" w:eastAsia="Times New Roman" w:hAnsi="Times New Roman" w:cs="Times New Roman"/>
          <w:b/>
          <w:sz w:val="32"/>
          <w:szCs w:val="20"/>
          <w:lang w:val="de-DE"/>
        </w:rPr>
      </w:pPr>
      <w:r w:rsidRPr="00192163">
        <w:rPr>
          <w:rFonts w:ascii="Times New Roman" w:eastAsia="Times New Roman" w:hAnsi="Times New Roman" w:cs="Times New Roman"/>
          <w:b/>
          <w:sz w:val="28"/>
          <w:szCs w:val="20"/>
          <w:lang w:val="de-DE"/>
        </w:rPr>
        <w:tab/>
      </w:r>
      <w:r w:rsidRPr="00192163">
        <w:rPr>
          <w:rFonts w:ascii="Times New Roman" w:eastAsia="Times New Roman" w:hAnsi="Times New Roman" w:cs="Times New Roman"/>
          <w:b/>
          <w:sz w:val="28"/>
          <w:szCs w:val="20"/>
          <w:lang w:val="de-DE"/>
        </w:rPr>
        <w:tab/>
      </w:r>
      <w:r w:rsidR="008F79C2" w:rsidRPr="00192163">
        <w:rPr>
          <w:rFonts w:ascii="Times New Roman" w:eastAsia="Times New Roman" w:hAnsi="Times New Roman" w:cs="Times New Roman"/>
          <w:b/>
          <w:sz w:val="32"/>
          <w:szCs w:val="20"/>
          <w:lang w:val="de-DE"/>
        </w:rPr>
        <w:t xml:space="preserve">Vorläufige Zulassungszeugnisse </w:t>
      </w:r>
      <w:r w:rsidR="00F80B91">
        <w:rPr>
          <w:rFonts w:ascii="Times New Roman" w:eastAsia="Times New Roman" w:hAnsi="Times New Roman" w:cs="Times New Roman"/>
          <w:b/>
          <w:sz w:val="32"/>
          <w:szCs w:val="20"/>
          <w:lang w:val="de-DE"/>
        </w:rPr>
        <w:t>–</w:t>
      </w:r>
      <w:r w:rsidR="008F79C2" w:rsidRPr="00192163">
        <w:rPr>
          <w:rFonts w:ascii="Times New Roman" w:eastAsia="Times New Roman" w:hAnsi="Times New Roman" w:cs="Times New Roman"/>
          <w:b/>
          <w:sz w:val="32"/>
          <w:szCs w:val="20"/>
          <w:lang w:val="de-DE"/>
        </w:rPr>
        <w:t xml:space="preserve"> Gültigkeits</w:t>
      </w:r>
      <w:r w:rsidR="00A80459" w:rsidRPr="00192163">
        <w:rPr>
          <w:rFonts w:ascii="Times New Roman" w:eastAsia="Times New Roman" w:hAnsi="Times New Roman" w:cs="Times New Roman"/>
          <w:b/>
          <w:sz w:val="32"/>
          <w:szCs w:val="20"/>
          <w:lang w:val="de-DE"/>
        </w:rPr>
        <w:t>dauer</w:t>
      </w:r>
    </w:p>
    <w:p w:rsidR="004A1506" w:rsidRDefault="00F76CE9" w:rsidP="004A1506">
      <w:pPr>
        <w:spacing w:after="200" w:line="240" w:lineRule="atLeast"/>
        <w:ind w:left="1134"/>
        <w:rPr>
          <w:rFonts w:ascii="Times New Roman" w:eastAsia="Calibri" w:hAnsi="Times New Roman" w:cs="Times New Roman"/>
          <w:b/>
          <w:bCs/>
          <w:sz w:val="18"/>
          <w:szCs w:val="18"/>
          <w:vertAlign w:val="superscript"/>
        </w:rPr>
      </w:pPr>
      <w:r w:rsidRPr="00192163">
        <w:rPr>
          <w:rFonts w:ascii="Times New Roman" w:eastAsia="Times New Roman" w:hAnsi="Times New Roman" w:cs="Times New Roman"/>
          <w:b/>
          <w:sz w:val="24"/>
          <w:szCs w:val="20"/>
          <w:lang w:val="de-DE"/>
        </w:rPr>
        <w:t>Eingereicht von der belgischen Regierung</w:t>
      </w:r>
      <w:r w:rsidR="00403401" w:rsidRPr="00192163">
        <w:rPr>
          <w:rFonts w:ascii="Times New Roman" w:eastAsia="Times New Roman" w:hAnsi="Times New Roman" w:cs="Times New Roman"/>
          <w:b/>
          <w:sz w:val="18"/>
          <w:szCs w:val="18"/>
          <w:vertAlign w:val="superscript"/>
          <w:lang w:val="de-DE"/>
        </w:rPr>
        <w:footnoteReference w:customMarkFollows="1" w:id="1"/>
        <w:t>*</w:t>
      </w:r>
      <w:proofErr w:type="gramStart"/>
      <w:r w:rsidR="00915647" w:rsidRPr="00192163">
        <w:rPr>
          <w:rFonts w:ascii="Times New Roman" w:eastAsia="Times New Roman" w:hAnsi="Times New Roman" w:cs="Times New Roman"/>
          <w:b/>
          <w:sz w:val="18"/>
          <w:szCs w:val="18"/>
          <w:vertAlign w:val="superscript"/>
          <w:lang w:val="de-DE"/>
        </w:rPr>
        <w:t>,</w:t>
      </w:r>
      <w:r w:rsidR="00403401" w:rsidRPr="00192163">
        <w:rPr>
          <w:rFonts w:ascii="Times New Roman" w:eastAsia="Calibri" w:hAnsi="Times New Roman" w:cs="Times New Roman"/>
          <w:b/>
          <w:bCs/>
          <w:sz w:val="18"/>
          <w:szCs w:val="18"/>
          <w:vertAlign w:val="superscript"/>
          <w:lang w:val="de-DE"/>
        </w:rPr>
        <w:footnoteReference w:customMarkFollows="1" w:id="2"/>
        <w:t>*</w:t>
      </w:r>
      <w:proofErr w:type="gramEnd"/>
      <w:r w:rsidR="00403401" w:rsidRPr="00192163">
        <w:rPr>
          <w:rFonts w:ascii="Times New Roman" w:eastAsia="Calibri" w:hAnsi="Times New Roman" w:cs="Times New Roman"/>
          <w:b/>
          <w:bCs/>
          <w:sz w:val="18"/>
          <w:szCs w:val="18"/>
          <w:vertAlign w:val="superscript"/>
          <w:lang w:val="de-DE"/>
        </w:rPr>
        <w:t>*</w:t>
      </w:r>
      <w:bookmarkEnd w:id="0"/>
      <w:bookmarkEnd w:id="1"/>
      <w:r w:rsidR="004A1506" w:rsidRPr="00192163">
        <w:rPr>
          <w:rFonts w:ascii="Times New Roman" w:eastAsia="Times New Roman" w:hAnsi="Times New Roman" w:cs="Times New Roman"/>
          <w:b/>
          <w:noProof/>
          <w:sz w:val="24"/>
          <w:szCs w:val="20"/>
          <w:lang w:val="en-GB" w:eastAsia="en-GB"/>
        </w:rPr>
        <mc:AlternateContent>
          <mc:Choice Requires="wps">
            <w:drawing>
              <wp:anchor distT="0" distB="0" distL="0" distR="0" simplePos="0" relativeHeight="251664384" behindDoc="0" locked="0" layoutInCell="1" allowOverlap="1" wp14:anchorId="5C763576" wp14:editId="3DEDDD90">
                <wp:simplePos x="0" y="0"/>
                <wp:positionH relativeFrom="page">
                  <wp:posOffset>1162050</wp:posOffset>
                </wp:positionH>
                <wp:positionV relativeFrom="paragraph">
                  <wp:posOffset>391795</wp:posOffset>
                </wp:positionV>
                <wp:extent cx="4495800" cy="1143000"/>
                <wp:effectExtent l="0" t="0" r="19050" b="19050"/>
                <wp:wrapTopAndBottom/>
                <wp:docPr id="9" name="10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43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C48" w:rsidRPr="00192163" w:rsidRDefault="00C31C48" w:rsidP="004A1506">
                            <w:pPr>
                              <w:pStyle w:val="SingleTxtG"/>
                              <w:ind w:left="284"/>
                              <w:rPr>
                                <w:lang w:val="de-DE"/>
                              </w:rPr>
                            </w:pPr>
                            <w:r w:rsidRPr="00192163">
                              <w:rPr>
                                <w:lang w:val="de-DE"/>
                              </w:rPr>
                              <w:t>Verbundene Dokumente:</w:t>
                            </w:r>
                          </w:p>
                          <w:p w:rsidR="00C31C48" w:rsidRPr="00192163" w:rsidRDefault="00C31C48" w:rsidP="004A1506">
                            <w:pPr>
                              <w:pStyle w:val="SingleTxtG"/>
                              <w:ind w:left="284"/>
                              <w:rPr>
                                <w:lang w:val="de-DE"/>
                              </w:rPr>
                            </w:pPr>
                            <w:r w:rsidRPr="00192163">
                              <w:rPr>
                                <w:lang w:val="de-DE"/>
                              </w:rPr>
                              <w:t>-</w:t>
                            </w:r>
                            <w:r w:rsidRPr="00192163">
                              <w:rPr>
                                <w:lang w:val="de-DE"/>
                              </w:rPr>
                              <w:tab/>
                              <w:t>ECE/TRANS/WP.15/AC.2/2014/43</w:t>
                            </w:r>
                          </w:p>
                          <w:p w:rsidR="00C31C48" w:rsidRPr="00192163" w:rsidRDefault="00C31C48" w:rsidP="004A1506">
                            <w:pPr>
                              <w:pStyle w:val="SingleTxtG"/>
                              <w:ind w:left="284"/>
                              <w:rPr>
                                <w:lang w:val="de-DE"/>
                              </w:rPr>
                            </w:pPr>
                            <w:r w:rsidRPr="00192163">
                              <w:rPr>
                                <w:lang w:val="de-DE"/>
                              </w:rPr>
                              <w:t>-</w:t>
                            </w:r>
                            <w:r w:rsidRPr="00192163">
                              <w:rPr>
                                <w:lang w:val="de-DE"/>
                              </w:rPr>
                              <w:tab/>
                              <w:t>ECE/TRANS/WP.15/AC.2/52 (Abs. 44 und 45)</w:t>
                            </w:r>
                          </w:p>
                          <w:p w:rsidR="00C31C48" w:rsidRPr="00192163" w:rsidRDefault="00C31C48" w:rsidP="004A1506">
                            <w:pPr>
                              <w:pStyle w:val="SingleTxtG"/>
                              <w:ind w:left="284"/>
                              <w:rPr>
                                <w:lang w:val="de-DE"/>
                              </w:rPr>
                            </w:pPr>
                            <w:r w:rsidRPr="00192163">
                              <w:rPr>
                                <w:lang w:val="de-DE"/>
                              </w:rPr>
                              <w:t>-</w:t>
                            </w:r>
                            <w:r w:rsidRPr="00192163">
                              <w:rPr>
                                <w:lang w:val="de-DE"/>
                              </w:rPr>
                              <w:tab/>
                              <w:t>Informelles Dokument INF.17 von der 27. Sitzung</w:t>
                            </w:r>
                          </w:p>
                          <w:p w:rsidR="00C31C48" w:rsidRPr="00F76CE9" w:rsidRDefault="00C31C48" w:rsidP="004A1506">
                            <w:pPr>
                              <w:pStyle w:val="SingleTxtG"/>
                              <w:ind w:left="284"/>
                              <w:rPr>
                                <w:lang w:val="de-DE"/>
                              </w:rPr>
                            </w:pPr>
                            <w:r w:rsidRPr="00192163">
                              <w:rPr>
                                <w:lang w:val="de-DE"/>
                              </w:rPr>
                              <w:t>-</w:t>
                            </w:r>
                            <w:r w:rsidRPr="00192163">
                              <w:rPr>
                                <w:lang w:val="de-DE"/>
                              </w:rPr>
                              <w:tab/>
                              <w:t>ECE/TRANS/WP15/AC.2/56 (Abschnitt 18 – Abs. 62-69)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11" o:spid="_x0000_s1026" type="#_x0000_t202" style="position:absolute;left:0;text-align:left;margin-left:91.5pt;margin-top:30.85pt;width:354pt;height:90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" filled="f" strokeweight=".48pt">
                <v:textbox inset="0,0,0,0">
                  <w:txbxContent>
                    <w:p w:rsidR="00C31C48" w:rsidRPr="00192163" w:rsidRDefault="00C31C48" w:rsidP="004A1506">
                      <w:pPr>
                        <w:pStyle w:val="SingleTxtG"/>
                        <w:ind w:left="284"/>
                        <w:rPr>
                          <w:lang w:val="de-DE"/>
                        </w:rPr>
                      </w:pPr>
                      <w:r w:rsidRPr="00192163">
                        <w:rPr>
                          <w:lang w:val="de-DE"/>
                        </w:rPr>
                        <w:t>Verbundene Dokumente:</w:t>
                      </w:r>
                    </w:p>
                    <w:p w:rsidR="00C31C48" w:rsidRPr="00192163" w:rsidRDefault="00C31C48" w:rsidP="004A1506">
                      <w:pPr>
                        <w:pStyle w:val="SingleTxtG"/>
                        <w:ind w:left="284"/>
                        <w:rPr>
                          <w:lang w:val="de-DE"/>
                        </w:rPr>
                      </w:pPr>
                      <w:r w:rsidRPr="00192163">
                        <w:rPr>
                          <w:lang w:val="de-DE"/>
                        </w:rPr>
                        <w:t>-</w:t>
                      </w:r>
                      <w:r w:rsidRPr="00192163">
                        <w:rPr>
                          <w:lang w:val="de-DE"/>
                        </w:rPr>
                        <w:tab/>
                        <w:t>ECE/TRANS/WP.15/AC.2/2014/43</w:t>
                      </w:r>
                    </w:p>
                    <w:p w:rsidR="00C31C48" w:rsidRPr="00192163" w:rsidRDefault="00C31C48" w:rsidP="004A1506">
                      <w:pPr>
                        <w:pStyle w:val="SingleTxtG"/>
                        <w:ind w:left="284"/>
                        <w:rPr>
                          <w:lang w:val="de-DE"/>
                        </w:rPr>
                      </w:pPr>
                      <w:r w:rsidRPr="00192163">
                        <w:rPr>
                          <w:lang w:val="de-DE"/>
                        </w:rPr>
                        <w:t>-</w:t>
                      </w:r>
                      <w:r w:rsidRPr="00192163">
                        <w:rPr>
                          <w:lang w:val="de-DE"/>
                        </w:rPr>
                        <w:tab/>
                        <w:t>ECE/TRANS/WP.15/AC.2/52 (Abs. 44 und 45)</w:t>
                      </w:r>
                    </w:p>
                    <w:p w:rsidR="00C31C48" w:rsidRPr="00192163" w:rsidRDefault="00C31C48" w:rsidP="004A1506">
                      <w:pPr>
                        <w:pStyle w:val="SingleTxtG"/>
                        <w:ind w:left="284"/>
                        <w:rPr>
                          <w:lang w:val="de-DE"/>
                        </w:rPr>
                      </w:pPr>
                      <w:r w:rsidRPr="00192163">
                        <w:rPr>
                          <w:lang w:val="de-DE"/>
                        </w:rPr>
                        <w:t>-</w:t>
                      </w:r>
                      <w:r w:rsidRPr="00192163">
                        <w:rPr>
                          <w:lang w:val="de-DE"/>
                        </w:rPr>
                        <w:tab/>
                        <w:t>Informelles Dokument INF.17 von der 27. Sitzung</w:t>
                      </w:r>
                    </w:p>
                    <w:p w:rsidR="00C31C48" w:rsidRPr="00F76CE9" w:rsidRDefault="00C31C48" w:rsidP="004A1506">
                      <w:pPr>
                        <w:pStyle w:val="SingleTxtG"/>
                        <w:ind w:left="284"/>
                        <w:rPr>
                          <w:lang w:val="de-DE"/>
                        </w:rPr>
                      </w:pPr>
                      <w:r w:rsidRPr="00192163">
                        <w:rPr>
                          <w:lang w:val="de-DE"/>
                        </w:rPr>
                        <w:t>-</w:t>
                      </w:r>
                      <w:r w:rsidRPr="00192163">
                        <w:rPr>
                          <w:lang w:val="de-DE"/>
                        </w:rPr>
                        <w:tab/>
                        <w:t>ECE/TRANS/WP15/AC.2/56 (Abschnitt 18 – Abs. 62-69)</w:t>
                      </w:r>
                    </w:p>
                  </w:txbxContent>
                </v:textbox>
                <w10:wrap type="topAndBottom" anchorx="page"/>
              </v:shape>
            </w:pict>
          </mc:Fallback>
        </mc:AlternateContent>
      </w:r>
    </w:p>
    <w:p w:rsidR="00F80B91" w:rsidRDefault="00F80B91" w:rsidP="004A1506">
      <w:pPr>
        <w:spacing w:after="200" w:line="240" w:lineRule="atLeast"/>
        <w:ind w:left="1134"/>
        <w:rPr>
          <w:rFonts w:ascii="Times New Roman" w:eastAsia="Times New Roman" w:hAnsi="Times New Roman" w:cs="Times New Roman"/>
          <w:b/>
          <w:sz w:val="24"/>
          <w:szCs w:val="24"/>
        </w:rPr>
      </w:pPr>
    </w:p>
    <w:p w:rsidR="00F80B91" w:rsidRPr="00F80B91" w:rsidRDefault="00F80B91" w:rsidP="004A1506">
      <w:pPr>
        <w:spacing w:after="200" w:line="240" w:lineRule="atLeast"/>
        <w:ind w:left="1134"/>
        <w:rPr>
          <w:rFonts w:ascii="Times New Roman" w:eastAsia="Times New Roman" w:hAnsi="Times New Roman" w:cs="Times New Roman"/>
          <w:b/>
          <w:sz w:val="24"/>
          <w:szCs w:val="24"/>
        </w:rPr>
      </w:pPr>
    </w:p>
    <w:p w:rsidR="004A1506" w:rsidRPr="00192163" w:rsidRDefault="004A1506" w:rsidP="004A150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92163">
        <w:rPr>
          <w:rFonts w:ascii="Times New Roman" w:eastAsia="Times New Roman" w:hAnsi="Times New Roman" w:cs="Times New Roman"/>
          <w:b/>
          <w:sz w:val="24"/>
          <w:szCs w:val="20"/>
          <w:lang w:val="de-DE"/>
        </w:rPr>
        <w:tab/>
        <w:t>I.</w:t>
      </w:r>
      <w:r w:rsidRPr="00192163">
        <w:rPr>
          <w:rFonts w:ascii="Times New Roman" w:eastAsia="Times New Roman" w:hAnsi="Times New Roman" w:cs="Times New Roman"/>
          <w:b/>
          <w:sz w:val="24"/>
          <w:szCs w:val="20"/>
          <w:lang w:val="de-DE"/>
        </w:rPr>
        <w:tab/>
      </w:r>
      <w:r w:rsidR="00F76CE9" w:rsidRPr="00192163">
        <w:rPr>
          <w:rFonts w:ascii="Times New Roman" w:eastAsia="Times New Roman" w:hAnsi="Times New Roman" w:cs="Times New Roman"/>
          <w:b/>
          <w:sz w:val="24"/>
          <w:szCs w:val="20"/>
          <w:lang w:val="de-DE"/>
        </w:rPr>
        <w:t>Einleitung</w:t>
      </w:r>
    </w:p>
    <w:p w:rsidR="004A1506" w:rsidRPr="00192163" w:rsidRDefault="004A1506" w:rsidP="0046050C">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1.</w:t>
      </w:r>
      <w:r w:rsidRPr="00192163">
        <w:rPr>
          <w:rFonts w:ascii="Times New Roman" w:eastAsia="SimSun" w:hAnsi="Times New Roman" w:cs="Times New Roman"/>
          <w:sz w:val="20"/>
          <w:szCs w:val="20"/>
          <w:lang w:val="de-DE" w:eastAsia="zh-CN"/>
        </w:rPr>
        <w:tab/>
      </w:r>
      <w:r w:rsidR="00A80459" w:rsidRPr="00192163">
        <w:rPr>
          <w:rFonts w:ascii="Times New Roman" w:eastAsia="SimSun" w:hAnsi="Times New Roman" w:cs="Times New Roman"/>
          <w:sz w:val="20"/>
          <w:szCs w:val="20"/>
          <w:lang w:val="de-DE" w:eastAsia="zh-CN"/>
        </w:rPr>
        <w:t xml:space="preserve">Gemäß </w:t>
      </w:r>
      <w:r w:rsidR="008F79C2" w:rsidRPr="00192163">
        <w:rPr>
          <w:rFonts w:ascii="Times New Roman" w:eastAsia="SimSun" w:hAnsi="Times New Roman" w:cs="Times New Roman"/>
          <w:sz w:val="20"/>
          <w:szCs w:val="20"/>
          <w:lang w:val="de-DE" w:eastAsia="zh-CN"/>
        </w:rPr>
        <w:t xml:space="preserve">Absatz 1.16.1.3.1 des ADN 2015 </w:t>
      </w:r>
      <w:r w:rsidR="00A80459" w:rsidRPr="00192163">
        <w:rPr>
          <w:rFonts w:ascii="Times New Roman" w:eastAsia="SimSun" w:hAnsi="Times New Roman" w:cs="Times New Roman"/>
          <w:sz w:val="20"/>
          <w:szCs w:val="20"/>
          <w:lang w:val="de-DE" w:eastAsia="zh-CN"/>
        </w:rPr>
        <w:t>kann</w:t>
      </w:r>
      <w:r w:rsidR="008F79C2" w:rsidRPr="00192163">
        <w:rPr>
          <w:rFonts w:ascii="Times New Roman" w:eastAsia="SimSun" w:hAnsi="Times New Roman" w:cs="Times New Roman"/>
          <w:sz w:val="20"/>
          <w:szCs w:val="20"/>
          <w:lang w:val="de-DE" w:eastAsia="zh-CN"/>
        </w:rPr>
        <w:t xml:space="preserve"> ein vorläufiges Zulassungszeugnis ausgestellt werden, wenn das Schiff folgende Bestimmung erfüllt: </w:t>
      </w:r>
    </w:p>
    <w:p w:rsidR="002A524F" w:rsidRPr="00192163" w:rsidRDefault="00184F3C" w:rsidP="002A524F">
      <w:pPr>
        <w:suppressAutoHyphens/>
        <w:spacing w:after="120" w:line="240" w:lineRule="atLeast"/>
        <w:ind w:left="1134" w:right="113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w:t>
      </w:r>
      <w:r w:rsidR="002A524F" w:rsidRPr="00192163">
        <w:rPr>
          <w:rFonts w:ascii="Times New Roman" w:eastAsia="SimSun" w:hAnsi="Times New Roman" w:cs="Times New Roman"/>
          <w:i/>
          <w:sz w:val="20"/>
          <w:szCs w:val="20"/>
          <w:lang w:val="de-DE" w:eastAsia="zh-CN"/>
        </w:rPr>
        <w:t>Für ein Schiff, das nicht mit einem Zulassungszeugnis versehen ist, kann ein vorläufiges Zulassungszeugnis von begrenzter Gültigkeitsdauer in folgenden Fällen und unter folgenden Bedingungen ausgestellt werden:</w:t>
      </w:r>
    </w:p>
    <w:p w:rsidR="00184F3C" w:rsidRPr="00192163" w:rsidRDefault="00184F3C">
      <w:pPr>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br w:type="page"/>
      </w:r>
    </w:p>
    <w:p w:rsidR="002A524F" w:rsidRPr="00192163" w:rsidRDefault="002A524F" w:rsidP="002A524F">
      <w:pPr>
        <w:suppressAutoHyphens/>
        <w:spacing w:after="120" w:line="240" w:lineRule="atLeast"/>
        <w:ind w:left="1418" w:right="1134" w:hanging="28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lastRenderedPageBreak/>
        <w:t>a)</w:t>
      </w:r>
      <w:r w:rsidRPr="00192163">
        <w:rPr>
          <w:rFonts w:ascii="Times New Roman" w:eastAsia="SimSun" w:hAnsi="Times New Roman" w:cs="Times New Roman"/>
          <w:i/>
          <w:sz w:val="20"/>
          <w:szCs w:val="20"/>
          <w:lang w:val="de-DE" w:eastAsia="zh-CN"/>
        </w:rPr>
        <w:tab/>
        <w:t>Das Schiff entspricht den anwendbaren Vorschriften dieser Verordnung, aber das Zulassungszeugnis konnte nicht rechtzeitig ausgestellt werden. Die Gültigkeitsdauer des vorläufigen Zulassungszeugnisses darf einen angemessenen Zeitraum, höchstens aber drei Monate, nicht überschreiten.</w:t>
      </w:r>
    </w:p>
    <w:p w:rsidR="002A524F" w:rsidRPr="00192163" w:rsidRDefault="002A524F" w:rsidP="002A524F">
      <w:pPr>
        <w:suppressAutoHyphens/>
        <w:spacing w:after="120" w:line="240" w:lineRule="atLeast"/>
        <w:ind w:left="1418" w:right="1134" w:hanging="28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b)</w:t>
      </w:r>
      <w:r w:rsidRPr="00192163">
        <w:rPr>
          <w:rFonts w:ascii="Times New Roman" w:eastAsia="SimSun" w:hAnsi="Times New Roman" w:cs="Times New Roman"/>
          <w:i/>
          <w:sz w:val="20"/>
          <w:szCs w:val="20"/>
          <w:lang w:val="de-DE" w:eastAsia="zh-CN"/>
        </w:rPr>
        <w:tab/>
        <w:t xml:space="preserve">Das Schiff entspricht nach einem </w:t>
      </w:r>
      <w:proofErr w:type="spellStart"/>
      <w:r w:rsidRPr="00192163">
        <w:rPr>
          <w:rFonts w:ascii="Times New Roman" w:eastAsia="SimSun" w:hAnsi="Times New Roman" w:cs="Times New Roman"/>
          <w:i/>
          <w:sz w:val="20"/>
          <w:szCs w:val="20"/>
          <w:lang w:val="de-DE" w:eastAsia="zh-CN"/>
        </w:rPr>
        <w:t>Havariefall</w:t>
      </w:r>
      <w:proofErr w:type="spellEnd"/>
      <w:r w:rsidRPr="00192163">
        <w:rPr>
          <w:rFonts w:ascii="Times New Roman" w:eastAsia="SimSun" w:hAnsi="Times New Roman" w:cs="Times New Roman"/>
          <w:i/>
          <w:sz w:val="20"/>
          <w:szCs w:val="20"/>
          <w:lang w:val="de-DE" w:eastAsia="zh-CN"/>
        </w:rPr>
        <w:t xml:space="preserve"> nicht allen anwendbaren Vorschriften dieser Verordnung. In diesem Fall gilt das vorläufige Zulassungszeugnis nur für eine einzige Fahrt und für eine bestimmte Ladung. Die zuständige Behörde kann zusätzliche Bedingungen auferlegen.</w:t>
      </w:r>
      <w:r w:rsidR="00184F3C" w:rsidRPr="00192163">
        <w:rPr>
          <w:rFonts w:ascii="Times New Roman" w:eastAsia="SimSun" w:hAnsi="Times New Roman" w:cs="Times New Roman"/>
          <w:i/>
          <w:sz w:val="20"/>
          <w:szCs w:val="20"/>
          <w:lang w:val="de-DE" w:eastAsia="zh-CN"/>
        </w:rPr>
        <w:t>“.</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2.</w:t>
      </w:r>
      <w:r w:rsidRPr="00192163">
        <w:rPr>
          <w:rFonts w:ascii="Times New Roman" w:eastAsia="SimSun" w:hAnsi="Times New Roman" w:cs="Times New Roman"/>
          <w:sz w:val="20"/>
          <w:szCs w:val="20"/>
          <w:lang w:val="de-DE" w:eastAsia="zh-CN"/>
        </w:rPr>
        <w:tab/>
      </w:r>
      <w:r w:rsidR="008F79C2" w:rsidRPr="00192163">
        <w:rPr>
          <w:rFonts w:ascii="Times New Roman" w:eastAsia="SimSun" w:hAnsi="Times New Roman" w:cs="Times New Roman"/>
          <w:sz w:val="20"/>
          <w:szCs w:val="20"/>
          <w:lang w:val="de-DE" w:eastAsia="zh-CN"/>
        </w:rPr>
        <w:t xml:space="preserve">Die Informelle Korrespondenz-Arbeitsgruppe (ICWG) hat in der Sitzung des Sicherheitsausschusses im August 2016 ihre </w:t>
      </w:r>
      <w:r w:rsidR="00A80459" w:rsidRPr="00192163">
        <w:rPr>
          <w:rFonts w:ascii="Times New Roman" w:eastAsia="SimSun" w:hAnsi="Times New Roman" w:cs="Times New Roman"/>
          <w:sz w:val="20"/>
          <w:szCs w:val="20"/>
          <w:lang w:val="de-DE" w:eastAsia="zh-CN"/>
        </w:rPr>
        <w:t>Arbeiten</w:t>
      </w:r>
      <w:r w:rsidR="008F79C2" w:rsidRPr="00192163">
        <w:rPr>
          <w:rFonts w:ascii="Times New Roman" w:eastAsia="SimSun" w:hAnsi="Times New Roman" w:cs="Times New Roman"/>
          <w:sz w:val="20"/>
          <w:szCs w:val="20"/>
          <w:lang w:val="de-DE" w:eastAsia="zh-CN"/>
        </w:rPr>
        <w:t xml:space="preserve"> vorgestellt.</w:t>
      </w:r>
      <w:r w:rsidR="00860900" w:rsidRPr="00192163">
        <w:rPr>
          <w:rFonts w:ascii="Times New Roman" w:eastAsia="SimSun" w:hAnsi="Times New Roman" w:cs="Times New Roman"/>
          <w:sz w:val="20"/>
          <w:szCs w:val="20"/>
          <w:lang w:val="de-DE" w:eastAsia="zh-CN"/>
        </w:rPr>
        <w:t xml:space="preserve"> </w:t>
      </w:r>
      <w:r w:rsidR="008F79C2" w:rsidRPr="00192163">
        <w:rPr>
          <w:rFonts w:ascii="Times New Roman" w:eastAsia="SimSun" w:hAnsi="Times New Roman" w:cs="Times New Roman"/>
          <w:sz w:val="20"/>
          <w:szCs w:val="20"/>
          <w:lang w:val="de-DE" w:eastAsia="zh-CN"/>
        </w:rPr>
        <w:t>Diese informelle Arbeitsgruppe war beauftragt worden, die Anlage betreffend das Untersuchungs</w:t>
      </w:r>
      <w:r w:rsidR="00860900" w:rsidRPr="00192163">
        <w:rPr>
          <w:rFonts w:ascii="Times New Roman" w:eastAsia="SimSun" w:hAnsi="Times New Roman" w:cs="Times New Roman"/>
          <w:sz w:val="20"/>
          <w:szCs w:val="20"/>
          <w:lang w:val="de-DE" w:eastAsia="zh-CN"/>
        </w:rPr>
        <w:softHyphen/>
      </w:r>
      <w:r w:rsidR="008F79C2" w:rsidRPr="00192163">
        <w:rPr>
          <w:rFonts w:ascii="Times New Roman" w:eastAsia="SimSun" w:hAnsi="Times New Roman" w:cs="Times New Roman"/>
          <w:sz w:val="20"/>
          <w:szCs w:val="20"/>
          <w:lang w:val="de-DE" w:eastAsia="zh-CN"/>
        </w:rPr>
        <w:t>verfahren (zur Ausstellung eines Zulassungszeugnisses) zu überprüfen.</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3.</w:t>
      </w:r>
      <w:r w:rsidRPr="00192163">
        <w:rPr>
          <w:rFonts w:ascii="Times New Roman" w:eastAsia="SimSun" w:hAnsi="Times New Roman" w:cs="Times New Roman"/>
          <w:sz w:val="20"/>
          <w:szCs w:val="20"/>
          <w:lang w:val="de-DE" w:eastAsia="zh-CN"/>
        </w:rPr>
        <w:tab/>
      </w:r>
      <w:r w:rsidR="008F79C2" w:rsidRPr="00192163">
        <w:rPr>
          <w:rFonts w:ascii="Times New Roman" w:eastAsia="SimSun" w:hAnsi="Times New Roman" w:cs="Times New Roman"/>
          <w:sz w:val="20"/>
          <w:szCs w:val="20"/>
          <w:lang w:val="de-DE" w:eastAsia="zh-CN"/>
        </w:rPr>
        <w:t>Die Arbeitsgruppe hatte zu Recht festgestellt, dass die Regelung des ADN 2015 über die Ausstellung eines vorläufigen Zulassungszeugnisses</w:t>
      </w:r>
      <w:r w:rsidR="006921E3" w:rsidRPr="00192163">
        <w:rPr>
          <w:rFonts w:ascii="Times New Roman" w:eastAsia="SimSun" w:hAnsi="Times New Roman" w:cs="Times New Roman"/>
          <w:sz w:val="20"/>
          <w:szCs w:val="20"/>
          <w:lang w:val="de-DE" w:eastAsia="zh-CN"/>
        </w:rPr>
        <w:t xml:space="preserve"> nicht die tägliche Praxis </w:t>
      </w:r>
      <w:proofErr w:type="gramStart"/>
      <w:r w:rsidR="006921E3" w:rsidRPr="00192163">
        <w:rPr>
          <w:rFonts w:ascii="Times New Roman" w:eastAsia="SimSun" w:hAnsi="Times New Roman" w:cs="Times New Roman"/>
          <w:sz w:val="20"/>
          <w:szCs w:val="20"/>
          <w:lang w:val="de-DE" w:eastAsia="zh-CN"/>
        </w:rPr>
        <w:t>widerspiegel</w:t>
      </w:r>
      <w:r w:rsidR="00E53180" w:rsidRPr="00192163">
        <w:rPr>
          <w:rFonts w:ascii="Times New Roman" w:eastAsia="SimSun" w:hAnsi="Times New Roman" w:cs="Times New Roman"/>
          <w:sz w:val="20"/>
          <w:szCs w:val="20"/>
          <w:lang w:val="de-DE" w:eastAsia="zh-CN"/>
        </w:rPr>
        <w:t>e</w:t>
      </w:r>
      <w:proofErr w:type="gramEnd"/>
      <w:r w:rsidR="006921E3" w:rsidRPr="00192163">
        <w:rPr>
          <w:rFonts w:ascii="Times New Roman" w:eastAsia="SimSun" w:hAnsi="Times New Roman" w:cs="Times New Roman"/>
          <w:sz w:val="20"/>
          <w:szCs w:val="20"/>
          <w:lang w:val="de-DE" w:eastAsia="zh-CN"/>
        </w:rPr>
        <w:t>.</w:t>
      </w:r>
      <w:r w:rsidRPr="00192163">
        <w:rPr>
          <w:rFonts w:ascii="Times New Roman" w:eastAsia="SimSun" w:hAnsi="Times New Roman" w:cs="Times New Roman"/>
          <w:sz w:val="20"/>
          <w:szCs w:val="20"/>
          <w:lang w:val="de-DE" w:eastAsia="zh-CN"/>
        </w:rPr>
        <w:t xml:space="preserve"> </w:t>
      </w:r>
      <w:r w:rsidR="006921E3" w:rsidRPr="00192163">
        <w:rPr>
          <w:rFonts w:ascii="Times New Roman" w:eastAsia="SimSun" w:hAnsi="Times New Roman" w:cs="Times New Roman"/>
          <w:sz w:val="20"/>
          <w:szCs w:val="20"/>
          <w:lang w:val="de-DE" w:eastAsia="zh-CN"/>
        </w:rPr>
        <w:t>So w</w:t>
      </w:r>
      <w:r w:rsidR="00E53180" w:rsidRPr="00192163">
        <w:rPr>
          <w:rFonts w:ascii="Times New Roman" w:eastAsia="SimSun" w:hAnsi="Times New Roman" w:cs="Times New Roman"/>
          <w:sz w:val="20"/>
          <w:szCs w:val="20"/>
          <w:lang w:val="de-DE" w:eastAsia="zh-CN"/>
        </w:rPr>
        <w:t>ü</w:t>
      </w:r>
      <w:r w:rsidR="000B3612" w:rsidRPr="00192163">
        <w:rPr>
          <w:rFonts w:ascii="Times New Roman" w:eastAsia="SimSun" w:hAnsi="Times New Roman" w:cs="Times New Roman"/>
          <w:sz w:val="20"/>
          <w:szCs w:val="20"/>
          <w:lang w:val="de-DE" w:eastAsia="zh-CN"/>
        </w:rPr>
        <w:t>rden Schiffe</w:t>
      </w:r>
      <w:r w:rsidR="006921E3" w:rsidRPr="00192163">
        <w:rPr>
          <w:rFonts w:ascii="Times New Roman" w:eastAsia="SimSun" w:hAnsi="Times New Roman" w:cs="Times New Roman"/>
          <w:sz w:val="20"/>
          <w:szCs w:val="20"/>
          <w:lang w:val="de-DE" w:eastAsia="zh-CN"/>
        </w:rPr>
        <w:t xml:space="preserve"> </w:t>
      </w:r>
      <w:r w:rsidR="00860900" w:rsidRPr="00192163">
        <w:rPr>
          <w:rFonts w:ascii="Times New Roman" w:eastAsia="SimSun" w:hAnsi="Times New Roman" w:cs="Times New Roman"/>
          <w:sz w:val="20"/>
          <w:szCs w:val="20"/>
          <w:lang w:val="de-DE" w:eastAsia="zh-CN"/>
        </w:rPr>
        <w:t>mehrmals hintereinander</w:t>
      </w:r>
      <w:r w:rsidR="006921E3" w:rsidRPr="00192163">
        <w:rPr>
          <w:rFonts w:ascii="Times New Roman" w:eastAsia="SimSun" w:hAnsi="Times New Roman" w:cs="Times New Roman"/>
          <w:sz w:val="20"/>
          <w:szCs w:val="20"/>
          <w:lang w:val="de-DE" w:eastAsia="zh-CN"/>
        </w:rPr>
        <w:t xml:space="preserve"> </w:t>
      </w:r>
      <w:r w:rsidR="00E53180" w:rsidRPr="00192163">
        <w:rPr>
          <w:rFonts w:ascii="Times New Roman" w:eastAsia="SimSun" w:hAnsi="Times New Roman" w:cs="Times New Roman"/>
          <w:sz w:val="20"/>
          <w:szCs w:val="20"/>
          <w:lang w:val="de-DE" w:eastAsia="zh-CN"/>
        </w:rPr>
        <w:t xml:space="preserve">mit </w:t>
      </w:r>
      <w:r w:rsidR="00860900" w:rsidRPr="00192163">
        <w:rPr>
          <w:rFonts w:ascii="Times New Roman" w:eastAsia="SimSun" w:hAnsi="Times New Roman" w:cs="Times New Roman"/>
          <w:sz w:val="20"/>
          <w:szCs w:val="20"/>
          <w:lang w:val="de-DE" w:eastAsia="zh-CN"/>
        </w:rPr>
        <w:t xml:space="preserve">vorläufigen </w:t>
      </w:r>
      <w:r w:rsidR="006921E3" w:rsidRPr="00192163">
        <w:rPr>
          <w:rFonts w:ascii="Times New Roman" w:eastAsia="SimSun" w:hAnsi="Times New Roman" w:cs="Times New Roman"/>
          <w:sz w:val="20"/>
          <w:szCs w:val="20"/>
          <w:lang w:val="de-DE" w:eastAsia="zh-CN"/>
        </w:rPr>
        <w:t>Zulassungszeugnisse</w:t>
      </w:r>
      <w:r w:rsidR="00E53180" w:rsidRPr="00192163">
        <w:rPr>
          <w:rFonts w:ascii="Times New Roman" w:eastAsia="SimSun" w:hAnsi="Times New Roman" w:cs="Times New Roman"/>
          <w:sz w:val="20"/>
          <w:szCs w:val="20"/>
          <w:lang w:val="de-DE" w:eastAsia="zh-CN"/>
        </w:rPr>
        <w:t>n</w:t>
      </w:r>
      <w:r w:rsidR="006921E3" w:rsidRPr="00192163">
        <w:rPr>
          <w:rFonts w:ascii="Times New Roman" w:eastAsia="SimSun" w:hAnsi="Times New Roman" w:cs="Times New Roman"/>
          <w:sz w:val="20"/>
          <w:szCs w:val="20"/>
          <w:lang w:val="de-DE" w:eastAsia="zh-CN"/>
        </w:rPr>
        <w:t xml:space="preserve"> </w:t>
      </w:r>
      <w:r w:rsidR="00E53180" w:rsidRPr="00192163">
        <w:rPr>
          <w:rFonts w:ascii="Times New Roman" w:eastAsia="SimSun" w:hAnsi="Times New Roman" w:cs="Times New Roman"/>
          <w:sz w:val="20"/>
          <w:szCs w:val="20"/>
          <w:lang w:val="de-DE" w:eastAsia="zh-CN"/>
        </w:rPr>
        <w:t>versehen</w:t>
      </w:r>
      <w:r w:rsidR="006921E3" w:rsidRPr="00192163">
        <w:rPr>
          <w:rFonts w:ascii="Times New Roman" w:eastAsia="SimSun" w:hAnsi="Times New Roman" w:cs="Times New Roman"/>
          <w:sz w:val="20"/>
          <w:szCs w:val="20"/>
          <w:lang w:val="de-DE" w:eastAsia="zh-CN"/>
        </w:rPr>
        <w:t>, obwohl sie die in der Anlage des ADN 2015 festge</w:t>
      </w:r>
      <w:r w:rsidR="00860900" w:rsidRPr="00192163">
        <w:rPr>
          <w:rFonts w:ascii="Times New Roman" w:eastAsia="SimSun" w:hAnsi="Times New Roman" w:cs="Times New Roman"/>
          <w:sz w:val="20"/>
          <w:szCs w:val="20"/>
          <w:lang w:val="de-DE" w:eastAsia="zh-CN"/>
        </w:rPr>
        <w:softHyphen/>
      </w:r>
      <w:r w:rsidR="006921E3" w:rsidRPr="00192163">
        <w:rPr>
          <w:rFonts w:ascii="Times New Roman" w:eastAsia="SimSun" w:hAnsi="Times New Roman" w:cs="Times New Roman"/>
          <w:sz w:val="20"/>
          <w:szCs w:val="20"/>
          <w:lang w:val="de-DE" w:eastAsia="zh-CN"/>
        </w:rPr>
        <w:t>legten Bedingungen nicht erfüll</w:t>
      </w:r>
      <w:r w:rsidR="00E53180" w:rsidRPr="00192163">
        <w:rPr>
          <w:rFonts w:ascii="Times New Roman" w:eastAsia="SimSun" w:hAnsi="Times New Roman" w:cs="Times New Roman"/>
          <w:sz w:val="20"/>
          <w:szCs w:val="20"/>
          <w:lang w:val="de-DE" w:eastAsia="zh-CN"/>
        </w:rPr>
        <w:t>t</w:t>
      </w:r>
      <w:r w:rsidR="006921E3" w:rsidRPr="00192163">
        <w:rPr>
          <w:rFonts w:ascii="Times New Roman" w:eastAsia="SimSun" w:hAnsi="Times New Roman" w:cs="Times New Roman"/>
          <w:sz w:val="20"/>
          <w:szCs w:val="20"/>
          <w:lang w:val="de-DE" w:eastAsia="zh-CN"/>
        </w:rPr>
        <w:t>en.</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4.</w:t>
      </w:r>
      <w:r w:rsidRPr="00192163">
        <w:rPr>
          <w:rFonts w:ascii="Times New Roman" w:eastAsia="SimSun" w:hAnsi="Times New Roman" w:cs="Times New Roman"/>
          <w:sz w:val="20"/>
          <w:szCs w:val="20"/>
          <w:lang w:val="de-DE" w:eastAsia="zh-CN"/>
        </w:rPr>
        <w:tab/>
      </w:r>
      <w:r w:rsidR="006921E3" w:rsidRPr="00192163">
        <w:rPr>
          <w:rFonts w:ascii="Times New Roman" w:eastAsia="SimSun" w:hAnsi="Times New Roman" w:cs="Times New Roman"/>
          <w:sz w:val="20"/>
          <w:szCs w:val="20"/>
          <w:lang w:val="de-DE" w:eastAsia="zh-CN"/>
        </w:rPr>
        <w:t xml:space="preserve">Die ICWG hat daher eine Anpassung des Absatzes 1.16.1.3.1 ADN vorgeschlagen, die </w:t>
      </w:r>
      <w:r w:rsidR="00E53180" w:rsidRPr="00192163">
        <w:rPr>
          <w:rFonts w:ascii="Times New Roman" w:eastAsia="SimSun" w:hAnsi="Times New Roman" w:cs="Times New Roman"/>
          <w:sz w:val="20"/>
          <w:szCs w:val="20"/>
          <w:lang w:val="de-DE" w:eastAsia="zh-CN"/>
        </w:rPr>
        <w:t>dem Sicherheitsausschuss in sein</w:t>
      </w:r>
      <w:r w:rsidR="006921E3" w:rsidRPr="00192163">
        <w:rPr>
          <w:rFonts w:ascii="Times New Roman" w:eastAsia="SimSun" w:hAnsi="Times New Roman" w:cs="Times New Roman"/>
          <w:sz w:val="20"/>
          <w:szCs w:val="20"/>
          <w:lang w:val="de-DE" w:eastAsia="zh-CN"/>
        </w:rPr>
        <w:t>er Sitzung im August 2016 vorgelegt wurde (ECE/TRANS/WP.15/AC/2/2016/20):</w:t>
      </w:r>
    </w:p>
    <w:p w:rsidR="00DE3DD7" w:rsidRPr="00192163" w:rsidRDefault="00184F3C" w:rsidP="00E53180">
      <w:pPr>
        <w:suppressAutoHyphens/>
        <w:spacing w:after="120" w:line="240" w:lineRule="atLeast"/>
        <w:ind w:left="1134" w:right="113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w:t>
      </w:r>
      <w:r w:rsidR="00DE3DD7" w:rsidRPr="00192163">
        <w:rPr>
          <w:rFonts w:ascii="Times New Roman" w:eastAsia="SimSun" w:hAnsi="Times New Roman" w:cs="Times New Roman"/>
          <w:i/>
          <w:sz w:val="20"/>
          <w:szCs w:val="20"/>
          <w:lang w:val="de-DE" w:eastAsia="zh-CN"/>
        </w:rPr>
        <w:t>Für ein Schiff, das nicht mit einem Zulassungszeugnis versehen ist, kann ein vorläufiges Zulassungszeugnis von begrenzter Gültigkeitsdauer in folgenden Fällen und unter folgenden Bedingungen ausgestellt werden:</w:t>
      </w:r>
    </w:p>
    <w:p w:rsidR="00DE3DD7" w:rsidRPr="00192163" w:rsidRDefault="00DE3DD7" w:rsidP="00DE3DD7">
      <w:pPr>
        <w:numPr>
          <w:ilvl w:val="0"/>
          <w:numId w:val="6"/>
        </w:numPr>
        <w:suppressAutoHyphens/>
        <w:spacing w:after="120" w:line="240" w:lineRule="atLeast"/>
        <w:ind w:left="1418" w:right="1134" w:hanging="28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Das Schiff entspricht den anwendbaren Vorschriften dieser Verordnung, aber das Zulassungszeugnis konnte nicht rechtzeitig ausgestellt werden. Die Gültigkeitsdauer des vorläufigen Zulassungszeugnisses darf einen angemessenen Zeitraum, höchstens aber drei Monate, nicht überschreiten.</w:t>
      </w:r>
    </w:p>
    <w:p w:rsidR="00DE3DD7" w:rsidRPr="00192163" w:rsidRDefault="00DE3DD7" w:rsidP="00DE3DD7">
      <w:pPr>
        <w:numPr>
          <w:ilvl w:val="0"/>
          <w:numId w:val="6"/>
        </w:numPr>
        <w:suppressAutoHyphens/>
        <w:spacing w:after="120" w:line="240" w:lineRule="atLeast"/>
        <w:ind w:left="1418" w:right="1134" w:hanging="28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Das Schiff entspricht nicht allen anwendbaren Vorschriften dieser Verordnung, aber die Sicherheit der Beförderung ist nach Einschätzung der zuständigen Behörde nicht beeinträchtigt.</w:t>
      </w:r>
    </w:p>
    <w:p w:rsidR="00DE3DD7" w:rsidRPr="00192163" w:rsidRDefault="00DE3DD7" w:rsidP="00DE3DD7">
      <w:pPr>
        <w:suppressAutoHyphens/>
        <w:spacing w:after="120" w:line="240" w:lineRule="atLeast"/>
        <w:ind w:left="1418" w:right="1134"/>
        <w:jc w:val="both"/>
        <w:rPr>
          <w:rFonts w:ascii="Times New Roman" w:eastAsia="SimSun" w:hAnsi="Times New Roman" w:cs="Times New Roman"/>
          <w:bCs/>
          <w:i/>
          <w:sz w:val="20"/>
          <w:szCs w:val="20"/>
          <w:lang w:val="de-DE" w:eastAsia="zh-CN"/>
        </w:rPr>
      </w:pPr>
      <w:r w:rsidRPr="00192163">
        <w:rPr>
          <w:rFonts w:ascii="Times New Roman" w:eastAsia="SimSun" w:hAnsi="Times New Roman" w:cs="Times New Roman"/>
          <w:bCs/>
          <w:i/>
          <w:sz w:val="20"/>
          <w:szCs w:val="20"/>
          <w:lang w:val="de-DE" w:eastAsia="zh-CN"/>
        </w:rPr>
        <w:t>Die Gültigkeitsdauer des vorläufigen Zulassungszeugnisses darf einen angemessenen Zeitraum, um das Schiff mit den anwendbaren Vorschriften in Übereinstimmung zu bringen, höchstens aber drei Monate, nicht überschreiten.</w:t>
      </w:r>
    </w:p>
    <w:p w:rsidR="00DE3DD7" w:rsidRPr="00192163" w:rsidRDefault="00DE3DD7" w:rsidP="00DE3DD7">
      <w:pPr>
        <w:suppressAutoHyphens/>
        <w:spacing w:after="120" w:line="240" w:lineRule="atLeast"/>
        <w:ind w:left="1418" w:right="1134"/>
        <w:jc w:val="both"/>
        <w:rPr>
          <w:rFonts w:ascii="Times New Roman" w:eastAsia="SimSun" w:hAnsi="Times New Roman" w:cs="Times New Roman"/>
          <w:bCs/>
          <w:i/>
          <w:sz w:val="20"/>
          <w:szCs w:val="20"/>
          <w:lang w:val="de-DE" w:eastAsia="zh-CN"/>
        </w:rPr>
      </w:pPr>
      <w:r w:rsidRPr="00192163">
        <w:rPr>
          <w:rFonts w:ascii="Times New Roman" w:eastAsia="SimSun" w:hAnsi="Times New Roman" w:cs="Times New Roman"/>
          <w:bCs/>
          <w:i/>
          <w:sz w:val="20"/>
          <w:szCs w:val="20"/>
          <w:lang w:val="de-DE" w:eastAsia="zh-CN"/>
        </w:rPr>
        <w:t>Die zuständige Behörde kann zusätzlich zu dem Untersuchungsbericht weitere Berichte verlangen und zusätzliche Bedingungen vorsehen.</w:t>
      </w:r>
    </w:p>
    <w:p w:rsidR="00DE3DD7" w:rsidRPr="00192163" w:rsidRDefault="00DE3DD7" w:rsidP="00DE3DD7">
      <w:pPr>
        <w:suppressAutoHyphens/>
        <w:spacing w:after="120" w:line="240" w:lineRule="atLeast"/>
        <w:ind w:left="1418" w:right="1134"/>
        <w:jc w:val="both"/>
        <w:rPr>
          <w:rFonts w:ascii="Times New Roman" w:eastAsia="SimSun" w:hAnsi="Times New Roman" w:cs="Times New Roman"/>
          <w:bCs/>
          <w:i/>
          <w:sz w:val="20"/>
          <w:szCs w:val="20"/>
          <w:lang w:val="de-DE" w:eastAsia="zh-CN"/>
        </w:rPr>
      </w:pPr>
      <w:proofErr w:type="gramStart"/>
      <w:r w:rsidRPr="00192163">
        <w:rPr>
          <w:rFonts w:ascii="Times New Roman" w:eastAsia="SimSun" w:hAnsi="Times New Roman" w:cs="Times New Roman"/>
          <w:b/>
          <w:bCs/>
          <w:i/>
          <w:sz w:val="20"/>
          <w:szCs w:val="20"/>
          <w:lang w:val="de-DE" w:eastAsia="zh-CN"/>
        </w:rPr>
        <w:t>Bem.:</w:t>
      </w:r>
      <w:proofErr w:type="gramEnd"/>
      <w:r w:rsidRPr="00192163">
        <w:rPr>
          <w:rFonts w:ascii="Times New Roman" w:eastAsia="SimSun" w:hAnsi="Times New Roman" w:cs="Times New Roman"/>
          <w:bCs/>
          <w:i/>
          <w:sz w:val="20"/>
          <w:szCs w:val="20"/>
          <w:lang w:val="de-DE" w:eastAsia="zh-CN"/>
        </w:rPr>
        <w:t xml:space="preserve"> Für die Ausstellung des endgültigen Zulassungszeugnisses nach Unterabschnitt 1.16.1.2 muss ein neuer Untersuchungsbericht nach Unterabschnitt 1.16.3.1 erstellt werden, der die Konformität auch mit allen bisher nicht eingehaltenen Vorschriften dieser Verordnung bescheinigt.</w:t>
      </w:r>
    </w:p>
    <w:p w:rsidR="00DE3DD7" w:rsidRPr="00192163" w:rsidRDefault="00DE3DD7" w:rsidP="00DE3DD7">
      <w:pPr>
        <w:numPr>
          <w:ilvl w:val="0"/>
          <w:numId w:val="6"/>
        </w:numPr>
        <w:suppressAutoHyphens/>
        <w:spacing w:after="120" w:line="240" w:lineRule="atLeast"/>
        <w:ind w:left="1418" w:right="1134" w:hanging="284"/>
        <w:jc w:val="both"/>
        <w:rPr>
          <w:rFonts w:ascii="Times New Roman" w:eastAsia="SimSun" w:hAnsi="Times New Roman" w:cs="Times New Roman"/>
          <w:i/>
          <w:sz w:val="20"/>
          <w:szCs w:val="20"/>
          <w:lang w:val="de-DE" w:eastAsia="zh-CN"/>
        </w:rPr>
      </w:pPr>
      <w:r w:rsidRPr="00192163">
        <w:rPr>
          <w:rFonts w:ascii="Times New Roman" w:eastAsia="SimSun" w:hAnsi="Times New Roman" w:cs="Times New Roman"/>
          <w:i/>
          <w:sz w:val="20"/>
          <w:szCs w:val="20"/>
          <w:lang w:val="de-DE" w:eastAsia="zh-CN"/>
        </w:rPr>
        <w:t xml:space="preserve">Das Schiff entspricht nach einem </w:t>
      </w:r>
      <w:proofErr w:type="spellStart"/>
      <w:r w:rsidRPr="00192163">
        <w:rPr>
          <w:rFonts w:ascii="Times New Roman" w:eastAsia="SimSun" w:hAnsi="Times New Roman" w:cs="Times New Roman"/>
          <w:i/>
          <w:sz w:val="20"/>
          <w:szCs w:val="20"/>
          <w:lang w:val="de-DE" w:eastAsia="zh-CN"/>
        </w:rPr>
        <w:t>Havariefall</w:t>
      </w:r>
      <w:proofErr w:type="spellEnd"/>
      <w:r w:rsidRPr="00192163">
        <w:rPr>
          <w:rFonts w:ascii="Times New Roman" w:eastAsia="SimSun" w:hAnsi="Times New Roman" w:cs="Times New Roman"/>
          <w:i/>
          <w:sz w:val="20"/>
          <w:szCs w:val="20"/>
          <w:lang w:val="de-DE" w:eastAsia="zh-CN"/>
        </w:rPr>
        <w:t xml:space="preserve"> nicht allen anwendbaren Vorschriften dieser Verordnung. In diesem Fall gilt das vorläufige Zulassungszeugnis nur für eine einzige Fahrt und für eine bestimmte Ladung. Die zuständige Behörde kann zusätzliche Bedingungen auferlegen.</w:t>
      </w:r>
      <w:r w:rsidR="00184F3C" w:rsidRPr="00192163">
        <w:rPr>
          <w:rFonts w:ascii="Times New Roman" w:eastAsia="SimSun" w:hAnsi="Times New Roman" w:cs="Times New Roman"/>
          <w:i/>
          <w:sz w:val="20"/>
          <w:szCs w:val="20"/>
          <w:lang w:val="de-DE" w:eastAsia="zh-CN"/>
        </w:rPr>
        <w:t>“.</w:t>
      </w:r>
    </w:p>
    <w:p w:rsidR="00DE3DD7" w:rsidRPr="00192163" w:rsidRDefault="00DE3DD7" w:rsidP="00E51775">
      <w:pPr>
        <w:suppressAutoHyphens/>
        <w:spacing w:after="0" w:line="240" w:lineRule="atLeast"/>
        <w:ind w:left="1134" w:right="1134"/>
        <w:jc w:val="both"/>
        <w:rPr>
          <w:rFonts w:ascii="Times New Roman" w:eastAsia="SimSun" w:hAnsi="Times New Roman" w:cs="Times New Roman"/>
          <w:sz w:val="20"/>
          <w:szCs w:val="20"/>
          <w:lang w:val="en-GB" w:eastAsia="zh-CN"/>
        </w:rPr>
      </w:pPr>
    </w:p>
    <w:p w:rsidR="004A1506" w:rsidRPr="00192163" w:rsidRDefault="004A1506" w:rsidP="00EA1B04">
      <w:pPr>
        <w:tabs>
          <w:tab w:val="left" w:pos="1701"/>
        </w:tabs>
        <w:suppressAutoHyphens/>
        <w:spacing w:after="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5.</w:t>
      </w:r>
      <w:r w:rsidRPr="00192163">
        <w:rPr>
          <w:rFonts w:ascii="Times New Roman" w:eastAsia="SimSun" w:hAnsi="Times New Roman" w:cs="Times New Roman"/>
          <w:sz w:val="20"/>
          <w:szCs w:val="20"/>
          <w:lang w:val="de-DE" w:eastAsia="zh-CN"/>
        </w:rPr>
        <w:tab/>
      </w:r>
      <w:r w:rsidR="00E53180" w:rsidRPr="00192163">
        <w:rPr>
          <w:rFonts w:ascii="Times New Roman" w:eastAsia="SimSun" w:hAnsi="Times New Roman" w:cs="Times New Roman"/>
          <w:sz w:val="20"/>
          <w:szCs w:val="20"/>
          <w:lang w:val="de-DE" w:eastAsia="zh-CN"/>
        </w:rPr>
        <w:t>Während</w:t>
      </w:r>
      <w:r w:rsidR="006921E3" w:rsidRPr="00192163">
        <w:rPr>
          <w:rFonts w:ascii="Times New Roman" w:eastAsia="SimSun" w:hAnsi="Times New Roman" w:cs="Times New Roman"/>
          <w:sz w:val="20"/>
          <w:szCs w:val="20"/>
          <w:lang w:val="de-DE" w:eastAsia="zh-CN"/>
        </w:rPr>
        <w:t xml:space="preserve"> der anschließenden Diskussion hat der Sicherheitsausschuss beschlossen, dass dieses vorläufige Zulassungszeugnis nur einmal ausgestellt werden und höchstens drei Monate gültig sein soll.</w:t>
      </w:r>
      <w:r w:rsidRPr="00192163">
        <w:rPr>
          <w:rFonts w:ascii="Times New Roman" w:eastAsia="SimSun" w:hAnsi="Times New Roman" w:cs="Times New Roman"/>
          <w:sz w:val="20"/>
          <w:szCs w:val="20"/>
          <w:lang w:val="de-DE" w:eastAsia="zh-CN"/>
        </w:rPr>
        <w:t xml:space="preserve"> </w:t>
      </w:r>
      <w:r w:rsidR="006921E3" w:rsidRPr="00192163">
        <w:rPr>
          <w:rFonts w:ascii="Times New Roman" w:eastAsia="SimSun" w:hAnsi="Times New Roman" w:cs="Times New Roman"/>
          <w:sz w:val="20"/>
          <w:szCs w:val="20"/>
          <w:lang w:val="de-DE" w:eastAsia="zh-CN"/>
        </w:rPr>
        <w:t>Diese Anmerkung wurde in das Protokoll (ECE/TRANS/WP.15/AC.2/58) aufgenommen.</w:t>
      </w:r>
    </w:p>
    <w:p w:rsidR="00184F3C" w:rsidRPr="00192163" w:rsidRDefault="00184F3C">
      <w:pPr>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br w:type="page"/>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lastRenderedPageBreak/>
        <w:t>6.</w:t>
      </w:r>
      <w:r w:rsidRPr="00192163">
        <w:rPr>
          <w:rFonts w:ascii="Times New Roman" w:eastAsia="SimSun" w:hAnsi="Times New Roman" w:cs="Times New Roman"/>
          <w:sz w:val="20"/>
          <w:szCs w:val="20"/>
          <w:lang w:val="de-DE" w:eastAsia="zh-CN"/>
        </w:rPr>
        <w:tab/>
      </w:r>
      <w:r w:rsidR="006921E3" w:rsidRPr="00192163">
        <w:rPr>
          <w:rFonts w:ascii="Times New Roman" w:eastAsia="SimSun" w:hAnsi="Times New Roman" w:cs="Times New Roman"/>
          <w:sz w:val="20"/>
          <w:szCs w:val="20"/>
          <w:lang w:val="de-DE" w:eastAsia="zh-CN"/>
        </w:rPr>
        <w:t>In das ADN 2017 wurde folgender Wortlaut eingefügt:</w:t>
      </w:r>
    </w:p>
    <w:p w:rsidR="00790758" w:rsidRPr="00192163" w:rsidRDefault="00790758" w:rsidP="00790758">
      <w:pPr>
        <w:widowControl w:val="0"/>
        <w:overflowPunct w:val="0"/>
        <w:autoSpaceDE w:val="0"/>
        <w:autoSpaceDN w:val="0"/>
        <w:adjustRightInd w:val="0"/>
        <w:spacing w:before="180" w:after="0" w:line="240" w:lineRule="atLeast"/>
        <w:ind w:left="1134" w:right="1134"/>
        <w:jc w:val="both"/>
        <w:textAlignment w:val="baseline"/>
        <w:rPr>
          <w:rFonts w:ascii="Times New Roman" w:eastAsia="Times New Roman" w:hAnsi="Times New Roman" w:cs="Times New Roman"/>
          <w:i/>
          <w:color w:val="000000"/>
          <w:sz w:val="20"/>
          <w:szCs w:val="20"/>
          <w:lang w:val="de-DE" w:eastAsia="fr-FR"/>
        </w:rPr>
      </w:pPr>
      <w:r w:rsidRPr="00192163">
        <w:rPr>
          <w:rFonts w:ascii="Times New Roman" w:eastAsia="Times New Roman" w:hAnsi="Times New Roman" w:cs="Times New Roman"/>
          <w:i/>
          <w:color w:val="000000"/>
          <w:sz w:val="20"/>
          <w:szCs w:val="20"/>
          <w:lang w:val="de-DE" w:eastAsia="fr-FR"/>
        </w:rPr>
        <w:t>„Für ein Schiff, das nicht mit einem Zulassungszeugnis versehen ist, kann ein vorläufiges Zulassungszeugnis von begrenzter Gültigkeitsdauer in folgenden Fällen und unter folgenden Bedingungen ausgestellt werden:</w:t>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a)</w:t>
      </w:r>
      <w:r w:rsidRPr="00192163">
        <w:rPr>
          <w:rFonts w:ascii="Times New Roman" w:eastAsia="Times New Roman" w:hAnsi="Times New Roman" w:cs="Times New Roman"/>
          <w:i/>
          <w:sz w:val="20"/>
          <w:szCs w:val="20"/>
          <w:lang w:val="de-DE" w:eastAsia="fr-FR"/>
        </w:rPr>
        <w:tab/>
        <w:t>Das Schiff entspricht den anwendbaren Vorschriften dieser Verordnung, aber das Zulassungszeugnis konnte nicht rechtzeitig ausgestellt werden. Die Gültigkeitsdauer des vorläufigen Zulassungszeugnisses darf einen angemessenen Zeitraum, höchstens aber drei Monate, nicht  überschreiten.</w:t>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u w:val="single"/>
          <w:lang w:val="de-DE" w:eastAsia="fr-FR"/>
        </w:rPr>
      </w:pPr>
      <w:r w:rsidRPr="00192163">
        <w:rPr>
          <w:rFonts w:ascii="Times New Roman" w:eastAsia="Times New Roman" w:hAnsi="Times New Roman" w:cs="Times New Roman"/>
          <w:i/>
          <w:sz w:val="20"/>
          <w:szCs w:val="20"/>
          <w:u w:val="single"/>
          <w:lang w:val="de-DE" w:eastAsia="fr-FR"/>
        </w:rPr>
        <w:t>b)</w:t>
      </w:r>
      <w:r w:rsidRPr="00192163">
        <w:rPr>
          <w:rFonts w:ascii="Times New Roman" w:eastAsia="Times New Roman" w:hAnsi="Times New Roman" w:cs="Times New Roman"/>
          <w:i/>
          <w:sz w:val="20"/>
          <w:szCs w:val="20"/>
          <w:u w:val="single"/>
          <w:lang w:val="de-DE" w:eastAsia="fr-FR"/>
        </w:rPr>
        <w:tab/>
        <w:t>Das Schiff entspricht nicht allen anwendbaren Vorschriften dieser Verordnung, aber die Sicherheit der Beförderung ist nach Einschätzung der zuständigen Behörde nicht beeinträchtigt.</w:t>
      </w:r>
    </w:p>
    <w:p w:rsidR="00790758" w:rsidRPr="00192163" w:rsidRDefault="00790758" w:rsidP="00790758">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i/>
          <w:sz w:val="20"/>
          <w:szCs w:val="20"/>
          <w:u w:val="single"/>
          <w:lang w:val="de-DE" w:eastAsia="fr-FR"/>
        </w:rPr>
      </w:pPr>
      <w:r w:rsidRPr="00192163">
        <w:rPr>
          <w:rFonts w:ascii="Times New Roman" w:eastAsia="Times New Roman" w:hAnsi="Times New Roman" w:cs="Times New Roman"/>
          <w:i/>
          <w:sz w:val="20"/>
          <w:szCs w:val="20"/>
          <w:u w:val="single"/>
          <w:lang w:val="de-DE" w:eastAsia="fr-FR"/>
        </w:rPr>
        <w:t xml:space="preserve">Die Gültigkeitsdauer des </w:t>
      </w:r>
      <w:r w:rsidRPr="00192163">
        <w:rPr>
          <w:rFonts w:ascii="Times New Roman" w:eastAsia="Times New Roman" w:hAnsi="Times New Roman" w:cs="Times New Roman"/>
          <w:b/>
          <w:i/>
          <w:sz w:val="20"/>
          <w:szCs w:val="20"/>
          <w:u w:val="single"/>
          <w:lang w:val="de-DE" w:eastAsia="fr-FR"/>
        </w:rPr>
        <w:t>einmaligen vorläufigen Zulassungszeugnisses</w:t>
      </w:r>
      <w:r w:rsidRPr="00192163">
        <w:rPr>
          <w:rFonts w:ascii="Times New Roman" w:eastAsia="Times New Roman" w:hAnsi="Times New Roman" w:cs="Times New Roman"/>
          <w:i/>
          <w:sz w:val="20"/>
          <w:szCs w:val="20"/>
          <w:u w:val="single"/>
          <w:lang w:val="de-DE" w:eastAsia="fr-FR"/>
        </w:rPr>
        <w:t xml:space="preserve"> darf einen angemessenen Zeitraum, um das Schiff mit den anwendbaren Vorschriften in Übereinstimmung zu bringen, höchstens aber drei Monate, nicht überschreiten.</w:t>
      </w:r>
    </w:p>
    <w:p w:rsidR="00790758" w:rsidRPr="00192163" w:rsidRDefault="00790758" w:rsidP="00790758">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i/>
          <w:sz w:val="20"/>
          <w:szCs w:val="20"/>
          <w:u w:val="single"/>
          <w:lang w:val="de-DE" w:eastAsia="fr-FR"/>
        </w:rPr>
      </w:pPr>
      <w:r w:rsidRPr="00192163">
        <w:rPr>
          <w:rFonts w:ascii="Times New Roman" w:eastAsia="Times New Roman" w:hAnsi="Times New Roman" w:cs="Times New Roman"/>
          <w:i/>
          <w:sz w:val="20"/>
          <w:szCs w:val="20"/>
          <w:u w:val="single"/>
          <w:lang w:val="de-DE" w:eastAsia="fr-FR"/>
        </w:rPr>
        <w:t>Die zuständige Behörde kann zusätzlich zu dem Untersuchungsbericht weitere Berichte verlangen und zusätzliche Bedingungen vorsehen.</w:t>
      </w:r>
    </w:p>
    <w:p w:rsidR="00790758" w:rsidRPr="00192163" w:rsidRDefault="00790758" w:rsidP="00790758">
      <w:pPr>
        <w:widowControl w:val="0"/>
        <w:overflowPunct w:val="0"/>
        <w:autoSpaceDE w:val="0"/>
        <w:autoSpaceDN w:val="0"/>
        <w:adjustRightInd w:val="0"/>
        <w:spacing w:before="60" w:after="0" w:line="240" w:lineRule="atLeast"/>
        <w:ind w:left="1985" w:right="1134" w:hanging="567"/>
        <w:jc w:val="both"/>
        <w:textAlignment w:val="baseline"/>
        <w:rPr>
          <w:rFonts w:ascii="Times New Roman" w:eastAsia="Times New Roman" w:hAnsi="Times New Roman" w:cs="Times New Roman"/>
          <w:i/>
          <w:sz w:val="20"/>
          <w:szCs w:val="20"/>
          <w:u w:val="single"/>
          <w:lang w:val="de-DE" w:eastAsia="fr-FR"/>
        </w:rPr>
      </w:pPr>
      <w:r w:rsidRPr="00192163">
        <w:rPr>
          <w:rFonts w:ascii="Times New Roman" w:eastAsia="Times New Roman" w:hAnsi="Times New Roman" w:cs="Times New Roman"/>
          <w:b/>
          <w:i/>
          <w:sz w:val="20"/>
          <w:szCs w:val="20"/>
          <w:u w:val="single"/>
          <w:lang w:val="de-DE" w:eastAsia="fr-FR"/>
        </w:rPr>
        <w:t>Bem.</w:t>
      </w:r>
      <w:r w:rsidRPr="00192163">
        <w:rPr>
          <w:rFonts w:ascii="Times New Roman" w:eastAsia="Times New Roman" w:hAnsi="Times New Roman" w:cs="Times New Roman"/>
          <w:i/>
          <w:sz w:val="20"/>
          <w:szCs w:val="20"/>
          <w:u w:val="single"/>
          <w:lang w:val="de-DE" w:eastAsia="fr-FR"/>
        </w:rPr>
        <w:tab/>
        <w:t>Für die Ausstellung des endgültigen Zulassungszeugnisses nach Unterabschnitt 1.16.1.2 muss ein neuer Untersuchungsbericht nach Unterabschnitt 1.16.3.1 erstellt werden, der die Konformität auch mit allen bisher nicht eingehaltenen Vorschriften dieser Verordnung bescheinigt.</w:t>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c)</w:t>
      </w:r>
      <w:r w:rsidRPr="00192163">
        <w:rPr>
          <w:rFonts w:ascii="Times New Roman" w:eastAsia="Times New Roman" w:hAnsi="Times New Roman" w:cs="Times New Roman"/>
          <w:i/>
          <w:sz w:val="20"/>
          <w:szCs w:val="20"/>
          <w:lang w:val="de-DE" w:eastAsia="fr-FR"/>
        </w:rPr>
        <w:tab/>
        <w:t xml:space="preserve">Das Schiff entspricht nach einem </w:t>
      </w:r>
      <w:proofErr w:type="spellStart"/>
      <w:r w:rsidRPr="00192163">
        <w:rPr>
          <w:rFonts w:ascii="Times New Roman" w:eastAsia="Times New Roman" w:hAnsi="Times New Roman" w:cs="Times New Roman"/>
          <w:i/>
          <w:sz w:val="20"/>
          <w:szCs w:val="20"/>
          <w:lang w:val="de-DE" w:eastAsia="fr-FR"/>
        </w:rPr>
        <w:t>Havariefall</w:t>
      </w:r>
      <w:proofErr w:type="spellEnd"/>
      <w:r w:rsidRPr="00192163">
        <w:rPr>
          <w:rFonts w:ascii="Times New Roman" w:eastAsia="Times New Roman" w:hAnsi="Times New Roman" w:cs="Times New Roman"/>
          <w:i/>
          <w:sz w:val="20"/>
          <w:szCs w:val="20"/>
          <w:lang w:val="de-DE" w:eastAsia="fr-FR"/>
        </w:rPr>
        <w:t xml:space="preserve"> nicht allen anwendbaren Vorschriften dieser Verordnung. In diesem Fall gilt das vorläufige Zulassungszeugnis nur für eine einzige Fahrt und für eine bestimmte Ladung. Die zuständige Behörde kann zusätzliche Bedingungen auferlegen.“.</w:t>
      </w:r>
    </w:p>
    <w:p w:rsidR="00790758" w:rsidRPr="00192163" w:rsidRDefault="00790758" w:rsidP="004A1506">
      <w:pPr>
        <w:suppressAutoHyphens/>
        <w:spacing w:after="120" w:line="240" w:lineRule="atLeast"/>
        <w:ind w:left="1134" w:right="1134"/>
        <w:jc w:val="both"/>
        <w:rPr>
          <w:rFonts w:ascii="Times New Roman" w:eastAsia="SimSun" w:hAnsi="Times New Roman" w:cs="Times New Roman"/>
          <w:sz w:val="20"/>
          <w:szCs w:val="20"/>
          <w:lang w:val="de-DE" w:eastAsia="zh-CN"/>
        </w:rPr>
      </w:pP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7.</w:t>
      </w:r>
      <w:r w:rsidRPr="00192163">
        <w:rPr>
          <w:rFonts w:ascii="Times New Roman" w:eastAsia="SimSun" w:hAnsi="Times New Roman" w:cs="Times New Roman"/>
          <w:sz w:val="20"/>
          <w:szCs w:val="20"/>
          <w:lang w:val="de-DE" w:eastAsia="zh-CN"/>
        </w:rPr>
        <w:tab/>
      </w:r>
      <w:r w:rsidR="006921E3" w:rsidRPr="00192163">
        <w:rPr>
          <w:rFonts w:ascii="Times New Roman" w:eastAsia="SimSun" w:hAnsi="Times New Roman" w:cs="Times New Roman"/>
          <w:sz w:val="20"/>
          <w:szCs w:val="20"/>
          <w:lang w:val="de-DE" w:eastAsia="zh-CN"/>
        </w:rPr>
        <w:t>Belgien hat festgestellt, dass die einmalige Ausstellung eines vorläufigen Zulassungszeugnisses zu Problemen führt.</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8.</w:t>
      </w:r>
      <w:r w:rsidRPr="00192163">
        <w:rPr>
          <w:rFonts w:ascii="Times New Roman" w:eastAsia="SimSun" w:hAnsi="Times New Roman" w:cs="Times New Roman"/>
          <w:sz w:val="20"/>
          <w:szCs w:val="20"/>
          <w:lang w:val="de-DE" w:eastAsia="zh-CN"/>
        </w:rPr>
        <w:tab/>
      </w:r>
      <w:r w:rsidR="006921E3" w:rsidRPr="00192163">
        <w:rPr>
          <w:rFonts w:ascii="Times New Roman" w:eastAsia="SimSun" w:hAnsi="Times New Roman" w:cs="Times New Roman"/>
          <w:sz w:val="20"/>
          <w:szCs w:val="20"/>
          <w:lang w:val="de-DE" w:eastAsia="zh-CN"/>
        </w:rPr>
        <w:t xml:space="preserve">Der Zeitraum von drei Monaten erweist sich als unzureichend, um neu gebaute und bestehende Schiffe (sowohl </w:t>
      </w:r>
      <w:r w:rsidR="006921E3" w:rsidRPr="00EA1B04">
        <w:rPr>
          <w:rFonts w:ascii="Times New Roman" w:eastAsia="SimSun" w:hAnsi="Times New Roman" w:cs="Times New Roman"/>
          <w:sz w:val="20"/>
          <w:szCs w:val="20"/>
          <w:u w:val="single"/>
          <w:lang w:val="de-DE" w:eastAsia="zh-CN"/>
        </w:rPr>
        <w:t>in technischer als auch administrativer Hinsicht</w:t>
      </w:r>
      <w:r w:rsidR="006921E3" w:rsidRPr="00192163">
        <w:rPr>
          <w:rFonts w:ascii="Times New Roman" w:eastAsia="SimSun" w:hAnsi="Times New Roman" w:cs="Times New Roman"/>
          <w:sz w:val="20"/>
          <w:szCs w:val="20"/>
          <w:lang w:val="de-DE" w:eastAsia="zh-CN"/>
        </w:rPr>
        <w:t xml:space="preserve">) mit der Anlage des ADN vollständig </w:t>
      </w:r>
      <w:r w:rsidR="00860900" w:rsidRPr="00192163">
        <w:rPr>
          <w:rFonts w:ascii="Times New Roman" w:eastAsia="SimSun" w:hAnsi="Times New Roman" w:cs="Times New Roman"/>
          <w:sz w:val="20"/>
          <w:szCs w:val="20"/>
          <w:lang w:val="de-DE" w:eastAsia="zh-CN"/>
        </w:rPr>
        <w:t xml:space="preserve">in </w:t>
      </w:r>
      <w:r w:rsidR="000B3612" w:rsidRPr="00192163">
        <w:rPr>
          <w:rFonts w:ascii="Times New Roman" w:eastAsia="SimSun" w:hAnsi="Times New Roman" w:cs="Times New Roman"/>
          <w:sz w:val="20"/>
          <w:szCs w:val="20"/>
          <w:lang w:val="de-DE" w:eastAsia="zh-CN"/>
        </w:rPr>
        <w:t xml:space="preserve">Übereinstimmung </w:t>
      </w:r>
      <w:r w:rsidR="006921E3" w:rsidRPr="00192163">
        <w:rPr>
          <w:rFonts w:ascii="Times New Roman" w:eastAsia="SimSun" w:hAnsi="Times New Roman" w:cs="Times New Roman"/>
          <w:sz w:val="20"/>
          <w:szCs w:val="20"/>
          <w:lang w:val="de-DE" w:eastAsia="zh-CN"/>
        </w:rPr>
        <w:t>zu bringen.</w:t>
      </w:r>
      <w:r w:rsidRPr="00192163">
        <w:rPr>
          <w:rFonts w:ascii="Times New Roman" w:eastAsia="SimSun" w:hAnsi="Times New Roman" w:cs="Times New Roman"/>
          <w:sz w:val="20"/>
          <w:szCs w:val="20"/>
          <w:lang w:val="de-DE" w:eastAsia="zh-CN"/>
        </w:rPr>
        <w:t xml:space="preserve"> </w:t>
      </w:r>
      <w:r w:rsidR="006921E3" w:rsidRPr="00192163">
        <w:rPr>
          <w:rFonts w:ascii="Times New Roman" w:eastAsia="SimSun" w:hAnsi="Times New Roman" w:cs="Times New Roman"/>
          <w:sz w:val="20"/>
          <w:szCs w:val="20"/>
          <w:lang w:val="de-DE" w:eastAsia="zh-CN"/>
        </w:rPr>
        <w:t xml:space="preserve">Die Ausstellung eines einmaligen vorläufigen Zulassungszeugnisses gefährdet </w:t>
      </w:r>
      <w:r w:rsidR="00C24209" w:rsidRPr="00192163">
        <w:rPr>
          <w:rFonts w:ascii="Times New Roman" w:eastAsia="SimSun" w:hAnsi="Times New Roman" w:cs="Times New Roman"/>
          <w:sz w:val="20"/>
          <w:szCs w:val="20"/>
          <w:lang w:val="de-DE" w:eastAsia="zh-CN"/>
        </w:rPr>
        <w:t>den fortgesetzten Betrieb der Schiffe, was unbestreitbar wirtschaftliche Auswirkungen hat.</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9.</w:t>
      </w:r>
      <w:r w:rsidRPr="00192163">
        <w:rPr>
          <w:rFonts w:ascii="Times New Roman" w:eastAsia="SimSun" w:hAnsi="Times New Roman" w:cs="Times New Roman"/>
          <w:sz w:val="20"/>
          <w:szCs w:val="20"/>
          <w:lang w:val="de-DE" w:eastAsia="zh-CN"/>
        </w:rPr>
        <w:tab/>
      </w:r>
      <w:r w:rsidR="00C24209" w:rsidRPr="00192163">
        <w:rPr>
          <w:rFonts w:ascii="Times New Roman" w:eastAsia="SimSun" w:hAnsi="Times New Roman" w:cs="Times New Roman"/>
          <w:sz w:val="20"/>
          <w:szCs w:val="20"/>
          <w:lang w:val="de-DE" w:eastAsia="zh-CN"/>
        </w:rPr>
        <w:t>Belgien spricht sich klar für eine beschränkte Ausstellung vorläufiger Zulassungszeugnisse entsprechend der Entscheidung des Sicherheitsausschusses aus.</w:t>
      </w:r>
      <w:r w:rsidRPr="00192163">
        <w:rPr>
          <w:rFonts w:ascii="Times New Roman" w:eastAsia="SimSun" w:hAnsi="Times New Roman" w:cs="Times New Roman"/>
          <w:sz w:val="20"/>
          <w:szCs w:val="20"/>
          <w:lang w:val="de-DE" w:eastAsia="zh-CN"/>
        </w:rPr>
        <w:t xml:space="preserve"> </w:t>
      </w:r>
      <w:r w:rsidR="00C24209" w:rsidRPr="00192163">
        <w:rPr>
          <w:rFonts w:ascii="Times New Roman" w:eastAsia="SimSun" w:hAnsi="Times New Roman" w:cs="Times New Roman"/>
          <w:sz w:val="20"/>
          <w:szCs w:val="20"/>
          <w:lang w:val="de-DE" w:eastAsia="zh-CN"/>
        </w:rPr>
        <w:t xml:space="preserve">Belgien befürwortet ferner eine realistische Regelung, um eine Wiederholung des Verfahrens, </w:t>
      </w:r>
      <w:r w:rsidR="00FD7EBA" w:rsidRPr="00192163">
        <w:rPr>
          <w:rFonts w:ascii="Times New Roman" w:eastAsia="SimSun" w:hAnsi="Times New Roman" w:cs="Times New Roman"/>
          <w:sz w:val="20"/>
          <w:szCs w:val="20"/>
          <w:lang w:val="de-DE" w:eastAsia="zh-CN"/>
        </w:rPr>
        <w:t>wonach</w:t>
      </w:r>
      <w:r w:rsidR="009F6FC9" w:rsidRPr="00192163">
        <w:rPr>
          <w:rFonts w:ascii="Times New Roman" w:eastAsia="SimSun" w:hAnsi="Times New Roman" w:cs="Times New Roman"/>
          <w:sz w:val="20"/>
          <w:szCs w:val="20"/>
          <w:lang w:val="de-DE" w:eastAsia="zh-CN"/>
        </w:rPr>
        <w:t xml:space="preserve"> entgegen</w:t>
      </w:r>
      <w:r w:rsidR="00C24209" w:rsidRPr="00192163">
        <w:rPr>
          <w:rFonts w:ascii="Times New Roman" w:eastAsia="SimSun" w:hAnsi="Times New Roman" w:cs="Times New Roman"/>
          <w:sz w:val="20"/>
          <w:szCs w:val="20"/>
          <w:lang w:val="de-DE" w:eastAsia="zh-CN"/>
        </w:rPr>
        <w:t xml:space="preserve"> der Bestimmung in Absatz 1.16.1.3.1 ADN mehrere vorläufige Zulassungszeugnisse </w:t>
      </w:r>
      <w:r w:rsidR="00FD7EBA" w:rsidRPr="00192163">
        <w:rPr>
          <w:rFonts w:ascii="Times New Roman" w:eastAsia="SimSun" w:hAnsi="Times New Roman" w:cs="Times New Roman"/>
          <w:sz w:val="20"/>
          <w:szCs w:val="20"/>
          <w:lang w:val="de-DE" w:eastAsia="zh-CN"/>
        </w:rPr>
        <w:t>ausgestellt werden</w:t>
      </w:r>
      <w:r w:rsidR="00C24209" w:rsidRPr="00192163">
        <w:rPr>
          <w:rFonts w:ascii="Times New Roman" w:eastAsia="SimSun" w:hAnsi="Times New Roman" w:cs="Times New Roman"/>
          <w:sz w:val="20"/>
          <w:szCs w:val="20"/>
          <w:lang w:val="de-DE" w:eastAsia="zh-CN"/>
        </w:rPr>
        <w:t>, zu vermeiden.</w:t>
      </w:r>
    </w:p>
    <w:p w:rsidR="004A1506" w:rsidRPr="00192163" w:rsidRDefault="004A1506" w:rsidP="004A150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192163">
        <w:rPr>
          <w:rFonts w:ascii="Times New Roman" w:eastAsia="Times New Roman" w:hAnsi="Times New Roman" w:cs="Times New Roman"/>
          <w:b/>
          <w:sz w:val="24"/>
          <w:szCs w:val="20"/>
          <w:lang w:val="de-DE"/>
        </w:rPr>
        <w:tab/>
        <w:t>II.</w:t>
      </w:r>
      <w:r w:rsidRPr="00192163">
        <w:rPr>
          <w:rFonts w:ascii="Times New Roman" w:eastAsia="Times New Roman" w:hAnsi="Times New Roman" w:cs="Times New Roman"/>
          <w:b/>
          <w:sz w:val="24"/>
          <w:szCs w:val="20"/>
          <w:lang w:val="de-DE"/>
        </w:rPr>
        <w:tab/>
      </w:r>
      <w:r w:rsidR="002A524F" w:rsidRPr="00192163">
        <w:rPr>
          <w:rFonts w:ascii="Times New Roman" w:eastAsia="Times New Roman" w:hAnsi="Times New Roman" w:cs="Times New Roman"/>
          <w:b/>
          <w:sz w:val="24"/>
          <w:szCs w:val="20"/>
          <w:lang w:val="de-DE"/>
        </w:rPr>
        <w:t>Vorschlag</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10.</w:t>
      </w:r>
      <w:r w:rsidRPr="00192163">
        <w:rPr>
          <w:rFonts w:ascii="Times New Roman" w:eastAsia="SimSun" w:hAnsi="Times New Roman" w:cs="Times New Roman"/>
          <w:sz w:val="20"/>
          <w:szCs w:val="20"/>
          <w:lang w:val="de-DE" w:eastAsia="zh-CN"/>
        </w:rPr>
        <w:tab/>
      </w:r>
      <w:r w:rsidR="00C24209" w:rsidRPr="00192163">
        <w:rPr>
          <w:rFonts w:ascii="Times New Roman" w:eastAsia="SimSun" w:hAnsi="Times New Roman" w:cs="Times New Roman"/>
          <w:sz w:val="20"/>
          <w:szCs w:val="20"/>
          <w:lang w:val="de-DE" w:eastAsia="zh-CN"/>
        </w:rPr>
        <w:t>Belgien schlägt vor, Absatz 1.16.1.3.1 ADN wie folgt anzupassen (Änderungen fett gedruckt):</w:t>
      </w:r>
    </w:p>
    <w:p w:rsidR="00790758" w:rsidRPr="00192163" w:rsidRDefault="00790758" w:rsidP="00790758">
      <w:pPr>
        <w:widowControl w:val="0"/>
        <w:overflowPunct w:val="0"/>
        <w:autoSpaceDE w:val="0"/>
        <w:autoSpaceDN w:val="0"/>
        <w:adjustRightInd w:val="0"/>
        <w:spacing w:before="180" w:after="0" w:line="240" w:lineRule="atLeast"/>
        <w:ind w:left="1134" w:right="1134"/>
        <w:jc w:val="both"/>
        <w:textAlignment w:val="baseline"/>
        <w:rPr>
          <w:rFonts w:ascii="Times New Roman" w:eastAsia="Times New Roman" w:hAnsi="Times New Roman" w:cs="Times New Roman"/>
          <w:i/>
          <w:color w:val="000000"/>
          <w:sz w:val="20"/>
          <w:szCs w:val="20"/>
          <w:lang w:val="de-DE" w:eastAsia="fr-FR"/>
        </w:rPr>
      </w:pPr>
      <w:r w:rsidRPr="00192163">
        <w:rPr>
          <w:rFonts w:ascii="Times New Roman" w:eastAsia="Times New Roman" w:hAnsi="Times New Roman" w:cs="Times New Roman"/>
          <w:i/>
          <w:color w:val="000000"/>
          <w:sz w:val="20"/>
          <w:szCs w:val="20"/>
          <w:lang w:val="de-DE" w:eastAsia="fr-FR"/>
        </w:rPr>
        <w:t>„Für ein Schiff, das nicht mit einem Zulassungszeugnis versehen ist, kann ein vorläufiges Zulassungszeugnis von begrenzter Gültigkeitsdauer in folgenden Fällen und unter folgenden Bedingungen ausgestellt werden:</w:t>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a)</w:t>
      </w:r>
      <w:r w:rsidRPr="00192163">
        <w:rPr>
          <w:rFonts w:ascii="Times New Roman" w:eastAsia="Times New Roman" w:hAnsi="Times New Roman" w:cs="Times New Roman"/>
          <w:i/>
          <w:sz w:val="20"/>
          <w:szCs w:val="20"/>
          <w:lang w:val="de-DE" w:eastAsia="fr-FR"/>
        </w:rPr>
        <w:tab/>
        <w:t>Das Schiff entspricht den anwendbaren Vorschriften dieser Verordnung, aber das Zulassungszeugnis konnte nicht rechtzeitig ausgestellt werden. Die Gültigkeitsdauer des vorläufigen Zulassungszeugnisses darf einen angemessenen Zeitraum, höchstens aber drei Monate, nicht überschreiten.</w:t>
      </w:r>
    </w:p>
    <w:p w:rsidR="00184F3C" w:rsidRPr="00192163" w:rsidRDefault="00184F3C">
      <w:pPr>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br w:type="page"/>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lastRenderedPageBreak/>
        <w:t>b)</w:t>
      </w:r>
      <w:r w:rsidRPr="00192163">
        <w:rPr>
          <w:rFonts w:ascii="Times New Roman" w:eastAsia="Times New Roman" w:hAnsi="Times New Roman" w:cs="Times New Roman"/>
          <w:i/>
          <w:sz w:val="20"/>
          <w:szCs w:val="20"/>
          <w:lang w:val="de-DE" w:eastAsia="fr-FR"/>
        </w:rPr>
        <w:tab/>
        <w:t>Das Schiff entspricht nicht allen anwendbaren Vorschriften dieser Verordnung, aber die Sicherheit der Beförderung ist nach Einschätzung der zuständigen Behörde nicht beeinträchtigt.</w:t>
      </w:r>
    </w:p>
    <w:p w:rsidR="00790758" w:rsidRPr="00192163" w:rsidRDefault="00790758" w:rsidP="00790758">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 xml:space="preserve">Die Gültigkeitsdauer des </w:t>
      </w:r>
      <w:r w:rsidRPr="00192163">
        <w:rPr>
          <w:rFonts w:ascii="Times New Roman" w:eastAsia="Times New Roman" w:hAnsi="Times New Roman" w:cs="Times New Roman"/>
          <w:b/>
          <w:i/>
          <w:strike/>
          <w:sz w:val="20"/>
          <w:szCs w:val="20"/>
          <w:lang w:val="de-DE" w:eastAsia="fr-FR"/>
        </w:rPr>
        <w:t>einmaligen</w:t>
      </w:r>
      <w:r w:rsidRPr="00192163">
        <w:rPr>
          <w:rFonts w:ascii="Times New Roman" w:eastAsia="Times New Roman" w:hAnsi="Times New Roman" w:cs="Times New Roman"/>
          <w:i/>
          <w:sz w:val="20"/>
          <w:szCs w:val="20"/>
          <w:lang w:val="de-DE" w:eastAsia="fr-FR"/>
        </w:rPr>
        <w:t xml:space="preserve"> vorläufigen Zulassungszeugnisses darf einen angemessenen Zeitraum, um das Schiff mit den anwendbaren Vorschriften in Übereinstimmung zu bringen, </w:t>
      </w:r>
      <w:r w:rsidRPr="00192163">
        <w:rPr>
          <w:rFonts w:ascii="Times New Roman" w:eastAsia="Times New Roman" w:hAnsi="Times New Roman" w:cs="Times New Roman"/>
          <w:b/>
          <w:i/>
          <w:strike/>
          <w:sz w:val="20"/>
          <w:szCs w:val="20"/>
          <w:lang w:val="de-DE" w:eastAsia="fr-FR"/>
        </w:rPr>
        <w:t>höchstens aber drei Monate,</w:t>
      </w:r>
      <w:r w:rsidRPr="00192163">
        <w:rPr>
          <w:rFonts w:ascii="Times New Roman" w:eastAsia="Times New Roman" w:hAnsi="Times New Roman" w:cs="Times New Roman"/>
          <w:i/>
          <w:sz w:val="20"/>
          <w:szCs w:val="20"/>
          <w:lang w:val="de-DE" w:eastAsia="fr-FR"/>
        </w:rPr>
        <w:t xml:space="preserve"> nicht überschreiten.</w:t>
      </w:r>
      <w:r w:rsidR="00184F3C" w:rsidRPr="00192163">
        <w:rPr>
          <w:rFonts w:ascii="Times New Roman" w:eastAsia="Times New Roman" w:hAnsi="Times New Roman" w:cs="Times New Roman"/>
          <w:i/>
          <w:sz w:val="20"/>
          <w:szCs w:val="20"/>
          <w:lang w:val="de-DE" w:eastAsia="fr-FR"/>
        </w:rPr>
        <w:t>“.</w:t>
      </w:r>
    </w:p>
    <w:p w:rsidR="00790758" w:rsidRPr="00192163" w:rsidRDefault="00C24209" w:rsidP="00DB1BE4">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b/>
          <w:i/>
          <w:sz w:val="20"/>
          <w:szCs w:val="20"/>
          <w:lang w:val="de-DE" w:eastAsia="fr-FR"/>
        </w:rPr>
      </w:pPr>
      <w:r w:rsidRPr="00192163">
        <w:rPr>
          <w:rFonts w:ascii="Times New Roman" w:eastAsia="Times New Roman" w:hAnsi="Times New Roman" w:cs="Times New Roman"/>
          <w:b/>
          <w:i/>
          <w:sz w:val="20"/>
          <w:szCs w:val="20"/>
          <w:lang w:val="de-DE" w:eastAsia="fr-FR"/>
        </w:rPr>
        <w:t>Schiffe</w:t>
      </w:r>
      <w:r w:rsidR="00E3594F" w:rsidRPr="00192163">
        <w:rPr>
          <w:rFonts w:ascii="Times New Roman" w:eastAsia="Times New Roman" w:hAnsi="Times New Roman" w:cs="Times New Roman"/>
          <w:b/>
          <w:i/>
          <w:sz w:val="20"/>
          <w:szCs w:val="20"/>
          <w:lang w:val="de-DE" w:eastAsia="fr-FR"/>
        </w:rPr>
        <w:t>n</w:t>
      </w:r>
      <w:r w:rsidRPr="00192163">
        <w:rPr>
          <w:rFonts w:ascii="Times New Roman" w:eastAsia="Times New Roman" w:hAnsi="Times New Roman" w:cs="Times New Roman"/>
          <w:b/>
          <w:i/>
          <w:sz w:val="20"/>
          <w:szCs w:val="20"/>
          <w:lang w:val="de-DE" w:eastAsia="fr-FR"/>
        </w:rPr>
        <w:t xml:space="preserve">, die </w:t>
      </w:r>
      <w:r w:rsidR="008A6D85" w:rsidRPr="00192163">
        <w:rPr>
          <w:rFonts w:ascii="Times New Roman" w:eastAsia="Times New Roman" w:hAnsi="Times New Roman" w:cs="Times New Roman"/>
          <w:b/>
          <w:i/>
          <w:sz w:val="20"/>
          <w:szCs w:val="20"/>
          <w:lang w:val="de-DE" w:eastAsia="fr-FR"/>
        </w:rPr>
        <w:t xml:space="preserve">einer Erstuntersuchung gemäß </w:t>
      </w:r>
      <w:r w:rsidR="00E3594F" w:rsidRPr="00192163">
        <w:rPr>
          <w:rFonts w:ascii="Times New Roman" w:eastAsia="Times New Roman" w:hAnsi="Times New Roman" w:cs="Times New Roman"/>
          <w:b/>
          <w:i/>
          <w:sz w:val="20"/>
          <w:szCs w:val="20"/>
          <w:lang w:val="de-DE" w:eastAsia="fr-FR"/>
        </w:rPr>
        <w:t xml:space="preserve">Abschnitt </w:t>
      </w:r>
      <w:r w:rsidR="008A6D85" w:rsidRPr="00192163">
        <w:rPr>
          <w:rFonts w:ascii="Times New Roman" w:eastAsia="Times New Roman" w:hAnsi="Times New Roman" w:cs="Times New Roman"/>
          <w:b/>
          <w:i/>
          <w:sz w:val="20"/>
          <w:szCs w:val="20"/>
          <w:lang w:val="de-DE" w:eastAsia="fr-FR"/>
        </w:rPr>
        <w:t>1.16.8 unterzogen w</w:t>
      </w:r>
      <w:r w:rsidR="00E3594F" w:rsidRPr="00192163">
        <w:rPr>
          <w:rFonts w:ascii="Times New Roman" w:eastAsia="Times New Roman" w:hAnsi="Times New Roman" w:cs="Times New Roman"/>
          <w:b/>
          <w:i/>
          <w:sz w:val="20"/>
          <w:szCs w:val="20"/>
          <w:lang w:val="de-DE" w:eastAsia="fr-FR"/>
        </w:rPr>
        <w:t>u</w:t>
      </w:r>
      <w:r w:rsidR="008A6D85" w:rsidRPr="00192163">
        <w:rPr>
          <w:rFonts w:ascii="Times New Roman" w:eastAsia="Times New Roman" w:hAnsi="Times New Roman" w:cs="Times New Roman"/>
          <w:b/>
          <w:i/>
          <w:sz w:val="20"/>
          <w:szCs w:val="20"/>
          <w:lang w:val="de-DE" w:eastAsia="fr-FR"/>
        </w:rPr>
        <w:t xml:space="preserve">rden, </w:t>
      </w:r>
      <w:r w:rsidR="00E3594F" w:rsidRPr="00192163">
        <w:rPr>
          <w:rFonts w:ascii="Times New Roman" w:eastAsia="Times New Roman" w:hAnsi="Times New Roman" w:cs="Times New Roman"/>
          <w:b/>
          <w:i/>
          <w:sz w:val="20"/>
          <w:szCs w:val="20"/>
          <w:lang w:val="de-DE" w:eastAsia="fr-FR"/>
        </w:rPr>
        <w:t>kann das vorläufige Zulassungszeugnis</w:t>
      </w:r>
      <w:r w:rsidR="00195DA3" w:rsidRPr="00192163">
        <w:rPr>
          <w:rFonts w:ascii="Times New Roman" w:eastAsia="Times New Roman" w:hAnsi="Times New Roman" w:cs="Times New Roman"/>
          <w:b/>
          <w:i/>
          <w:sz w:val="20"/>
          <w:szCs w:val="20"/>
          <w:lang w:val="de-DE" w:eastAsia="fr-FR"/>
        </w:rPr>
        <w:t xml:space="preserve"> höchstens dreimal hintereinander ausgestellt werden, wobei jedes Zeugnis eine </w:t>
      </w:r>
      <w:r w:rsidR="00ED507B" w:rsidRPr="00192163">
        <w:rPr>
          <w:rFonts w:ascii="Times New Roman" w:eastAsia="Times New Roman" w:hAnsi="Times New Roman" w:cs="Times New Roman"/>
          <w:b/>
          <w:i/>
          <w:sz w:val="20"/>
          <w:szCs w:val="20"/>
          <w:lang w:val="de-DE" w:eastAsia="fr-FR"/>
        </w:rPr>
        <w:t>Gültigkeitsdauer von maximal drei Monaten besitzt.</w:t>
      </w:r>
    </w:p>
    <w:p w:rsidR="00790758" w:rsidRPr="00192163" w:rsidRDefault="00ED507B" w:rsidP="00DB1BE4">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b/>
          <w:i/>
          <w:sz w:val="20"/>
          <w:szCs w:val="20"/>
          <w:lang w:val="de-DE" w:eastAsia="fr-FR"/>
        </w:rPr>
      </w:pPr>
      <w:r w:rsidRPr="00192163">
        <w:rPr>
          <w:rFonts w:ascii="Times New Roman" w:eastAsia="Times New Roman" w:hAnsi="Times New Roman" w:cs="Times New Roman"/>
          <w:b/>
          <w:i/>
          <w:sz w:val="20"/>
          <w:szCs w:val="20"/>
          <w:lang w:val="de-DE" w:eastAsia="fr-FR"/>
        </w:rPr>
        <w:t>Schiffen, die unter die Absätze 7.1.2.19.1, 7.2.2.19.3 und Schiffe, die unter Abschnitt 1.16.10 fallen, kann das vorläufige Zulassungszeugnis höchstens zweimal hintereinander ausgestellt werden, wobei jedes Zeugnis eine Gültigkeitsdauer von maximal drei Monaten besitzt.</w:t>
      </w:r>
    </w:p>
    <w:p w:rsidR="00790758" w:rsidRPr="00192163" w:rsidRDefault="00790758" w:rsidP="00790758">
      <w:pPr>
        <w:widowControl w:val="0"/>
        <w:overflowPunct w:val="0"/>
        <w:autoSpaceDE w:val="0"/>
        <w:autoSpaceDN w:val="0"/>
        <w:adjustRightInd w:val="0"/>
        <w:spacing w:before="60" w:after="0" w:line="240" w:lineRule="atLeast"/>
        <w:ind w:left="1418" w:right="113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Die zuständige Behörde kann zusätzlich zu dem Untersuchungsbericht weitere Berichte verlangen und zusätzliche Bedingungen vorsehen.</w:t>
      </w:r>
    </w:p>
    <w:p w:rsidR="00790758" w:rsidRPr="00192163" w:rsidRDefault="00790758" w:rsidP="00790758">
      <w:pPr>
        <w:widowControl w:val="0"/>
        <w:overflowPunct w:val="0"/>
        <w:autoSpaceDE w:val="0"/>
        <w:autoSpaceDN w:val="0"/>
        <w:adjustRightInd w:val="0"/>
        <w:spacing w:before="60" w:after="0" w:line="240" w:lineRule="atLeast"/>
        <w:ind w:left="1985" w:right="1134" w:hanging="567"/>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b/>
          <w:i/>
          <w:sz w:val="20"/>
          <w:szCs w:val="20"/>
          <w:lang w:val="de-DE" w:eastAsia="fr-FR"/>
        </w:rPr>
        <w:t>Bem.</w:t>
      </w:r>
      <w:r w:rsidRPr="00192163">
        <w:rPr>
          <w:rFonts w:ascii="Times New Roman" w:eastAsia="Times New Roman" w:hAnsi="Times New Roman" w:cs="Times New Roman"/>
          <w:i/>
          <w:sz w:val="20"/>
          <w:szCs w:val="20"/>
          <w:lang w:val="de-DE" w:eastAsia="fr-FR"/>
        </w:rPr>
        <w:tab/>
        <w:t>Für die Ausstellung des endgültigen Zulassungszeugnisses nach Unterabschnitt 1.16.1.2 muss ein neuer Untersuchungsbericht nach Unterabschnitt 1.16.3.1 erstellt werden, der die Konformität auch mit allen bisher nicht eingehaltenen Vorschriften dieser Verordnung bescheinigt.</w:t>
      </w:r>
    </w:p>
    <w:p w:rsidR="00790758" w:rsidRPr="00192163" w:rsidRDefault="00790758" w:rsidP="00790758">
      <w:pPr>
        <w:widowControl w:val="0"/>
        <w:overflowPunct w:val="0"/>
        <w:autoSpaceDE w:val="0"/>
        <w:autoSpaceDN w:val="0"/>
        <w:adjustRightInd w:val="0"/>
        <w:spacing w:before="60" w:after="0" w:line="240" w:lineRule="atLeast"/>
        <w:ind w:left="1418" w:right="1134" w:hanging="284"/>
        <w:jc w:val="both"/>
        <w:textAlignment w:val="baseline"/>
        <w:rPr>
          <w:rFonts w:ascii="Times New Roman" w:eastAsia="Times New Roman" w:hAnsi="Times New Roman" w:cs="Times New Roman"/>
          <w:i/>
          <w:sz w:val="20"/>
          <w:szCs w:val="20"/>
          <w:lang w:val="de-DE" w:eastAsia="fr-FR"/>
        </w:rPr>
      </w:pPr>
      <w:r w:rsidRPr="00192163">
        <w:rPr>
          <w:rFonts w:ascii="Times New Roman" w:eastAsia="Times New Roman" w:hAnsi="Times New Roman" w:cs="Times New Roman"/>
          <w:i/>
          <w:sz w:val="20"/>
          <w:szCs w:val="20"/>
          <w:lang w:val="de-DE" w:eastAsia="fr-FR"/>
        </w:rPr>
        <w:t>c)</w:t>
      </w:r>
      <w:r w:rsidRPr="00192163">
        <w:rPr>
          <w:rFonts w:ascii="Times New Roman" w:eastAsia="Times New Roman" w:hAnsi="Times New Roman" w:cs="Times New Roman"/>
          <w:i/>
          <w:sz w:val="20"/>
          <w:szCs w:val="20"/>
          <w:lang w:val="de-DE" w:eastAsia="fr-FR"/>
        </w:rPr>
        <w:tab/>
        <w:t xml:space="preserve">Das Schiff entspricht nach einem </w:t>
      </w:r>
      <w:proofErr w:type="spellStart"/>
      <w:r w:rsidRPr="00192163">
        <w:rPr>
          <w:rFonts w:ascii="Times New Roman" w:eastAsia="Times New Roman" w:hAnsi="Times New Roman" w:cs="Times New Roman"/>
          <w:i/>
          <w:sz w:val="20"/>
          <w:szCs w:val="20"/>
          <w:lang w:val="de-DE" w:eastAsia="fr-FR"/>
        </w:rPr>
        <w:t>Havariefall</w:t>
      </w:r>
      <w:proofErr w:type="spellEnd"/>
      <w:r w:rsidRPr="00192163">
        <w:rPr>
          <w:rFonts w:ascii="Times New Roman" w:eastAsia="Times New Roman" w:hAnsi="Times New Roman" w:cs="Times New Roman"/>
          <w:i/>
          <w:sz w:val="20"/>
          <w:szCs w:val="20"/>
          <w:lang w:val="de-DE" w:eastAsia="fr-FR"/>
        </w:rPr>
        <w:t xml:space="preserve"> nicht allen anwendbaren Vorschriften dieser Verordnung. In diesem Fall gilt das vorläufige Zulassungszeugnis nur für eine einzige Fahrt und für eine bestimmte Ladung. Die zuständige Behörde kann zusätzliche Bedingungen auferlegen.“.</w:t>
      </w:r>
    </w:p>
    <w:p w:rsidR="00790758" w:rsidRPr="00192163" w:rsidRDefault="00790758" w:rsidP="004A1506">
      <w:pPr>
        <w:suppressAutoHyphens/>
        <w:spacing w:after="120" w:line="240" w:lineRule="atLeast"/>
        <w:ind w:left="1134" w:right="1134"/>
        <w:jc w:val="both"/>
        <w:rPr>
          <w:rFonts w:ascii="Times New Roman" w:eastAsia="SimSun" w:hAnsi="Times New Roman" w:cs="Times New Roman"/>
          <w:sz w:val="20"/>
          <w:szCs w:val="20"/>
          <w:lang w:val="de-DE" w:eastAsia="zh-CN"/>
        </w:rPr>
      </w:pP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11.</w:t>
      </w:r>
      <w:r w:rsidRPr="00192163">
        <w:rPr>
          <w:rFonts w:ascii="Times New Roman" w:eastAsia="SimSun" w:hAnsi="Times New Roman" w:cs="Times New Roman"/>
          <w:sz w:val="20"/>
          <w:szCs w:val="20"/>
          <w:lang w:val="de-DE" w:eastAsia="zh-CN"/>
        </w:rPr>
        <w:tab/>
      </w:r>
      <w:r w:rsidR="00ED507B" w:rsidRPr="00192163">
        <w:rPr>
          <w:rFonts w:ascii="Times New Roman" w:eastAsia="SimSun" w:hAnsi="Times New Roman" w:cs="Times New Roman"/>
          <w:sz w:val="20"/>
          <w:szCs w:val="20"/>
          <w:lang w:val="de-DE" w:eastAsia="zh-CN"/>
        </w:rPr>
        <w:t xml:space="preserve">Belgien ersucht den Vorsitzenden des Sicherheitsausschusses, </w:t>
      </w:r>
      <w:r w:rsidR="009B50BE" w:rsidRPr="00192163">
        <w:rPr>
          <w:rFonts w:ascii="Times New Roman" w:eastAsia="SimSun" w:hAnsi="Times New Roman" w:cs="Times New Roman"/>
          <w:sz w:val="20"/>
          <w:szCs w:val="20"/>
          <w:lang w:val="de-DE" w:eastAsia="zh-CN"/>
        </w:rPr>
        <w:t>auf der Grundlage</w:t>
      </w:r>
      <w:r w:rsidR="00ED507B" w:rsidRPr="00192163">
        <w:rPr>
          <w:rFonts w:ascii="Times New Roman" w:eastAsia="SimSun" w:hAnsi="Times New Roman" w:cs="Times New Roman"/>
          <w:sz w:val="20"/>
          <w:szCs w:val="20"/>
          <w:lang w:val="de-DE" w:eastAsia="zh-CN"/>
        </w:rPr>
        <w:t xml:space="preserve"> de</w:t>
      </w:r>
      <w:r w:rsidR="009B50BE" w:rsidRPr="00192163">
        <w:rPr>
          <w:rFonts w:ascii="Times New Roman" w:eastAsia="SimSun" w:hAnsi="Times New Roman" w:cs="Times New Roman"/>
          <w:sz w:val="20"/>
          <w:szCs w:val="20"/>
          <w:lang w:val="de-DE" w:eastAsia="zh-CN"/>
        </w:rPr>
        <w:t>s</w:t>
      </w:r>
      <w:r w:rsidR="00ED507B" w:rsidRPr="00192163">
        <w:rPr>
          <w:rFonts w:ascii="Times New Roman" w:eastAsia="SimSun" w:hAnsi="Times New Roman" w:cs="Times New Roman"/>
          <w:sz w:val="20"/>
          <w:szCs w:val="20"/>
          <w:lang w:val="de-DE" w:eastAsia="zh-CN"/>
        </w:rPr>
        <w:t xml:space="preserve"> oben genannten Vorschlag</w:t>
      </w:r>
      <w:r w:rsidR="009B50BE" w:rsidRPr="00192163">
        <w:rPr>
          <w:rFonts w:ascii="Times New Roman" w:eastAsia="SimSun" w:hAnsi="Times New Roman" w:cs="Times New Roman"/>
          <w:sz w:val="20"/>
          <w:szCs w:val="20"/>
          <w:lang w:val="de-DE" w:eastAsia="zh-CN"/>
        </w:rPr>
        <w:t>s</w:t>
      </w:r>
      <w:r w:rsidR="00ED507B" w:rsidRPr="00192163">
        <w:rPr>
          <w:rFonts w:ascii="Times New Roman" w:eastAsia="SimSun" w:hAnsi="Times New Roman" w:cs="Times New Roman"/>
          <w:sz w:val="20"/>
          <w:szCs w:val="20"/>
          <w:lang w:val="de-DE" w:eastAsia="zh-CN"/>
        </w:rPr>
        <w:t xml:space="preserve"> </w:t>
      </w:r>
      <w:r w:rsidR="009B50BE" w:rsidRPr="00192163">
        <w:rPr>
          <w:rFonts w:ascii="Times New Roman" w:eastAsia="SimSun" w:hAnsi="Times New Roman" w:cs="Times New Roman"/>
          <w:sz w:val="20"/>
          <w:szCs w:val="20"/>
          <w:lang w:val="de-DE" w:eastAsia="zh-CN"/>
        </w:rPr>
        <w:t xml:space="preserve">eine Diskussion </w:t>
      </w:r>
      <w:r w:rsidR="00ED507B" w:rsidRPr="00192163">
        <w:rPr>
          <w:rFonts w:ascii="Times New Roman" w:eastAsia="SimSun" w:hAnsi="Times New Roman" w:cs="Times New Roman"/>
          <w:sz w:val="20"/>
          <w:szCs w:val="20"/>
          <w:lang w:val="de-DE" w:eastAsia="zh-CN"/>
        </w:rPr>
        <w:t>zu eröffnen.</w:t>
      </w:r>
    </w:p>
    <w:p w:rsidR="004A1506" w:rsidRPr="00192163" w:rsidRDefault="004A1506" w:rsidP="00EA1B04">
      <w:pPr>
        <w:tabs>
          <w:tab w:val="left" w:pos="1701"/>
        </w:tabs>
        <w:suppressAutoHyphens/>
        <w:spacing w:after="120" w:line="240" w:lineRule="atLeast"/>
        <w:ind w:left="1134" w:right="1134"/>
        <w:jc w:val="both"/>
        <w:rPr>
          <w:rFonts w:ascii="Times New Roman" w:eastAsia="SimSun" w:hAnsi="Times New Roman" w:cs="Times New Roman"/>
          <w:sz w:val="20"/>
          <w:szCs w:val="20"/>
          <w:lang w:val="de-DE" w:eastAsia="zh-CN"/>
        </w:rPr>
      </w:pPr>
      <w:r w:rsidRPr="00192163">
        <w:rPr>
          <w:rFonts w:ascii="Times New Roman" w:eastAsia="SimSun" w:hAnsi="Times New Roman" w:cs="Times New Roman"/>
          <w:sz w:val="20"/>
          <w:szCs w:val="20"/>
          <w:lang w:val="de-DE" w:eastAsia="zh-CN"/>
        </w:rPr>
        <w:t>12.</w:t>
      </w:r>
      <w:r w:rsidRPr="00192163">
        <w:rPr>
          <w:rFonts w:ascii="Times New Roman" w:eastAsia="SimSun" w:hAnsi="Times New Roman" w:cs="Times New Roman"/>
          <w:sz w:val="20"/>
          <w:szCs w:val="20"/>
          <w:lang w:val="de-DE" w:eastAsia="zh-CN"/>
        </w:rPr>
        <w:tab/>
      </w:r>
      <w:r w:rsidR="00ED507B" w:rsidRPr="00192163">
        <w:rPr>
          <w:rFonts w:ascii="Times New Roman" w:eastAsia="SimSun" w:hAnsi="Times New Roman" w:cs="Times New Roman"/>
          <w:sz w:val="20"/>
          <w:szCs w:val="20"/>
          <w:lang w:val="de-DE" w:eastAsia="zh-CN"/>
        </w:rPr>
        <w:t>Sollte der Sicherheitsausschuss diese Anpassungen billigen, schlägt Belgien vor, ein multilaterales Abkommen über die Änderung des Absatzes 1.16.1.3.1 ADN zur Unterzeichnung durch die Vertragsstaaten auszuarbeiten.</w:t>
      </w:r>
    </w:p>
    <w:p w:rsidR="009B50BE" w:rsidRPr="00192163" w:rsidRDefault="009B50BE" w:rsidP="00DB1BE4">
      <w:pPr>
        <w:suppressAutoHyphens/>
        <w:spacing w:after="120" w:line="240" w:lineRule="atLeast"/>
        <w:ind w:left="1134" w:right="1134"/>
        <w:jc w:val="both"/>
        <w:rPr>
          <w:rFonts w:ascii="Times New Roman" w:eastAsia="SimSun" w:hAnsi="Times New Roman" w:cs="Times New Roman"/>
          <w:sz w:val="20"/>
          <w:szCs w:val="20"/>
          <w:lang w:val="de-DE" w:eastAsia="zh-CN"/>
        </w:rPr>
      </w:pPr>
    </w:p>
    <w:p w:rsidR="00F87C18" w:rsidRPr="00A46360" w:rsidRDefault="00F87C18" w:rsidP="00F87C18">
      <w:pPr>
        <w:tabs>
          <w:tab w:val="left" w:pos="2268"/>
        </w:tabs>
        <w:suppressAutoHyphens/>
        <w:spacing w:after="120" w:line="240" w:lineRule="atLeast"/>
        <w:ind w:left="567" w:right="1134"/>
        <w:jc w:val="center"/>
        <w:rPr>
          <w:rFonts w:ascii="Times New Roman" w:hAnsi="Times New Roman" w:cs="Times New Roman"/>
          <w:sz w:val="20"/>
          <w:szCs w:val="20"/>
          <w:lang w:val="de-DE"/>
        </w:rPr>
      </w:pPr>
      <w:r w:rsidRPr="00192163">
        <w:rPr>
          <w:rFonts w:ascii="Times New Roman" w:eastAsia="Times New Roman" w:hAnsi="Times New Roman" w:cs="Times New Roman"/>
          <w:sz w:val="20"/>
          <w:szCs w:val="20"/>
          <w:lang w:val="de-DE"/>
        </w:rPr>
        <w:t>***</w:t>
      </w:r>
    </w:p>
    <w:sectPr w:rsidR="00F87C18" w:rsidRPr="00A46360" w:rsidSect="000A77D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48" w:rsidRDefault="00C31C48" w:rsidP="00966633">
      <w:pPr>
        <w:spacing w:after="0" w:line="240" w:lineRule="auto"/>
      </w:pPr>
      <w:r>
        <w:separator/>
      </w:r>
    </w:p>
  </w:endnote>
  <w:endnote w:type="continuationSeparator" w:id="0">
    <w:p w:rsidR="00C31C48" w:rsidRDefault="00C31C48" w:rsidP="0096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48" w:rsidRPr="00790758" w:rsidRDefault="00C31C48" w:rsidP="000A77DD">
    <w:pPr>
      <w:suppressAutoHyphens/>
      <w:spacing w:after="0" w:line="240" w:lineRule="auto"/>
      <w:jc w:val="right"/>
    </w:pPr>
    <w:r w:rsidRPr="00790758">
      <w:rPr>
        <w:rFonts w:ascii="Arial" w:eastAsia="Times New Roman" w:hAnsi="Arial" w:cs="Times New Roman"/>
        <w:noProof/>
        <w:sz w:val="12"/>
        <w:szCs w:val="24"/>
        <w:lang w:eastAsia="fr-FR"/>
      </w:rPr>
      <w:t>mm_ba/adn_wp15_ac2_2017_23de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48" w:rsidRDefault="00C31C48" w:rsidP="00966633">
      <w:pPr>
        <w:spacing w:after="0" w:line="240" w:lineRule="auto"/>
      </w:pPr>
      <w:r>
        <w:separator/>
      </w:r>
    </w:p>
  </w:footnote>
  <w:footnote w:type="continuationSeparator" w:id="0">
    <w:p w:rsidR="00C31C48" w:rsidRDefault="00C31C48" w:rsidP="00966633">
      <w:pPr>
        <w:spacing w:after="0" w:line="240" w:lineRule="auto"/>
      </w:pPr>
      <w:r>
        <w:continuationSeparator/>
      </w:r>
    </w:p>
  </w:footnote>
  <w:footnote w:id="1">
    <w:p w:rsidR="00C31C48" w:rsidRPr="00403401" w:rsidRDefault="00C31C48" w:rsidP="00403401">
      <w:pPr>
        <w:pStyle w:val="FootnoteText"/>
        <w:ind w:left="284" w:hanging="284"/>
        <w:rPr>
          <w:rFonts w:ascii="Times New Roman" w:hAnsi="Times New Roman" w:cs="Times New Roman"/>
          <w:sz w:val="16"/>
          <w:szCs w:val="16"/>
          <w:lang w:val="de-DE"/>
        </w:rPr>
      </w:pPr>
      <w:r w:rsidRPr="00403401">
        <w:rPr>
          <w:rStyle w:val="FootnoteReference"/>
          <w:lang w:val="de-DE"/>
        </w:rPr>
        <w:t>*</w:t>
      </w:r>
      <w:r w:rsidRPr="00403401">
        <w:rPr>
          <w:rFonts w:ascii="Times New Roman" w:hAnsi="Times New Roman" w:cs="Times New Roman"/>
          <w:sz w:val="16"/>
          <w:szCs w:val="16"/>
          <w:lang w:val="de-DE"/>
        </w:rPr>
        <w:t xml:space="preserve"> </w:t>
      </w:r>
      <w:r w:rsidRPr="00403401">
        <w:rPr>
          <w:rFonts w:ascii="Times New Roman" w:hAnsi="Times New Roman" w:cs="Times New Roman"/>
          <w:sz w:val="16"/>
          <w:szCs w:val="16"/>
          <w:lang w:val="de-DE"/>
        </w:rPr>
        <w:tab/>
        <w:t>Von der UN-ECE in Englisch, Französisch und Russisch unter dem Aktenzeichen ECE/TRANS/WP.15/AC.2/2017/</w:t>
      </w:r>
      <w:r>
        <w:rPr>
          <w:rFonts w:ascii="Times New Roman" w:hAnsi="Times New Roman" w:cs="Times New Roman"/>
          <w:sz w:val="16"/>
          <w:szCs w:val="16"/>
          <w:lang w:val="de-DE"/>
        </w:rPr>
        <w:t>23</w:t>
      </w:r>
      <w:r w:rsidRPr="00403401">
        <w:rPr>
          <w:rFonts w:ascii="Times New Roman" w:hAnsi="Times New Roman" w:cs="Times New Roman"/>
          <w:sz w:val="16"/>
          <w:szCs w:val="16"/>
          <w:lang w:val="de-DE"/>
        </w:rPr>
        <w:t xml:space="preserve"> verteilt.</w:t>
      </w:r>
    </w:p>
  </w:footnote>
  <w:footnote w:id="2">
    <w:p w:rsidR="00C31C48" w:rsidRPr="00403401" w:rsidRDefault="00C31C48" w:rsidP="00403401">
      <w:pPr>
        <w:pStyle w:val="FootnoteText"/>
        <w:tabs>
          <w:tab w:val="left" w:pos="284"/>
        </w:tabs>
        <w:ind w:left="284" w:hanging="284"/>
        <w:rPr>
          <w:rFonts w:ascii="Times New Roman" w:hAnsi="Times New Roman" w:cs="Times New Roman"/>
          <w:sz w:val="16"/>
          <w:szCs w:val="16"/>
          <w:lang w:val="de-DE"/>
        </w:rPr>
      </w:pPr>
      <w:r w:rsidRPr="00403401">
        <w:rPr>
          <w:rStyle w:val="FootnoteReference"/>
          <w:lang w:val="de-DE"/>
        </w:rPr>
        <w:t>**</w:t>
      </w:r>
      <w:r w:rsidRPr="00403401">
        <w:rPr>
          <w:rFonts w:ascii="Times New Roman" w:hAnsi="Times New Roman" w:cs="Times New Roman"/>
          <w:sz w:val="16"/>
          <w:szCs w:val="16"/>
          <w:lang w:val="de-DE"/>
        </w:rPr>
        <w:t xml:space="preserve"> </w:t>
      </w:r>
      <w:r w:rsidRPr="00403401">
        <w:rPr>
          <w:rFonts w:ascii="Times New Roman" w:hAnsi="Times New Roman" w:cs="Times New Roman"/>
          <w:lang w:val="de-DE"/>
        </w:rPr>
        <w:tab/>
      </w:r>
      <w:r w:rsidRPr="00403401">
        <w:rPr>
          <w:rFonts w:ascii="Times New Roman" w:hAnsi="Times New Roman" w:cs="Times New Roman"/>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48" w:rsidRPr="00BA3D65" w:rsidRDefault="00C31C48" w:rsidP="00BA3D65">
    <w:pPr>
      <w:suppressAutoHyphens/>
      <w:spacing w:after="0" w:line="240" w:lineRule="auto"/>
      <w:rPr>
        <w:rFonts w:ascii="Arial" w:eastAsia="Times New Roman" w:hAnsi="Arial" w:cs="Times New Roman"/>
        <w:snapToGrid w:val="0"/>
        <w:sz w:val="16"/>
        <w:szCs w:val="16"/>
        <w:lang w:val="en-US" w:eastAsia="fr-FR"/>
      </w:rPr>
    </w:pPr>
    <w:r w:rsidRPr="00BA3D65">
      <w:rPr>
        <w:rFonts w:ascii="Arial" w:eastAsia="Times New Roman" w:hAnsi="Arial" w:cs="Times New Roman"/>
        <w:snapToGrid w:val="0"/>
        <w:sz w:val="16"/>
        <w:szCs w:val="16"/>
        <w:lang w:val="en-US" w:eastAsia="fr-FR"/>
      </w:rPr>
      <w:t>CCNR-ZKR/ADN/WP.15/AC.2/2017/</w:t>
    </w:r>
    <w:r>
      <w:rPr>
        <w:rFonts w:ascii="Arial" w:eastAsia="Times New Roman" w:hAnsi="Arial" w:cs="Times New Roman"/>
        <w:snapToGrid w:val="0"/>
        <w:sz w:val="16"/>
        <w:szCs w:val="16"/>
        <w:lang w:val="en-US" w:eastAsia="fr-FR"/>
      </w:rPr>
      <w:t>23</w:t>
    </w:r>
  </w:p>
  <w:p w:rsidR="00C31C48" w:rsidRDefault="00C31C48" w:rsidP="000A77DD">
    <w:pPr>
      <w:suppressAutoHyphens/>
      <w:spacing w:after="0" w:line="240" w:lineRule="auto"/>
    </w:pPr>
    <w:proofErr w:type="spellStart"/>
    <w:r>
      <w:rPr>
        <w:rFonts w:ascii="Arial" w:eastAsia="Times New Roman" w:hAnsi="Arial" w:cs="Times New Roman"/>
        <w:snapToGrid w:val="0"/>
        <w:sz w:val="16"/>
        <w:szCs w:val="16"/>
        <w:lang w:val="en-GB" w:eastAsia="fr-FR"/>
      </w:rPr>
      <w:t>Seite</w:t>
    </w:r>
    <w:proofErr w:type="spellEnd"/>
    <w:r w:rsidRPr="00BA3D65">
      <w:rPr>
        <w:rFonts w:ascii="Arial" w:eastAsia="Times New Roman" w:hAnsi="Arial" w:cs="Times New Roman"/>
        <w:snapToGrid w:val="0"/>
        <w:sz w:val="16"/>
        <w:szCs w:val="16"/>
        <w:lang w:val="en-GB" w:eastAsia="fr-FR"/>
      </w:rPr>
      <w:t xml:space="preserve"> </w:t>
    </w:r>
    <w:r w:rsidRPr="00BA3D65">
      <w:rPr>
        <w:rFonts w:ascii="Arial" w:eastAsia="Times New Roman" w:hAnsi="Arial" w:cs="Times New Roman"/>
        <w:snapToGrid w:val="0"/>
        <w:sz w:val="16"/>
        <w:szCs w:val="16"/>
        <w:lang w:val="en-GB" w:eastAsia="fr-FR"/>
      </w:rPr>
      <w:fldChar w:fldCharType="begin"/>
    </w:r>
    <w:r w:rsidRPr="00BA3D65">
      <w:rPr>
        <w:rFonts w:ascii="Arial" w:eastAsia="Times New Roman" w:hAnsi="Arial" w:cs="Times New Roman"/>
        <w:snapToGrid w:val="0"/>
        <w:sz w:val="16"/>
        <w:szCs w:val="16"/>
        <w:lang w:val="en-GB" w:eastAsia="fr-FR"/>
      </w:rPr>
      <w:instrText xml:space="preserve"> PAGE  \* MERGEFORMAT </w:instrText>
    </w:r>
    <w:r w:rsidRPr="00BA3D65">
      <w:rPr>
        <w:rFonts w:ascii="Arial" w:eastAsia="Times New Roman" w:hAnsi="Arial" w:cs="Times New Roman"/>
        <w:snapToGrid w:val="0"/>
        <w:sz w:val="16"/>
        <w:szCs w:val="16"/>
        <w:lang w:val="en-GB" w:eastAsia="fr-FR"/>
      </w:rPr>
      <w:fldChar w:fldCharType="separate"/>
    </w:r>
    <w:r w:rsidR="00B9404F">
      <w:rPr>
        <w:rFonts w:ascii="Arial" w:eastAsia="Times New Roman" w:hAnsi="Arial" w:cs="Times New Roman"/>
        <w:noProof/>
        <w:snapToGrid w:val="0"/>
        <w:sz w:val="16"/>
        <w:szCs w:val="16"/>
        <w:lang w:val="en-GB" w:eastAsia="fr-FR"/>
      </w:rPr>
      <w:t>4</w:t>
    </w:r>
    <w:r w:rsidRPr="00BA3D65">
      <w:rPr>
        <w:rFonts w:ascii="Arial" w:eastAsia="Times New Roman" w:hAnsi="Arial" w:cs="Times New Roman"/>
        <w:snapToGrid w:val="0"/>
        <w:sz w:val="16"/>
        <w:szCs w:val="16"/>
        <w:lang w:val="en-GB"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0CA9"/>
    <w:multiLevelType w:val="hybridMultilevel"/>
    <w:tmpl w:val="DE2E19BA"/>
    <w:lvl w:ilvl="0" w:tplc="693C826C">
      <w:start w:val="1"/>
      <w:numFmt w:val="lowerLetter"/>
      <w:lvlText w:val="%1)"/>
      <w:lvlJc w:val="left"/>
      <w:pPr>
        <w:ind w:left="6808" w:hanging="57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nsid w:val="46AB45AA"/>
    <w:multiLevelType w:val="hybridMultilevel"/>
    <w:tmpl w:val="BC68548A"/>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D3E04F5"/>
    <w:multiLevelType w:val="hybridMultilevel"/>
    <w:tmpl w:val="BB6E0DDE"/>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6827861"/>
    <w:multiLevelType w:val="hybridMultilevel"/>
    <w:tmpl w:val="D416E854"/>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57535FB2"/>
    <w:multiLevelType w:val="hybridMultilevel"/>
    <w:tmpl w:val="2C2AB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DC0732"/>
    <w:multiLevelType w:val="hybridMultilevel"/>
    <w:tmpl w:val="5ED22102"/>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52BF9A-6844-46F9-A66E-620538F9554D}"/>
    <w:docVar w:name="dgnword-eventsink" w:val="301527144"/>
  </w:docVars>
  <w:rsids>
    <w:rsidRoot w:val="00480F87"/>
    <w:rsid w:val="0005081F"/>
    <w:rsid w:val="00093823"/>
    <w:rsid w:val="000A77DD"/>
    <w:rsid w:val="000B3612"/>
    <w:rsid w:val="000C6DEA"/>
    <w:rsid w:val="000D0BEC"/>
    <w:rsid w:val="00152ED0"/>
    <w:rsid w:val="00183823"/>
    <w:rsid w:val="00184F3C"/>
    <w:rsid w:val="00192163"/>
    <w:rsid w:val="00195DA3"/>
    <w:rsid w:val="00260A93"/>
    <w:rsid w:val="00282C19"/>
    <w:rsid w:val="002A524F"/>
    <w:rsid w:val="002D7401"/>
    <w:rsid w:val="003052B9"/>
    <w:rsid w:val="00310E02"/>
    <w:rsid w:val="00313248"/>
    <w:rsid w:val="00403401"/>
    <w:rsid w:val="00424D05"/>
    <w:rsid w:val="0046050C"/>
    <w:rsid w:val="00480F87"/>
    <w:rsid w:val="004A1506"/>
    <w:rsid w:val="004E3587"/>
    <w:rsid w:val="005114DB"/>
    <w:rsid w:val="00571BD9"/>
    <w:rsid w:val="005B11F4"/>
    <w:rsid w:val="005F3276"/>
    <w:rsid w:val="0060386F"/>
    <w:rsid w:val="00610C2D"/>
    <w:rsid w:val="00627F73"/>
    <w:rsid w:val="006367CB"/>
    <w:rsid w:val="00660930"/>
    <w:rsid w:val="00674A46"/>
    <w:rsid w:val="006857D7"/>
    <w:rsid w:val="00692132"/>
    <w:rsid w:val="006921E3"/>
    <w:rsid w:val="0069740B"/>
    <w:rsid w:val="006B1FF0"/>
    <w:rsid w:val="006B2D28"/>
    <w:rsid w:val="0072626F"/>
    <w:rsid w:val="007336AF"/>
    <w:rsid w:val="00790758"/>
    <w:rsid w:val="007E11BE"/>
    <w:rsid w:val="007E61D9"/>
    <w:rsid w:val="00804391"/>
    <w:rsid w:val="00812210"/>
    <w:rsid w:val="008164CF"/>
    <w:rsid w:val="00823AE2"/>
    <w:rsid w:val="00827BCF"/>
    <w:rsid w:val="00860900"/>
    <w:rsid w:val="0087230B"/>
    <w:rsid w:val="00875E7A"/>
    <w:rsid w:val="00884A90"/>
    <w:rsid w:val="008A6D85"/>
    <w:rsid w:val="008F1205"/>
    <w:rsid w:val="008F26DB"/>
    <w:rsid w:val="008F79C2"/>
    <w:rsid w:val="00915647"/>
    <w:rsid w:val="00966633"/>
    <w:rsid w:val="009B50BE"/>
    <w:rsid w:val="009F5E98"/>
    <w:rsid w:val="009F6FC9"/>
    <w:rsid w:val="009F7B55"/>
    <w:rsid w:val="00A233D2"/>
    <w:rsid w:val="00A30A66"/>
    <w:rsid w:val="00A46360"/>
    <w:rsid w:val="00A53F33"/>
    <w:rsid w:val="00A80459"/>
    <w:rsid w:val="00A86BEA"/>
    <w:rsid w:val="00A87EF4"/>
    <w:rsid w:val="00B46EC0"/>
    <w:rsid w:val="00B9404F"/>
    <w:rsid w:val="00BA3D65"/>
    <w:rsid w:val="00BC063D"/>
    <w:rsid w:val="00BD1FD0"/>
    <w:rsid w:val="00C24209"/>
    <w:rsid w:val="00C31C48"/>
    <w:rsid w:val="00C62212"/>
    <w:rsid w:val="00C80A14"/>
    <w:rsid w:val="00CB2D26"/>
    <w:rsid w:val="00CC14EA"/>
    <w:rsid w:val="00CD03AF"/>
    <w:rsid w:val="00CE317A"/>
    <w:rsid w:val="00CF1E82"/>
    <w:rsid w:val="00D317AD"/>
    <w:rsid w:val="00D906D4"/>
    <w:rsid w:val="00DB1BE4"/>
    <w:rsid w:val="00DD5C0C"/>
    <w:rsid w:val="00DE1B6F"/>
    <w:rsid w:val="00DE3DD7"/>
    <w:rsid w:val="00E15D29"/>
    <w:rsid w:val="00E17286"/>
    <w:rsid w:val="00E3594F"/>
    <w:rsid w:val="00E429B0"/>
    <w:rsid w:val="00E4492F"/>
    <w:rsid w:val="00E51775"/>
    <w:rsid w:val="00E53180"/>
    <w:rsid w:val="00E702E6"/>
    <w:rsid w:val="00EA1B04"/>
    <w:rsid w:val="00EB3F90"/>
    <w:rsid w:val="00ED507B"/>
    <w:rsid w:val="00EE0FCF"/>
    <w:rsid w:val="00F46173"/>
    <w:rsid w:val="00F51732"/>
    <w:rsid w:val="00F64C4F"/>
    <w:rsid w:val="00F66CC8"/>
    <w:rsid w:val="00F76CE9"/>
    <w:rsid w:val="00F80B91"/>
    <w:rsid w:val="00F8769F"/>
    <w:rsid w:val="00F87C18"/>
    <w:rsid w:val="00FB1CEC"/>
    <w:rsid w:val="00FD7E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87"/>
    <w:pPr>
      <w:ind w:left="720"/>
      <w:contextualSpacing/>
    </w:pPr>
  </w:style>
  <w:style w:type="table" w:styleId="TableGrid">
    <w:name w:val="Table Grid"/>
    <w:basedOn w:val="TableNormal"/>
    <w:uiPriority w:val="39"/>
    <w:rsid w:val="0087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152ED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FCF"/>
    <w:rPr>
      <w:sz w:val="16"/>
      <w:szCs w:val="16"/>
    </w:rPr>
  </w:style>
  <w:style w:type="paragraph" w:styleId="CommentText">
    <w:name w:val="annotation text"/>
    <w:basedOn w:val="Normal"/>
    <w:link w:val="CommentTextChar"/>
    <w:uiPriority w:val="99"/>
    <w:semiHidden/>
    <w:unhideWhenUsed/>
    <w:rsid w:val="00EE0FCF"/>
    <w:pPr>
      <w:spacing w:line="240" w:lineRule="auto"/>
    </w:pPr>
    <w:rPr>
      <w:sz w:val="20"/>
      <w:szCs w:val="20"/>
    </w:rPr>
  </w:style>
  <w:style w:type="character" w:customStyle="1" w:styleId="CommentTextChar">
    <w:name w:val="Comment Text Char"/>
    <w:basedOn w:val="DefaultParagraphFont"/>
    <w:link w:val="CommentText"/>
    <w:uiPriority w:val="99"/>
    <w:semiHidden/>
    <w:rsid w:val="00EE0FCF"/>
    <w:rPr>
      <w:sz w:val="20"/>
      <w:szCs w:val="20"/>
    </w:rPr>
  </w:style>
  <w:style w:type="paragraph" w:styleId="CommentSubject">
    <w:name w:val="annotation subject"/>
    <w:basedOn w:val="CommentText"/>
    <w:next w:val="CommentText"/>
    <w:link w:val="CommentSubjectChar"/>
    <w:uiPriority w:val="99"/>
    <w:semiHidden/>
    <w:unhideWhenUsed/>
    <w:rsid w:val="00EE0FCF"/>
    <w:rPr>
      <w:b/>
      <w:bCs/>
    </w:rPr>
  </w:style>
  <w:style w:type="character" w:customStyle="1" w:styleId="CommentSubjectChar">
    <w:name w:val="Comment Subject Char"/>
    <w:basedOn w:val="CommentTextChar"/>
    <w:link w:val="CommentSubject"/>
    <w:uiPriority w:val="99"/>
    <w:semiHidden/>
    <w:rsid w:val="00EE0FCF"/>
    <w:rPr>
      <w:b/>
      <w:bCs/>
      <w:sz w:val="20"/>
      <w:szCs w:val="20"/>
    </w:rPr>
  </w:style>
  <w:style w:type="paragraph" w:styleId="BalloonText">
    <w:name w:val="Balloon Text"/>
    <w:basedOn w:val="Normal"/>
    <w:link w:val="BalloonTextChar"/>
    <w:uiPriority w:val="99"/>
    <w:semiHidden/>
    <w:unhideWhenUsed/>
    <w:rsid w:val="00EE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CF"/>
    <w:rPr>
      <w:rFonts w:ascii="Segoe UI" w:hAnsi="Segoe UI" w:cs="Segoe UI"/>
      <w:sz w:val="18"/>
      <w:szCs w:val="18"/>
    </w:rPr>
  </w:style>
  <w:style w:type="paragraph" w:styleId="FootnoteText">
    <w:name w:val="footnote text"/>
    <w:basedOn w:val="Normal"/>
    <w:link w:val="FootnoteTextChar"/>
    <w:uiPriority w:val="99"/>
    <w:semiHidden/>
    <w:unhideWhenUsed/>
    <w:rsid w:val="00966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633"/>
    <w:rPr>
      <w:sz w:val="20"/>
      <w:szCs w:val="20"/>
    </w:rPr>
  </w:style>
  <w:style w:type="character" w:styleId="FootnoteReference">
    <w:name w:val="footnote reference"/>
    <w:aliases w:val="4_G,Footnote Reference/"/>
    <w:rsid w:val="00966633"/>
    <w:rPr>
      <w:rFonts w:ascii="Times New Roman" w:hAnsi="Times New Roman"/>
      <w:sz w:val="18"/>
      <w:vertAlign w:val="superscript"/>
    </w:rPr>
  </w:style>
  <w:style w:type="paragraph" w:styleId="Header">
    <w:name w:val="header"/>
    <w:basedOn w:val="Normal"/>
    <w:link w:val="HeaderChar"/>
    <w:uiPriority w:val="99"/>
    <w:unhideWhenUsed/>
    <w:rsid w:val="00BA3D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D65"/>
  </w:style>
  <w:style w:type="paragraph" w:styleId="Footer">
    <w:name w:val="footer"/>
    <w:basedOn w:val="Normal"/>
    <w:link w:val="FooterChar"/>
    <w:uiPriority w:val="99"/>
    <w:unhideWhenUsed/>
    <w:rsid w:val="00BA3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D65"/>
  </w:style>
  <w:style w:type="paragraph" w:customStyle="1" w:styleId="SingleTxtG">
    <w:name w:val="_ Single Txt_G"/>
    <w:basedOn w:val="Normal"/>
    <w:rsid w:val="004A1506"/>
    <w:pPr>
      <w:suppressAutoHyphens/>
      <w:spacing w:after="120" w:line="240" w:lineRule="atLeast"/>
      <w:ind w:left="1134" w:right="1134"/>
      <w:jc w:val="both"/>
    </w:pPr>
    <w:rPr>
      <w:rFonts w:ascii="Times New Roman" w:eastAsia="SimSun" w:hAnsi="Times New Roman"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87"/>
    <w:pPr>
      <w:ind w:left="720"/>
      <w:contextualSpacing/>
    </w:pPr>
  </w:style>
  <w:style w:type="table" w:styleId="TableGrid">
    <w:name w:val="Table Grid"/>
    <w:basedOn w:val="TableNormal"/>
    <w:uiPriority w:val="39"/>
    <w:rsid w:val="0087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152ED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FCF"/>
    <w:rPr>
      <w:sz w:val="16"/>
      <w:szCs w:val="16"/>
    </w:rPr>
  </w:style>
  <w:style w:type="paragraph" w:styleId="CommentText">
    <w:name w:val="annotation text"/>
    <w:basedOn w:val="Normal"/>
    <w:link w:val="CommentTextChar"/>
    <w:uiPriority w:val="99"/>
    <w:semiHidden/>
    <w:unhideWhenUsed/>
    <w:rsid w:val="00EE0FCF"/>
    <w:pPr>
      <w:spacing w:line="240" w:lineRule="auto"/>
    </w:pPr>
    <w:rPr>
      <w:sz w:val="20"/>
      <w:szCs w:val="20"/>
    </w:rPr>
  </w:style>
  <w:style w:type="character" w:customStyle="1" w:styleId="CommentTextChar">
    <w:name w:val="Comment Text Char"/>
    <w:basedOn w:val="DefaultParagraphFont"/>
    <w:link w:val="CommentText"/>
    <w:uiPriority w:val="99"/>
    <w:semiHidden/>
    <w:rsid w:val="00EE0FCF"/>
    <w:rPr>
      <w:sz w:val="20"/>
      <w:szCs w:val="20"/>
    </w:rPr>
  </w:style>
  <w:style w:type="paragraph" w:styleId="CommentSubject">
    <w:name w:val="annotation subject"/>
    <w:basedOn w:val="CommentText"/>
    <w:next w:val="CommentText"/>
    <w:link w:val="CommentSubjectChar"/>
    <w:uiPriority w:val="99"/>
    <w:semiHidden/>
    <w:unhideWhenUsed/>
    <w:rsid w:val="00EE0FCF"/>
    <w:rPr>
      <w:b/>
      <w:bCs/>
    </w:rPr>
  </w:style>
  <w:style w:type="character" w:customStyle="1" w:styleId="CommentSubjectChar">
    <w:name w:val="Comment Subject Char"/>
    <w:basedOn w:val="CommentTextChar"/>
    <w:link w:val="CommentSubject"/>
    <w:uiPriority w:val="99"/>
    <w:semiHidden/>
    <w:rsid w:val="00EE0FCF"/>
    <w:rPr>
      <w:b/>
      <w:bCs/>
      <w:sz w:val="20"/>
      <w:szCs w:val="20"/>
    </w:rPr>
  </w:style>
  <w:style w:type="paragraph" w:styleId="BalloonText">
    <w:name w:val="Balloon Text"/>
    <w:basedOn w:val="Normal"/>
    <w:link w:val="BalloonTextChar"/>
    <w:uiPriority w:val="99"/>
    <w:semiHidden/>
    <w:unhideWhenUsed/>
    <w:rsid w:val="00EE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CF"/>
    <w:rPr>
      <w:rFonts w:ascii="Segoe UI" w:hAnsi="Segoe UI" w:cs="Segoe UI"/>
      <w:sz w:val="18"/>
      <w:szCs w:val="18"/>
    </w:rPr>
  </w:style>
  <w:style w:type="paragraph" w:styleId="FootnoteText">
    <w:name w:val="footnote text"/>
    <w:basedOn w:val="Normal"/>
    <w:link w:val="FootnoteTextChar"/>
    <w:uiPriority w:val="99"/>
    <w:semiHidden/>
    <w:unhideWhenUsed/>
    <w:rsid w:val="00966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633"/>
    <w:rPr>
      <w:sz w:val="20"/>
      <w:szCs w:val="20"/>
    </w:rPr>
  </w:style>
  <w:style w:type="character" w:styleId="FootnoteReference">
    <w:name w:val="footnote reference"/>
    <w:aliases w:val="4_G,Footnote Reference/"/>
    <w:rsid w:val="00966633"/>
    <w:rPr>
      <w:rFonts w:ascii="Times New Roman" w:hAnsi="Times New Roman"/>
      <w:sz w:val="18"/>
      <w:vertAlign w:val="superscript"/>
    </w:rPr>
  </w:style>
  <w:style w:type="paragraph" w:styleId="Header">
    <w:name w:val="header"/>
    <w:basedOn w:val="Normal"/>
    <w:link w:val="HeaderChar"/>
    <w:uiPriority w:val="99"/>
    <w:unhideWhenUsed/>
    <w:rsid w:val="00BA3D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D65"/>
  </w:style>
  <w:style w:type="paragraph" w:styleId="Footer">
    <w:name w:val="footer"/>
    <w:basedOn w:val="Normal"/>
    <w:link w:val="FooterChar"/>
    <w:uiPriority w:val="99"/>
    <w:unhideWhenUsed/>
    <w:rsid w:val="00BA3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D65"/>
  </w:style>
  <w:style w:type="paragraph" w:customStyle="1" w:styleId="SingleTxtG">
    <w:name w:val="_ Single Txt_G"/>
    <w:basedOn w:val="Normal"/>
    <w:rsid w:val="004A1506"/>
    <w:pPr>
      <w:suppressAutoHyphens/>
      <w:spacing w:after="120" w:line="240" w:lineRule="atLeast"/>
      <w:ind w:left="1134" w:right="1134"/>
      <w:jc w:val="both"/>
    </w:pPr>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5169">
      <w:bodyDiv w:val="1"/>
      <w:marLeft w:val="0"/>
      <w:marRight w:val="0"/>
      <w:marTop w:val="0"/>
      <w:marBottom w:val="0"/>
      <w:divBdr>
        <w:top w:val="none" w:sz="0" w:space="0" w:color="auto"/>
        <w:left w:val="none" w:sz="0" w:space="0" w:color="auto"/>
        <w:bottom w:val="none" w:sz="0" w:space="0" w:color="auto"/>
        <w:right w:val="none" w:sz="0" w:space="0" w:color="auto"/>
      </w:divBdr>
      <w:divsChild>
        <w:div w:id="955215159">
          <w:marLeft w:val="0"/>
          <w:marRight w:val="0"/>
          <w:marTop w:val="0"/>
          <w:marBottom w:val="0"/>
          <w:divBdr>
            <w:top w:val="none" w:sz="0" w:space="0" w:color="auto"/>
            <w:left w:val="none" w:sz="0" w:space="0" w:color="auto"/>
            <w:bottom w:val="none" w:sz="0" w:space="0" w:color="auto"/>
            <w:right w:val="none" w:sz="0" w:space="0" w:color="auto"/>
          </w:divBdr>
        </w:div>
        <w:div w:id="6954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8108</Characters>
  <Application>Microsoft Office Word</Application>
  <DocSecurity>0</DocSecurity>
  <Lines>231</Lines>
  <Paragraphs>148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Boyer</dc:creator>
  <cp:lastModifiedBy>ECE-ADN-36-Add.1</cp:lastModifiedBy>
  <cp:revision>2</cp:revision>
  <cp:lastPrinted>2017-06-12T08:23:00Z</cp:lastPrinted>
  <dcterms:created xsi:type="dcterms:W3CDTF">2017-06-12T15:16:00Z</dcterms:created>
  <dcterms:modified xsi:type="dcterms:W3CDTF">2017-06-12T15:16:00Z</dcterms:modified>
</cp:coreProperties>
</file>