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10F" w:rsidRPr="00F6410F" w:rsidRDefault="00F6410F" w:rsidP="00F6410F">
      <w:pPr>
        <w:spacing w:after="0"/>
        <w:ind w:left="5387" w:right="-286"/>
        <w:outlineLvl w:val="0"/>
        <w:rPr>
          <w:rFonts w:ascii="Arial" w:eastAsia="Arial" w:hAnsi="Arial" w:cs="Arial"/>
          <w:bCs/>
          <w:sz w:val="20"/>
          <w:szCs w:val="24"/>
          <w:lang w:val="fr-FR" w:eastAsia="de-DE"/>
        </w:rPr>
      </w:pPr>
      <w:bookmarkStart w:id="0" w:name="_GoBack"/>
      <w:bookmarkEnd w:id="0"/>
      <w:r w:rsidRPr="00F6410F">
        <w:rPr>
          <w:rFonts w:ascii="Arial" w:eastAsia="Arial" w:hAnsi="Arial" w:cs="Arial"/>
          <w:bCs/>
          <w:noProof/>
          <w:sz w:val="20"/>
          <w:szCs w:val="24"/>
          <w:lang w:eastAsia="en-GB"/>
        </w:rPr>
        <w:drawing>
          <wp:anchor distT="0" distB="0" distL="114300" distR="114300" simplePos="0" relativeHeight="251659264" behindDoc="0" locked="0" layoutInCell="1" allowOverlap="1" wp14:anchorId="6EDA7B6B" wp14:editId="4EBDA56A">
            <wp:simplePos x="0" y="0"/>
            <wp:positionH relativeFrom="column">
              <wp:posOffset>0</wp:posOffset>
            </wp:positionH>
            <wp:positionV relativeFrom="paragraph">
              <wp:posOffset>-68580</wp:posOffset>
            </wp:positionV>
            <wp:extent cx="1713865" cy="604520"/>
            <wp:effectExtent l="0" t="0" r="635"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865" cy="604520"/>
                    </a:xfrm>
                    <a:prstGeom prst="rect">
                      <a:avLst/>
                    </a:prstGeom>
                    <a:noFill/>
                  </pic:spPr>
                </pic:pic>
              </a:graphicData>
            </a:graphic>
          </wp:anchor>
        </w:drawing>
      </w:r>
      <w:r w:rsidRPr="00F6410F">
        <w:rPr>
          <w:rFonts w:ascii="Arial" w:eastAsia="Arial" w:hAnsi="Arial" w:cs="Arial"/>
          <w:bCs/>
          <w:sz w:val="20"/>
          <w:szCs w:val="24"/>
          <w:lang w:val="fr-FR" w:eastAsia="de-DE"/>
        </w:rPr>
        <w:t>CCNR-ZKR/ADN/WP.15/AC.2/2018/</w:t>
      </w:r>
      <w:r w:rsidR="00591C91">
        <w:rPr>
          <w:rFonts w:ascii="Arial" w:eastAsia="Arial" w:hAnsi="Arial" w:cs="Arial"/>
          <w:bCs/>
          <w:sz w:val="20"/>
          <w:szCs w:val="24"/>
          <w:lang w:val="fr-FR" w:eastAsia="de-DE"/>
        </w:rPr>
        <w:t>22</w:t>
      </w:r>
    </w:p>
    <w:p w:rsidR="00F6410F" w:rsidRPr="00F6410F" w:rsidRDefault="00F6410F" w:rsidP="00F6410F">
      <w:pPr>
        <w:tabs>
          <w:tab w:val="left" w:pos="5670"/>
        </w:tabs>
        <w:spacing w:after="0"/>
        <w:ind w:left="5387"/>
        <w:rPr>
          <w:rFonts w:ascii="Arial" w:hAnsi="Arial" w:cs="Arial"/>
          <w:sz w:val="16"/>
          <w:szCs w:val="24"/>
          <w:lang w:val="de-DE" w:eastAsia="de-DE"/>
        </w:rPr>
      </w:pPr>
      <w:r w:rsidRPr="00F6410F">
        <w:rPr>
          <w:rFonts w:ascii="Arial" w:hAnsi="Arial" w:cs="Arial"/>
          <w:sz w:val="16"/>
          <w:szCs w:val="24"/>
          <w:lang w:val="de-DE" w:eastAsia="de-DE"/>
        </w:rPr>
        <w:t>Allgemeine Verteilung</w:t>
      </w:r>
    </w:p>
    <w:p w:rsidR="00F6410F" w:rsidRPr="00F6410F" w:rsidRDefault="00591C91" w:rsidP="00F6410F">
      <w:pPr>
        <w:tabs>
          <w:tab w:val="right" w:pos="3856"/>
          <w:tab w:val="left" w:pos="5670"/>
        </w:tabs>
        <w:spacing w:after="0"/>
        <w:ind w:left="5387"/>
        <w:rPr>
          <w:rFonts w:ascii="Arial" w:eastAsia="Arial" w:hAnsi="Arial" w:cs="Arial"/>
          <w:sz w:val="20"/>
          <w:szCs w:val="24"/>
          <w:lang w:val="de-DE" w:eastAsia="de-DE"/>
        </w:rPr>
      </w:pPr>
      <w:r>
        <w:rPr>
          <w:rFonts w:ascii="Arial" w:eastAsia="Arial" w:hAnsi="Arial" w:cs="Arial"/>
          <w:sz w:val="20"/>
          <w:szCs w:val="24"/>
          <w:lang w:val="de-DE" w:eastAsia="de-DE"/>
        </w:rPr>
        <w:t>8</w:t>
      </w:r>
      <w:r w:rsidR="00F6410F" w:rsidRPr="00F6410F">
        <w:rPr>
          <w:rFonts w:ascii="Arial" w:eastAsia="Arial" w:hAnsi="Arial" w:cs="Arial"/>
          <w:sz w:val="20"/>
          <w:szCs w:val="24"/>
          <w:lang w:val="de-DE" w:eastAsia="de-DE"/>
        </w:rPr>
        <w:t xml:space="preserve">. </w:t>
      </w:r>
      <w:r>
        <w:rPr>
          <w:rFonts w:ascii="Arial" w:eastAsia="Arial" w:hAnsi="Arial" w:cs="Arial"/>
          <w:sz w:val="20"/>
          <w:szCs w:val="24"/>
          <w:lang w:val="de-DE" w:eastAsia="de-DE"/>
        </w:rPr>
        <w:t>November</w:t>
      </w:r>
      <w:r w:rsidR="00F6410F" w:rsidRPr="00F6410F">
        <w:rPr>
          <w:rFonts w:ascii="Arial" w:eastAsia="Arial" w:hAnsi="Arial" w:cs="Arial"/>
          <w:sz w:val="20"/>
          <w:szCs w:val="24"/>
          <w:lang w:val="de-DE" w:eastAsia="de-DE"/>
        </w:rPr>
        <w:t xml:space="preserve"> 2017</w:t>
      </w:r>
    </w:p>
    <w:p w:rsidR="00F6410F" w:rsidRPr="00F6410F" w:rsidRDefault="00F6410F" w:rsidP="00F6410F">
      <w:pPr>
        <w:tabs>
          <w:tab w:val="right" w:pos="3856"/>
          <w:tab w:val="left" w:pos="5670"/>
        </w:tabs>
        <w:spacing w:after="0"/>
        <w:ind w:left="5387" w:right="565"/>
        <w:rPr>
          <w:rFonts w:ascii="Arial" w:hAnsi="Arial" w:cs="Arial"/>
          <w:sz w:val="16"/>
          <w:szCs w:val="24"/>
          <w:lang w:val="de-DE" w:eastAsia="de-DE"/>
        </w:rPr>
      </w:pPr>
      <w:r w:rsidRPr="00F6410F">
        <w:rPr>
          <w:rFonts w:ascii="Arial" w:eastAsia="Arial" w:hAnsi="Arial" w:cs="Arial"/>
          <w:sz w:val="16"/>
          <w:szCs w:val="24"/>
          <w:lang w:val="de-DE" w:eastAsia="de-DE"/>
        </w:rPr>
        <w:t>Or. DEUTSCH</w:t>
      </w:r>
    </w:p>
    <w:p w:rsidR="00F6410F" w:rsidRPr="00F6410F" w:rsidRDefault="00F6410F" w:rsidP="00F6410F">
      <w:pPr>
        <w:spacing w:after="0"/>
        <w:rPr>
          <w:rFonts w:ascii="Arial" w:hAnsi="Arial" w:cs="Arial"/>
          <w:sz w:val="16"/>
          <w:szCs w:val="24"/>
          <w:lang w:val="de-DE" w:eastAsia="de-DE"/>
        </w:rPr>
      </w:pPr>
    </w:p>
    <w:p w:rsidR="00F6410F" w:rsidRPr="00F6410F" w:rsidRDefault="00F6410F" w:rsidP="00F6410F">
      <w:pPr>
        <w:spacing w:after="0"/>
        <w:rPr>
          <w:rFonts w:ascii="Arial" w:hAnsi="Arial" w:cs="Arial"/>
          <w:sz w:val="16"/>
          <w:szCs w:val="24"/>
          <w:lang w:val="de-DE" w:eastAsia="de-DE"/>
        </w:rPr>
      </w:pPr>
    </w:p>
    <w:p w:rsidR="00F6410F" w:rsidRPr="00F6410F" w:rsidRDefault="00F6410F" w:rsidP="00F6410F">
      <w:pPr>
        <w:tabs>
          <w:tab w:val="left" w:pos="2977"/>
        </w:tabs>
        <w:spacing w:after="0"/>
        <w:ind w:left="3958"/>
        <w:rPr>
          <w:rFonts w:ascii="Arial" w:hAnsi="Arial"/>
          <w:noProof/>
          <w:snapToGrid w:val="0"/>
          <w:sz w:val="16"/>
          <w:szCs w:val="24"/>
          <w:lang w:val="de-DE" w:eastAsia="fr-FR"/>
        </w:rPr>
      </w:pPr>
      <w:r w:rsidRPr="00F6410F">
        <w:rPr>
          <w:rFonts w:ascii="Arial" w:hAnsi="Arial"/>
          <w:noProof/>
          <w:snapToGrid w:val="0"/>
          <w:sz w:val="16"/>
          <w:szCs w:val="24"/>
          <w:lang w:val="de-DE" w:eastAsia="fr-FR"/>
        </w:rPr>
        <w:t>GEMEINSAME EXPERTENTAGUNG FÜR DIE DEM</w:t>
      </w:r>
    </w:p>
    <w:p w:rsidR="00F6410F" w:rsidRPr="00F6410F" w:rsidRDefault="00F6410F" w:rsidP="00F6410F">
      <w:pPr>
        <w:tabs>
          <w:tab w:val="left" w:pos="2977"/>
        </w:tabs>
        <w:spacing w:after="0"/>
        <w:ind w:left="3958"/>
        <w:rPr>
          <w:rFonts w:ascii="Arial" w:hAnsi="Arial"/>
          <w:noProof/>
          <w:snapToGrid w:val="0"/>
          <w:sz w:val="16"/>
          <w:szCs w:val="24"/>
          <w:lang w:val="de-DE" w:eastAsia="fr-FR"/>
        </w:rPr>
      </w:pPr>
      <w:r w:rsidRPr="00F6410F">
        <w:rPr>
          <w:rFonts w:ascii="Arial" w:hAnsi="Arial"/>
          <w:noProof/>
          <w:snapToGrid w:val="0"/>
          <w:sz w:val="16"/>
          <w:szCs w:val="24"/>
          <w:lang w:val="de-DE" w:eastAsia="fr-FR"/>
        </w:rPr>
        <w:t>ÜBEREINKOMMEN ÜBER DIE INTERNATIONALE BEFÖRDERUNG</w:t>
      </w:r>
    </w:p>
    <w:p w:rsidR="00F6410F" w:rsidRPr="00F6410F" w:rsidRDefault="00F6410F" w:rsidP="00F6410F">
      <w:pPr>
        <w:tabs>
          <w:tab w:val="left" w:pos="2977"/>
        </w:tabs>
        <w:spacing w:after="0"/>
        <w:ind w:left="3958"/>
        <w:rPr>
          <w:rFonts w:ascii="Arial" w:hAnsi="Arial"/>
          <w:noProof/>
          <w:snapToGrid w:val="0"/>
          <w:sz w:val="16"/>
          <w:szCs w:val="24"/>
          <w:lang w:val="de-DE" w:eastAsia="fr-FR"/>
        </w:rPr>
      </w:pPr>
      <w:r w:rsidRPr="00F6410F">
        <w:rPr>
          <w:rFonts w:ascii="Arial" w:hAnsi="Arial"/>
          <w:noProof/>
          <w:snapToGrid w:val="0"/>
          <w:sz w:val="16"/>
          <w:szCs w:val="24"/>
          <w:lang w:val="de-DE" w:eastAsia="fr-FR"/>
        </w:rPr>
        <w:t>VON GEFÄHRLICHEN GÜTERN AUF BINNENWASSERSTRASSEN</w:t>
      </w:r>
    </w:p>
    <w:p w:rsidR="00F6410F" w:rsidRPr="00F6410F" w:rsidRDefault="00F6410F" w:rsidP="00F6410F">
      <w:pPr>
        <w:tabs>
          <w:tab w:val="left" w:pos="2977"/>
        </w:tabs>
        <w:spacing w:after="0"/>
        <w:ind w:left="3958"/>
        <w:rPr>
          <w:rFonts w:ascii="Arial" w:hAnsi="Arial"/>
          <w:noProof/>
          <w:snapToGrid w:val="0"/>
          <w:sz w:val="16"/>
          <w:szCs w:val="24"/>
          <w:lang w:val="de-DE" w:eastAsia="fr-FR"/>
        </w:rPr>
      </w:pPr>
      <w:r w:rsidRPr="00F6410F">
        <w:rPr>
          <w:rFonts w:ascii="Arial" w:hAnsi="Arial"/>
          <w:noProof/>
          <w:snapToGrid w:val="0"/>
          <w:sz w:val="16"/>
          <w:szCs w:val="24"/>
          <w:lang w:val="de-DE" w:eastAsia="fr-FR"/>
        </w:rPr>
        <w:t>BEIGEFÜGTE VERORDNUNG (ADN)</w:t>
      </w:r>
    </w:p>
    <w:p w:rsidR="00F6410F" w:rsidRPr="00F6410F" w:rsidRDefault="00F6410F" w:rsidP="00F6410F">
      <w:pPr>
        <w:tabs>
          <w:tab w:val="left" w:pos="2977"/>
        </w:tabs>
        <w:spacing w:after="0"/>
        <w:ind w:left="3958"/>
        <w:rPr>
          <w:rFonts w:ascii="Arial" w:hAnsi="Arial"/>
          <w:noProof/>
          <w:snapToGrid w:val="0"/>
          <w:sz w:val="16"/>
          <w:szCs w:val="24"/>
          <w:lang w:val="de-DE" w:eastAsia="fr-FR"/>
        </w:rPr>
      </w:pPr>
      <w:r w:rsidRPr="00F6410F">
        <w:rPr>
          <w:rFonts w:ascii="Arial" w:hAnsi="Arial"/>
          <w:noProof/>
          <w:snapToGrid w:val="0"/>
          <w:sz w:val="16"/>
          <w:szCs w:val="24"/>
          <w:lang w:val="de-DE" w:eastAsia="fr-FR"/>
        </w:rPr>
        <w:t>(SICHERHEITSAUSSCHUSS)</w:t>
      </w:r>
    </w:p>
    <w:p w:rsidR="00F6410F" w:rsidRPr="00F6410F" w:rsidRDefault="00F6410F" w:rsidP="00F6410F">
      <w:pPr>
        <w:tabs>
          <w:tab w:val="left" w:pos="2977"/>
        </w:tabs>
        <w:spacing w:after="0"/>
        <w:ind w:left="3960"/>
        <w:rPr>
          <w:rFonts w:ascii="Arial" w:hAnsi="Arial"/>
          <w:snapToGrid w:val="0"/>
          <w:sz w:val="16"/>
          <w:szCs w:val="24"/>
          <w:lang w:val="de-DE" w:eastAsia="fr-FR"/>
        </w:rPr>
      </w:pPr>
      <w:r w:rsidRPr="00F6410F">
        <w:rPr>
          <w:rFonts w:ascii="Arial" w:hAnsi="Arial"/>
          <w:snapToGrid w:val="0"/>
          <w:sz w:val="16"/>
          <w:szCs w:val="24"/>
          <w:lang w:val="de-DE" w:eastAsia="fr-FR"/>
        </w:rPr>
        <w:t>(32. Tagung, Genf, 22. bis 26.Januar 2018)</w:t>
      </w:r>
    </w:p>
    <w:p w:rsidR="00F6410F" w:rsidRPr="00F6410F" w:rsidRDefault="00F6410F" w:rsidP="00F6410F">
      <w:pPr>
        <w:tabs>
          <w:tab w:val="left" w:pos="2977"/>
        </w:tabs>
        <w:spacing w:after="0"/>
        <w:ind w:left="3960"/>
        <w:rPr>
          <w:rFonts w:ascii="Arial" w:hAnsi="Arial" w:cs="Arial"/>
          <w:sz w:val="16"/>
          <w:szCs w:val="16"/>
          <w:lang w:val="de-DE"/>
        </w:rPr>
      </w:pPr>
      <w:r w:rsidRPr="00F6410F">
        <w:rPr>
          <w:rFonts w:ascii="Arial" w:hAnsi="Arial" w:cs="Arial"/>
          <w:sz w:val="16"/>
          <w:szCs w:val="16"/>
          <w:lang w:val="de-DE"/>
        </w:rPr>
        <w:t xml:space="preserve">Punkt </w:t>
      </w:r>
      <w:r w:rsidR="00591C91">
        <w:rPr>
          <w:rFonts w:ascii="Arial" w:hAnsi="Arial" w:cs="Arial"/>
          <w:sz w:val="16"/>
          <w:szCs w:val="16"/>
          <w:lang w:val="de-DE"/>
        </w:rPr>
        <w:t>5 b)</w:t>
      </w:r>
      <w:r w:rsidRPr="00F6410F">
        <w:rPr>
          <w:rFonts w:ascii="Arial" w:hAnsi="Arial" w:cs="Arial"/>
          <w:sz w:val="16"/>
          <w:szCs w:val="16"/>
          <w:lang w:val="de-DE"/>
        </w:rPr>
        <w:t xml:space="preserve"> zur vorläufigen Tagesordnung</w:t>
      </w:r>
    </w:p>
    <w:p w:rsidR="00F6410F" w:rsidRPr="00F6410F" w:rsidRDefault="00F6410F" w:rsidP="00F6410F">
      <w:pPr>
        <w:tabs>
          <w:tab w:val="left" w:pos="2977"/>
        </w:tabs>
        <w:spacing w:after="0"/>
        <w:ind w:left="3960"/>
        <w:rPr>
          <w:rFonts w:ascii="Arial" w:hAnsi="Arial" w:cs="Arial"/>
          <w:b/>
          <w:sz w:val="16"/>
          <w:szCs w:val="16"/>
          <w:lang w:val="de-DE"/>
        </w:rPr>
      </w:pPr>
      <w:r w:rsidRPr="00F6410F">
        <w:rPr>
          <w:rFonts w:ascii="Arial" w:hAnsi="Arial" w:cs="Arial"/>
          <w:b/>
          <w:sz w:val="16"/>
          <w:szCs w:val="16"/>
          <w:lang w:val="de-DE"/>
        </w:rPr>
        <w:t>Vorschläge für Änderungen der dem ADN beigefügten Verordnung: Weitere Vorschläge</w:t>
      </w:r>
    </w:p>
    <w:p w:rsidR="00F6410F" w:rsidRDefault="00F6410F" w:rsidP="00F6410F">
      <w:pPr>
        <w:widowControl w:val="0"/>
        <w:overflowPunct w:val="0"/>
        <w:autoSpaceDE w:val="0"/>
        <w:autoSpaceDN w:val="0"/>
        <w:adjustRightInd w:val="0"/>
        <w:spacing w:after="0"/>
        <w:jc w:val="both"/>
        <w:textAlignment w:val="baseline"/>
        <w:rPr>
          <w:rFonts w:ascii="Arial" w:hAnsi="Arial"/>
          <w:color w:val="000000"/>
          <w:sz w:val="22"/>
          <w:lang w:val="de-DE" w:eastAsia="fr-FR"/>
        </w:rPr>
      </w:pPr>
    </w:p>
    <w:p w:rsidR="00163137" w:rsidRPr="00F6410F" w:rsidRDefault="00163137" w:rsidP="00F6410F">
      <w:pPr>
        <w:widowControl w:val="0"/>
        <w:overflowPunct w:val="0"/>
        <w:autoSpaceDE w:val="0"/>
        <w:autoSpaceDN w:val="0"/>
        <w:adjustRightInd w:val="0"/>
        <w:spacing w:after="0"/>
        <w:jc w:val="both"/>
        <w:textAlignment w:val="baseline"/>
        <w:rPr>
          <w:rFonts w:ascii="Arial" w:hAnsi="Arial"/>
          <w:color w:val="000000"/>
          <w:sz w:val="22"/>
          <w:lang w:val="de-DE" w:eastAsia="fr-FR"/>
        </w:rPr>
      </w:pPr>
    </w:p>
    <w:p w:rsidR="00F6410F" w:rsidRPr="00F6410F" w:rsidRDefault="00F6410F" w:rsidP="00F6410F">
      <w:pPr>
        <w:widowControl w:val="0"/>
        <w:overflowPunct w:val="0"/>
        <w:autoSpaceDE w:val="0"/>
        <w:autoSpaceDN w:val="0"/>
        <w:adjustRightInd w:val="0"/>
        <w:spacing w:after="0"/>
        <w:jc w:val="both"/>
        <w:textAlignment w:val="baseline"/>
        <w:rPr>
          <w:rFonts w:ascii="Arial" w:hAnsi="Arial"/>
          <w:color w:val="000000"/>
          <w:sz w:val="22"/>
          <w:lang w:val="de-DE" w:eastAsia="fr-FR"/>
        </w:rPr>
      </w:pPr>
    </w:p>
    <w:p w:rsidR="00F6410F" w:rsidRPr="00F6410F" w:rsidRDefault="00F6410F" w:rsidP="00F6410F">
      <w:pPr>
        <w:suppressAutoHyphens/>
        <w:snapToGrid w:val="0"/>
        <w:spacing w:after="0" w:line="240" w:lineRule="atLeast"/>
        <w:ind w:left="1134" w:right="1134"/>
        <w:jc w:val="both"/>
        <w:rPr>
          <w:b/>
          <w:bCs/>
          <w:sz w:val="28"/>
          <w:szCs w:val="24"/>
          <w:lang w:val="de-DE" w:eastAsia="fr-FR"/>
        </w:rPr>
      </w:pPr>
      <w:r w:rsidRPr="00F6410F">
        <w:rPr>
          <w:b/>
          <w:bCs/>
          <w:sz w:val="28"/>
          <w:szCs w:val="24"/>
          <w:lang w:val="de-DE" w:eastAsia="fr-FR"/>
        </w:rPr>
        <w:t>Bericht über eine Besprechung von Vertretern der PTB, des CEFIC und der BAM am 5. und 6. Oktober 2017 in Braunschweig zu möglichen Unklarheiten in Tabelle C</w:t>
      </w:r>
    </w:p>
    <w:p w:rsidR="00F6410F" w:rsidRPr="00F6410F" w:rsidRDefault="00F6410F" w:rsidP="00F6410F">
      <w:pPr>
        <w:keepNext/>
        <w:keepLines/>
        <w:suppressAutoHyphens/>
        <w:spacing w:before="360" w:line="270" w:lineRule="exact"/>
        <w:ind w:left="1134" w:right="567"/>
        <w:rPr>
          <w:b/>
          <w:lang w:val="de-DE" w:eastAsia="fr-FR"/>
        </w:rPr>
      </w:pPr>
      <w:r w:rsidRPr="00F6410F">
        <w:rPr>
          <w:b/>
          <w:lang w:val="de-DE" w:eastAsia="fr-FR"/>
        </w:rPr>
        <w:t>Vorgelegt von Deutschland</w:t>
      </w:r>
      <w:r w:rsidR="004E14AD" w:rsidRPr="004E14AD">
        <w:rPr>
          <w:b/>
          <w:sz w:val="18"/>
          <w:szCs w:val="18"/>
          <w:vertAlign w:val="superscript"/>
          <w:lang w:val="de-DE"/>
        </w:rPr>
        <w:footnoteReference w:customMarkFollows="1" w:id="2"/>
        <w:t>*</w:t>
      </w:r>
      <w:r w:rsidR="004E14AD" w:rsidRPr="004E14AD">
        <w:rPr>
          <w:rFonts w:ascii="Arial" w:hAnsi="Arial" w:cs="Arial"/>
          <w:b/>
          <w:sz w:val="16"/>
          <w:szCs w:val="16"/>
          <w:vertAlign w:val="superscript"/>
          <w:lang w:val="de-DE"/>
        </w:rPr>
        <w:t>,</w:t>
      </w:r>
      <w:r w:rsidR="004E14AD" w:rsidRPr="004E14AD">
        <w:rPr>
          <w:rFonts w:eastAsia="Calibri"/>
          <w:b/>
          <w:bCs/>
          <w:sz w:val="18"/>
          <w:szCs w:val="18"/>
          <w:vertAlign w:val="superscript"/>
          <w:lang w:val="de-DE"/>
        </w:rPr>
        <w:footnoteReference w:customMarkFollows="1" w:id="3"/>
        <w:t>**</w:t>
      </w:r>
    </w:p>
    <w:p w:rsidR="00F6410F" w:rsidRDefault="00F6410F" w:rsidP="00F6410F">
      <w:pPr>
        <w:spacing w:after="0" w:line="360" w:lineRule="auto"/>
        <w:ind w:right="566"/>
        <w:rPr>
          <w:sz w:val="20"/>
          <w:lang w:val="de-DE"/>
        </w:rPr>
      </w:pPr>
    </w:p>
    <w:p w:rsidR="00163137" w:rsidRPr="00F6410F" w:rsidRDefault="00163137" w:rsidP="00F6410F">
      <w:pPr>
        <w:spacing w:after="0" w:line="360" w:lineRule="auto"/>
        <w:ind w:right="566"/>
        <w:rPr>
          <w:sz w:val="20"/>
          <w:lang w:val="de-DE"/>
        </w:rPr>
      </w:pPr>
    </w:p>
    <w:p w:rsidR="00F6410F" w:rsidRPr="00F6410F" w:rsidRDefault="00F6410F" w:rsidP="00F6410F">
      <w:pPr>
        <w:autoSpaceDE w:val="0"/>
        <w:autoSpaceDN w:val="0"/>
        <w:adjustRightInd w:val="0"/>
        <w:spacing w:after="0"/>
        <w:ind w:right="566"/>
        <w:rPr>
          <w:b/>
          <w:szCs w:val="24"/>
          <w:lang w:val="de-DE"/>
        </w:rPr>
      </w:pPr>
      <w:r w:rsidRPr="00F6410F">
        <w:rPr>
          <w:b/>
          <w:szCs w:val="24"/>
          <w:lang w:val="de-DE"/>
        </w:rPr>
        <w:t>Einleitung</w:t>
      </w:r>
    </w:p>
    <w:p w:rsidR="00F6410F" w:rsidRPr="00F6410F" w:rsidRDefault="00F6410F" w:rsidP="00F6410F">
      <w:pPr>
        <w:autoSpaceDE w:val="0"/>
        <w:autoSpaceDN w:val="0"/>
        <w:adjustRightInd w:val="0"/>
        <w:spacing w:after="0"/>
        <w:ind w:right="566"/>
        <w:rPr>
          <w:sz w:val="20"/>
          <w:lang w:val="de-DE"/>
        </w:rPr>
      </w:pPr>
    </w:p>
    <w:p w:rsidR="00F6410F" w:rsidRPr="00F6410F" w:rsidRDefault="00F6410F" w:rsidP="00F6410F">
      <w:pPr>
        <w:spacing w:after="0"/>
        <w:ind w:right="566"/>
        <w:jc w:val="both"/>
        <w:rPr>
          <w:sz w:val="20"/>
          <w:lang w:val="de-DE"/>
        </w:rPr>
      </w:pPr>
      <w:r w:rsidRPr="00F6410F">
        <w:rPr>
          <w:sz w:val="20"/>
          <w:lang w:val="de-DE"/>
        </w:rPr>
        <w:t>1.</w:t>
      </w:r>
      <w:r w:rsidRPr="00F6410F">
        <w:rPr>
          <w:sz w:val="20"/>
          <w:lang w:val="de-DE"/>
        </w:rPr>
        <w:tab/>
        <w:t>Für die 31. Sitzung des Sicherheitsausschusses wurde von der belgischen Regierung das Dokument CCNR-ZKR/ADN/WP.15/AC.2/2017/41 zu möglichen Unklarheiten in Tabelle C vorgelegt. Im Ergebnis der Beratung im Sicherheitsausschuss wurde die Informelle Arbeitsgruppe „Stoffe“ gebeten, sich mit diesen Fragen zu beschäftigen.</w:t>
      </w:r>
    </w:p>
    <w:p w:rsidR="00F6410F" w:rsidRPr="00F6410F" w:rsidRDefault="00F6410F" w:rsidP="00F6410F">
      <w:pPr>
        <w:spacing w:after="0"/>
        <w:ind w:right="566"/>
        <w:jc w:val="both"/>
        <w:rPr>
          <w:sz w:val="20"/>
          <w:lang w:val="de-DE"/>
        </w:rPr>
      </w:pPr>
    </w:p>
    <w:p w:rsidR="00F6410F" w:rsidRPr="00F6410F" w:rsidRDefault="00F6410F" w:rsidP="00F6410F">
      <w:pPr>
        <w:spacing w:after="0"/>
        <w:ind w:right="566"/>
        <w:jc w:val="both"/>
        <w:rPr>
          <w:sz w:val="20"/>
          <w:lang w:val="de-DE"/>
        </w:rPr>
      </w:pPr>
      <w:r w:rsidRPr="00F6410F">
        <w:rPr>
          <w:sz w:val="20"/>
          <w:lang w:val="de-DE"/>
        </w:rPr>
        <w:t>2.</w:t>
      </w:r>
      <w:r w:rsidRPr="00F6410F">
        <w:rPr>
          <w:sz w:val="20"/>
          <w:lang w:val="de-DE"/>
        </w:rPr>
        <w:tab/>
        <w:t>Aufgrund der Kürze der zur Verfügung stehenden Zeit war es nicht möglich, eine reguläre Sitzung der Informellen Arbeitsgruppe „Stoffe“ einzuberufen. Deshalb wurde entschieden, eine kleine Unterarbeitsgruppe, bestehend aus Vertretern der Physikalisch-Technischen Bundesanstalt (PTB), des Europäischen Verbandes der Chemischen Industrie (CEFIC) und der Bundesanstalt für Materialforschung und –prüfung (BAM) tagen zu lassen. Diese Sitzung fand am 5. und 6. Oktober 2017 in Braunschweig statt.</w:t>
      </w:r>
    </w:p>
    <w:p w:rsidR="00F6410F" w:rsidRPr="00F6410F" w:rsidRDefault="00F6410F" w:rsidP="00F6410F">
      <w:pPr>
        <w:spacing w:after="0"/>
        <w:ind w:right="566"/>
        <w:jc w:val="both"/>
        <w:rPr>
          <w:color w:val="000000"/>
          <w:sz w:val="20"/>
          <w:lang w:val="de-DE"/>
        </w:rPr>
      </w:pPr>
    </w:p>
    <w:p w:rsidR="00163137" w:rsidRDefault="00163137">
      <w:pPr>
        <w:spacing w:after="0"/>
        <w:rPr>
          <w:sz w:val="20"/>
          <w:lang w:val="de-DE"/>
        </w:rPr>
      </w:pPr>
      <w:r>
        <w:rPr>
          <w:sz w:val="20"/>
          <w:lang w:val="de-DE"/>
        </w:rPr>
        <w:br w:type="page"/>
      </w:r>
    </w:p>
    <w:p w:rsidR="00F6410F" w:rsidRPr="00F6410F" w:rsidRDefault="00F6410F" w:rsidP="00F6410F">
      <w:pPr>
        <w:spacing w:after="0"/>
        <w:ind w:right="566"/>
        <w:jc w:val="both"/>
        <w:rPr>
          <w:sz w:val="20"/>
          <w:lang w:val="de-DE"/>
        </w:rPr>
      </w:pPr>
    </w:p>
    <w:p w:rsidR="00F6410F" w:rsidRPr="00591C91" w:rsidRDefault="00F6410F" w:rsidP="00591C91">
      <w:pPr>
        <w:pStyle w:val="ListParagraph"/>
        <w:numPr>
          <w:ilvl w:val="0"/>
          <w:numId w:val="24"/>
        </w:numPr>
        <w:spacing w:after="0"/>
        <w:ind w:left="567" w:right="566" w:hanging="567"/>
        <w:jc w:val="both"/>
        <w:rPr>
          <w:b/>
          <w:szCs w:val="24"/>
          <w:lang w:val="de-DE"/>
        </w:rPr>
      </w:pPr>
      <w:r w:rsidRPr="00591C91">
        <w:rPr>
          <w:b/>
          <w:szCs w:val="24"/>
          <w:lang w:val="de-DE"/>
        </w:rPr>
        <w:t>Ergebnisse</w:t>
      </w:r>
    </w:p>
    <w:p w:rsidR="00F6410F" w:rsidRPr="00F6410F" w:rsidRDefault="00F6410F" w:rsidP="00F6410F">
      <w:pPr>
        <w:spacing w:after="0"/>
        <w:ind w:right="566"/>
        <w:jc w:val="both"/>
        <w:rPr>
          <w:sz w:val="20"/>
          <w:lang w:val="de-DE"/>
        </w:rPr>
      </w:pPr>
    </w:p>
    <w:p w:rsidR="00F6410F" w:rsidRPr="00F6410F" w:rsidRDefault="00F6410F" w:rsidP="00F6410F">
      <w:pPr>
        <w:spacing w:after="0"/>
        <w:ind w:right="566"/>
        <w:jc w:val="both"/>
        <w:rPr>
          <w:sz w:val="20"/>
          <w:lang w:val="de-DE"/>
        </w:rPr>
      </w:pPr>
      <w:r w:rsidRPr="00F6410F">
        <w:rPr>
          <w:sz w:val="20"/>
          <w:lang w:val="de-DE"/>
        </w:rPr>
        <w:t xml:space="preserve">3. </w:t>
      </w:r>
      <w:r w:rsidRPr="00F6410F">
        <w:rPr>
          <w:sz w:val="20"/>
          <w:lang w:val="de-DE"/>
        </w:rPr>
        <w:tab/>
        <w:t>Auf Grundlage des belgischen Dokuments kam man in der Unterarbeitsgruppe zu folgenden Ergebnissen:</w:t>
      </w:r>
    </w:p>
    <w:p w:rsidR="00F6410F" w:rsidRDefault="00F6410F" w:rsidP="00F6410F">
      <w:pPr>
        <w:spacing w:after="0"/>
        <w:rPr>
          <w:b/>
          <w:sz w:val="20"/>
          <w:lang w:val="de-DE"/>
        </w:rPr>
      </w:pPr>
    </w:p>
    <w:p w:rsidR="004E14AD" w:rsidRPr="00F6410F" w:rsidRDefault="004E14AD" w:rsidP="00F6410F">
      <w:pPr>
        <w:spacing w:after="0"/>
        <w:rPr>
          <w:b/>
          <w:sz w:val="20"/>
          <w:lang w:val="de-DE"/>
        </w:rPr>
      </w:pPr>
    </w:p>
    <w:p w:rsidR="00F6410F" w:rsidRPr="00163137" w:rsidRDefault="00591C91" w:rsidP="00F6410F">
      <w:pPr>
        <w:spacing w:after="0"/>
        <w:ind w:left="570" w:right="566" w:hanging="570"/>
        <w:jc w:val="both"/>
        <w:rPr>
          <w:b/>
          <w:szCs w:val="24"/>
          <w:lang w:val="de-DE"/>
        </w:rPr>
      </w:pPr>
      <w:r w:rsidRPr="00163137">
        <w:rPr>
          <w:b/>
          <w:szCs w:val="24"/>
          <w:lang w:val="de-DE"/>
        </w:rPr>
        <w:t>A</w:t>
      </w:r>
      <w:r w:rsidR="00F6410F" w:rsidRPr="00163137">
        <w:rPr>
          <w:b/>
          <w:szCs w:val="24"/>
          <w:lang w:val="de-DE"/>
        </w:rPr>
        <w:t>.</w:t>
      </w:r>
      <w:r w:rsidR="00F6410F" w:rsidRPr="00163137">
        <w:rPr>
          <w:b/>
          <w:szCs w:val="24"/>
          <w:lang w:val="de-DE"/>
        </w:rPr>
        <w:tab/>
        <w:t>Verweis auf EN-Norm für UN-Nummer 1202</w:t>
      </w:r>
    </w:p>
    <w:p w:rsidR="00F6410F" w:rsidRPr="00F6410F" w:rsidRDefault="00F6410F" w:rsidP="00F6410F">
      <w:pPr>
        <w:spacing w:after="0"/>
        <w:ind w:left="570" w:right="566" w:hanging="570"/>
        <w:jc w:val="both"/>
        <w:rPr>
          <w:sz w:val="20"/>
          <w:lang w:val="de-DE"/>
        </w:rPr>
      </w:pPr>
    </w:p>
    <w:p w:rsidR="00F6410F" w:rsidRPr="00F6410F" w:rsidRDefault="00F6410F" w:rsidP="00F6410F">
      <w:pPr>
        <w:spacing w:after="0"/>
        <w:ind w:right="566"/>
        <w:jc w:val="both"/>
        <w:rPr>
          <w:sz w:val="20"/>
          <w:lang w:val="de-DE"/>
        </w:rPr>
      </w:pPr>
      <w:r w:rsidRPr="00F6410F">
        <w:rPr>
          <w:sz w:val="20"/>
          <w:lang w:val="de-DE"/>
        </w:rPr>
        <w:t>4.</w:t>
      </w:r>
      <w:r w:rsidRPr="00F6410F">
        <w:rPr>
          <w:sz w:val="20"/>
          <w:lang w:val="de-DE"/>
        </w:rPr>
        <w:tab/>
        <w:t>Die Unterarbeitsgruppe stellte fest, dass der Hinweis auf die nicht aktualisierten Normenzitate zutreffend ist. Darüber hinaus stellte sich heraus, dass es inzwischen eine noch aktuellere Fassung der Norm aus dem Jahr 2017 gibt. Deshalb wird vorgeschlagen, die Normenzitate in der Tabelle A und in der Tabelle C für UN 1202 anzupassen.</w:t>
      </w:r>
    </w:p>
    <w:p w:rsidR="00F6410F" w:rsidRPr="00F6410F" w:rsidRDefault="00F6410F" w:rsidP="00F6410F">
      <w:pPr>
        <w:spacing w:after="0"/>
        <w:ind w:right="566"/>
        <w:jc w:val="both"/>
        <w:rPr>
          <w:sz w:val="20"/>
          <w:lang w:val="de-DE"/>
        </w:rPr>
      </w:pPr>
    </w:p>
    <w:p w:rsidR="00F6410F" w:rsidRPr="00F6410F" w:rsidRDefault="00F6410F" w:rsidP="00F6410F">
      <w:pPr>
        <w:spacing w:after="0"/>
        <w:ind w:right="566"/>
        <w:jc w:val="both"/>
        <w:rPr>
          <w:sz w:val="20"/>
          <w:lang w:val="de-DE"/>
        </w:rPr>
      </w:pPr>
      <w:r w:rsidRPr="00F6410F">
        <w:rPr>
          <w:sz w:val="20"/>
          <w:lang w:val="de-DE"/>
        </w:rPr>
        <w:t>5.</w:t>
      </w:r>
      <w:r w:rsidRPr="00F6410F">
        <w:rPr>
          <w:sz w:val="20"/>
          <w:lang w:val="de-DE"/>
        </w:rPr>
        <w:tab/>
        <w:t>Die Unterarbeitsgruppe stellte auch klar, dass sich die Norm lediglich auf Dieselkraftstoff bezieht. Dies wird für die anderen Stoffe durch die Formulierung „mit einem Flammpunkt gemäß der Norm …“ verdeutlicht.</w:t>
      </w:r>
    </w:p>
    <w:p w:rsidR="00F6410F" w:rsidRPr="00F6410F" w:rsidRDefault="00F6410F" w:rsidP="00F6410F">
      <w:pPr>
        <w:spacing w:after="0"/>
        <w:ind w:right="566"/>
        <w:jc w:val="both"/>
        <w:rPr>
          <w:sz w:val="20"/>
          <w:lang w:val="de-DE"/>
        </w:rPr>
      </w:pPr>
    </w:p>
    <w:p w:rsidR="00F6410F" w:rsidRPr="00F6410F" w:rsidRDefault="00F6410F" w:rsidP="00F6410F">
      <w:pPr>
        <w:spacing w:after="0"/>
        <w:ind w:right="566"/>
        <w:jc w:val="both"/>
        <w:rPr>
          <w:sz w:val="20"/>
          <w:lang w:val="de-DE"/>
        </w:rPr>
      </w:pPr>
      <w:r w:rsidRPr="00F6410F">
        <w:rPr>
          <w:sz w:val="20"/>
          <w:lang w:val="de-DE"/>
        </w:rPr>
        <w:t>6.</w:t>
      </w:r>
      <w:r w:rsidRPr="00F6410F">
        <w:rPr>
          <w:sz w:val="20"/>
          <w:lang w:val="de-DE"/>
        </w:rPr>
        <w:tab/>
        <w:t>Aufgrund der Tatsache, dass den Vorschriften des ADN folgend bei Benennungen die Angaben von alternativen Benennungen in Klammern erfolgt, es sich aber bei „leicht“ in der Benennung von leichtem Heizöl um eine Ergänzung handelt, ist die Unterarbeitsgruppe der Meinung, dass die korrekte Benennung „HEIZÖL, LEICHT“ ist.</w:t>
      </w:r>
    </w:p>
    <w:p w:rsidR="00F6410F" w:rsidRPr="00F6410F" w:rsidRDefault="00F6410F" w:rsidP="00F6410F">
      <w:pPr>
        <w:spacing w:after="0"/>
        <w:ind w:right="566"/>
        <w:jc w:val="both"/>
        <w:rPr>
          <w:sz w:val="20"/>
          <w:lang w:val="de-DE"/>
        </w:rPr>
      </w:pPr>
    </w:p>
    <w:p w:rsidR="00F6410F" w:rsidRPr="00F6410F" w:rsidRDefault="00F6410F" w:rsidP="00F6410F">
      <w:pPr>
        <w:spacing w:after="0"/>
        <w:ind w:right="566"/>
        <w:jc w:val="both"/>
        <w:rPr>
          <w:b/>
          <w:sz w:val="20"/>
          <w:lang w:val="de-DE"/>
        </w:rPr>
      </w:pPr>
      <w:r w:rsidRPr="00F6410F">
        <w:rPr>
          <w:b/>
          <w:sz w:val="20"/>
          <w:lang w:val="de-DE"/>
        </w:rPr>
        <w:t>Vorschläge:</w:t>
      </w:r>
    </w:p>
    <w:p w:rsidR="00F6410F" w:rsidRPr="00F6410F" w:rsidRDefault="00F6410F" w:rsidP="00F6410F">
      <w:pPr>
        <w:spacing w:after="0"/>
        <w:ind w:right="566"/>
        <w:jc w:val="both"/>
        <w:rPr>
          <w:sz w:val="20"/>
          <w:lang w:val="de-DE"/>
        </w:rPr>
      </w:pPr>
    </w:p>
    <w:p w:rsidR="00F6410F" w:rsidRPr="00F6410F" w:rsidRDefault="00E04161" w:rsidP="00F6410F">
      <w:pPr>
        <w:spacing w:after="0"/>
        <w:ind w:right="566"/>
        <w:jc w:val="both"/>
        <w:rPr>
          <w:sz w:val="20"/>
          <w:lang w:val="de-DE"/>
        </w:rPr>
      </w:pPr>
      <w:r>
        <w:rPr>
          <w:sz w:val="20"/>
          <w:lang w:val="de-DE"/>
        </w:rPr>
        <w:t>7</w:t>
      </w:r>
      <w:r w:rsidR="00F6410F" w:rsidRPr="00F6410F">
        <w:rPr>
          <w:sz w:val="20"/>
          <w:lang w:val="de-DE"/>
        </w:rPr>
        <w:t>.</w:t>
      </w:r>
      <w:r w:rsidR="00F6410F" w:rsidRPr="00F6410F">
        <w:rPr>
          <w:sz w:val="20"/>
          <w:lang w:val="de-DE"/>
        </w:rPr>
        <w:tab/>
        <w:t>In Tabelle A bei UN 1202 „EN 590:2013 + AC:2014“ ersetzen durch „EN 590:2013 + AC:2017“ und in Tabelle C bei UN 1202 „EN 590:2013 + AC:2010“ ersetzen durch „EN 590:2013 + AC:2017“.</w:t>
      </w:r>
    </w:p>
    <w:p w:rsidR="00F6410F" w:rsidRPr="00F6410F" w:rsidRDefault="00F6410F" w:rsidP="00F6410F">
      <w:pPr>
        <w:spacing w:after="0"/>
        <w:ind w:right="566"/>
        <w:jc w:val="both"/>
        <w:rPr>
          <w:sz w:val="20"/>
          <w:lang w:val="de-DE"/>
        </w:rPr>
      </w:pPr>
    </w:p>
    <w:p w:rsidR="00F6410F" w:rsidRPr="00F6410F" w:rsidRDefault="00E04161" w:rsidP="00F6410F">
      <w:pPr>
        <w:spacing w:after="0"/>
        <w:ind w:right="566"/>
        <w:jc w:val="both"/>
        <w:rPr>
          <w:sz w:val="20"/>
          <w:lang w:val="de-DE"/>
        </w:rPr>
      </w:pPr>
      <w:r>
        <w:rPr>
          <w:sz w:val="20"/>
          <w:lang w:val="de-DE"/>
        </w:rPr>
        <w:t>8</w:t>
      </w:r>
      <w:r w:rsidR="00F6410F" w:rsidRPr="00F6410F">
        <w:rPr>
          <w:sz w:val="20"/>
          <w:lang w:val="de-DE"/>
        </w:rPr>
        <w:t>.</w:t>
      </w:r>
      <w:r w:rsidR="00F6410F" w:rsidRPr="00F6410F">
        <w:rPr>
          <w:sz w:val="20"/>
          <w:lang w:val="de-DE"/>
        </w:rPr>
        <w:tab/>
        <w:t>In der Tabelle C der englischen und der französischen Fassung „HEIZÖL (LEICHT)“ ersetzen durch „HEIZÖL, LEICHT“.</w:t>
      </w:r>
    </w:p>
    <w:p w:rsidR="00F6410F" w:rsidRPr="00F6410F" w:rsidRDefault="00F6410F" w:rsidP="00F6410F">
      <w:pPr>
        <w:spacing w:after="0"/>
        <w:ind w:right="566"/>
        <w:jc w:val="both"/>
        <w:rPr>
          <w:sz w:val="20"/>
          <w:lang w:val="de-DE"/>
        </w:rPr>
      </w:pPr>
    </w:p>
    <w:p w:rsidR="00F6410F" w:rsidRPr="00F6410F" w:rsidRDefault="00E04161" w:rsidP="00F6410F">
      <w:pPr>
        <w:spacing w:after="0"/>
        <w:ind w:right="566"/>
        <w:jc w:val="both"/>
        <w:rPr>
          <w:sz w:val="20"/>
          <w:lang w:val="de-DE"/>
        </w:rPr>
      </w:pPr>
      <w:r>
        <w:rPr>
          <w:sz w:val="20"/>
          <w:lang w:val="de-DE"/>
        </w:rPr>
        <w:t>9</w:t>
      </w:r>
      <w:r w:rsidR="00F6410F" w:rsidRPr="00F6410F">
        <w:rPr>
          <w:sz w:val="20"/>
          <w:lang w:val="de-DE"/>
        </w:rPr>
        <w:t>.</w:t>
      </w:r>
      <w:r w:rsidR="00F6410F" w:rsidRPr="00F6410F">
        <w:rPr>
          <w:sz w:val="20"/>
          <w:lang w:val="de-DE"/>
        </w:rPr>
        <w:tab/>
        <w:t>Außerdem empfiehlt die Unterarbeitsgruppe, in Tabelle C der englischen und der russischen Fassung des ADN die Sortierung in den Benennungen für UN 1202 an die französische bzw. deutsche Fassung anzupassen.</w:t>
      </w:r>
    </w:p>
    <w:p w:rsidR="00F6410F" w:rsidRPr="00F6410F" w:rsidRDefault="00F6410F" w:rsidP="00F6410F">
      <w:pPr>
        <w:spacing w:after="0"/>
        <w:ind w:right="566"/>
        <w:jc w:val="both"/>
        <w:rPr>
          <w:sz w:val="20"/>
          <w:lang w:val="de-DE"/>
        </w:rPr>
      </w:pPr>
    </w:p>
    <w:p w:rsidR="00F6410F" w:rsidRPr="00F6410F" w:rsidRDefault="00F6410F" w:rsidP="00F6410F">
      <w:pPr>
        <w:spacing w:after="0"/>
        <w:ind w:right="566"/>
        <w:jc w:val="both"/>
        <w:rPr>
          <w:sz w:val="20"/>
          <w:lang w:val="de-DE"/>
        </w:rPr>
      </w:pPr>
    </w:p>
    <w:p w:rsidR="00F6410F" w:rsidRPr="00163137" w:rsidRDefault="00591C91" w:rsidP="00F6410F">
      <w:pPr>
        <w:spacing w:after="0"/>
        <w:ind w:right="566"/>
        <w:jc w:val="both"/>
        <w:rPr>
          <w:b/>
          <w:szCs w:val="24"/>
          <w:lang w:val="de-DE"/>
        </w:rPr>
      </w:pPr>
      <w:r w:rsidRPr="00163137">
        <w:rPr>
          <w:b/>
          <w:szCs w:val="24"/>
          <w:lang w:val="de-DE"/>
        </w:rPr>
        <w:t>B</w:t>
      </w:r>
      <w:r w:rsidR="00F6410F" w:rsidRPr="00163137">
        <w:rPr>
          <w:b/>
          <w:szCs w:val="24"/>
          <w:lang w:val="de-DE"/>
        </w:rPr>
        <w:t>.</w:t>
      </w:r>
      <w:r w:rsidR="00F6410F" w:rsidRPr="00163137">
        <w:rPr>
          <w:b/>
          <w:szCs w:val="24"/>
          <w:lang w:val="de-DE"/>
        </w:rPr>
        <w:tab/>
        <w:t>Begriffsbestimmung UN-Nummer 1203</w:t>
      </w:r>
    </w:p>
    <w:p w:rsidR="00F6410F" w:rsidRPr="00163137" w:rsidRDefault="00F6410F" w:rsidP="00F6410F">
      <w:pPr>
        <w:spacing w:after="0"/>
        <w:ind w:right="566"/>
        <w:jc w:val="both"/>
        <w:rPr>
          <w:szCs w:val="24"/>
          <w:lang w:val="de-DE"/>
        </w:rPr>
      </w:pPr>
    </w:p>
    <w:p w:rsidR="00F6410F" w:rsidRPr="00F6410F" w:rsidRDefault="00E04161" w:rsidP="00F6410F">
      <w:pPr>
        <w:spacing w:after="0"/>
        <w:ind w:right="566"/>
        <w:jc w:val="both"/>
        <w:rPr>
          <w:sz w:val="20"/>
          <w:lang w:val="de-DE"/>
        </w:rPr>
      </w:pPr>
      <w:r>
        <w:rPr>
          <w:sz w:val="20"/>
          <w:lang w:val="de-DE"/>
        </w:rPr>
        <w:t>10</w:t>
      </w:r>
      <w:r w:rsidR="00F6410F" w:rsidRPr="00F6410F">
        <w:rPr>
          <w:sz w:val="20"/>
          <w:lang w:val="de-DE"/>
        </w:rPr>
        <w:t>.</w:t>
      </w:r>
      <w:r w:rsidR="00F6410F" w:rsidRPr="00F6410F">
        <w:rPr>
          <w:sz w:val="20"/>
          <w:lang w:val="de-DE"/>
        </w:rPr>
        <w:tab/>
        <w:t>Die Unterarbeitsgruppe ist der Auffassung, dass schon durch die Verknüpfung mit „oder“ in der Benennung zum Ausdruck kommt, dass es sich bei „BENZIN“ und „OTTOKRAFTSTOFF“ um verschieden Stoffe handelt. Diese Aussage wird auch durch die Tatsache gestützt, dass in der englischen und in der französischen Sprachfassung für Benzin in der Norm andere Begriffe verwendet werden als im ADN. „OTTOKRAFTSTOFF“ gemäß der EN-Norm ist also als eine Teilmenge von Benzin zu betrachten und somit ist nach Meinung der Unterarbeitsgruppe keine Vorschriftenänderung erforderlich. Ergänzend wird darauf hingewiesen, dass die im belgischen Dokument in der damals aktuellen Fassung von 2014 zitierte Norm inzwischen durch eine Fassung mit Stand von August 2017 ersetzt worden ist.</w:t>
      </w:r>
    </w:p>
    <w:p w:rsidR="00F6410F" w:rsidRPr="00F6410F" w:rsidRDefault="00F6410F" w:rsidP="00F6410F">
      <w:pPr>
        <w:spacing w:after="0"/>
        <w:ind w:right="566"/>
        <w:jc w:val="both"/>
        <w:rPr>
          <w:sz w:val="20"/>
          <w:lang w:val="de-DE"/>
        </w:rPr>
      </w:pPr>
    </w:p>
    <w:p w:rsidR="00F6410F" w:rsidRPr="00F6410F" w:rsidRDefault="00F6410F" w:rsidP="00F6410F">
      <w:pPr>
        <w:spacing w:after="0"/>
        <w:ind w:right="566"/>
        <w:jc w:val="both"/>
        <w:rPr>
          <w:sz w:val="20"/>
          <w:lang w:val="de-DE"/>
        </w:rPr>
      </w:pPr>
    </w:p>
    <w:p w:rsidR="00F6410F" w:rsidRPr="00163137" w:rsidRDefault="00591C91" w:rsidP="00F6410F">
      <w:pPr>
        <w:spacing w:after="0"/>
        <w:ind w:right="566"/>
        <w:jc w:val="both"/>
        <w:rPr>
          <w:b/>
          <w:szCs w:val="24"/>
          <w:lang w:val="de-DE"/>
        </w:rPr>
      </w:pPr>
      <w:r w:rsidRPr="00163137">
        <w:rPr>
          <w:b/>
          <w:szCs w:val="24"/>
          <w:lang w:val="de-DE"/>
        </w:rPr>
        <w:t>C</w:t>
      </w:r>
      <w:r w:rsidR="00F6410F" w:rsidRPr="00163137">
        <w:rPr>
          <w:b/>
          <w:szCs w:val="24"/>
          <w:lang w:val="de-DE"/>
        </w:rPr>
        <w:t>.</w:t>
      </w:r>
      <w:r w:rsidR="00F6410F" w:rsidRPr="00163137">
        <w:rPr>
          <w:b/>
          <w:szCs w:val="24"/>
          <w:lang w:val="de-DE"/>
        </w:rPr>
        <w:tab/>
        <w:t>Siedepunkt versus Siedebeginn</w:t>
      </w:r>
    </w:p>
    <w:p w:rsidR="00F6410F" w:rsidRPr="00F6410F" w:rsidRDefault="00F6410F" w:rsidP="00F6410F">
      <w:pPr>
        <w:spacing w:after="0"/>
        <w:ind w:right="566"/>
        <w:jc w:val="both"/>
        <w:rPr>
          <w:sz w:val="20"/>
          <w:lang w:val="de-DE"/>
        </w:rPr>
      </w:pPr>
    </w:p>
    <w:p w:rsidR="00F6410F" w:rsidRPr="00F6410F" w:rsidRDefault="00E04161" w:rsidP="00F6410F">
      <w:pPr>
        <w:spacing w:after="0"/>
        <w:ind w:right="566"/>
        <w:jc w:val="both"/>
        <w:rPr>
          <w:sz w:val="20"/>
          <w:lang w:val="de-DE"/>
        </w:rPr>
      </w:pPr>
      <w:r>
        <w:rPr>
          <w:sz w:val="20"/>
          <w:lang w:val="de-DE"/>
        </w:rPr>
        <w:t>11</w:t>
      </w:r>
      <w:r w:rsidR="00F6410F" w:rsidRPr="00F6410F">
        <w:rPr>
          <w:sz w:val="20"/>
          <w:lang w:val="de-DE"/>
        </w:rPr>
        <w:t>.</w:t>
      </w:r>
      <w:r w:rsidR="00F6410F" w:rsidRPr="00F6410F">
        <w:rPr>
          <w:sz w:val="20"/>
          <w:lang w:val="de-DE"/>
        </w:rPr>
        <w:tab/>
        <w:t>Der Sicherheitsausschuss hat sich bereits im Jahr 2013 mit dieser Problematik befasst. Damals lag ein Vorschlag vor, im ADN den Begriff „Siedepunkt“ generell durch den heute gebräuchlicheren Begriff „Siedebeginn“ zu ersetzen. Da man festgestellt hat, dass von diesen Änderungen auch aus dem ADR bzw. aus den UN-Modellvorschriften stammende Texte betroffen sind, wurde diese Frage an die Gemeinsame Tagung und im Weiteren an das UN-Subcommittee TDG weitergeleitet. Im UN-Subcommittee wurde entschieden, dass beide Begriffe verwendet werden sollten und zwar „Siedepunkt“ für reine Stoffe und „Siedebeginn“ für Gemische. Im Ergebnis wurde der Vorschlag für das ADN nicht weiter verfolgt.</w:t>
      </w:r>
    </w:p>
    <w:p w:rsidR="00F6410F" w:rsidRPr="00F6410F" w:rsidRDefault="00F6410F" w:rsidP="00F6410F">
      <w:pPr>
        <w:spacing w:after="0"/>
        <w:ind w:right="566"/>
        <w:jc w:val="both"/>
        <w:rPr>
          <w:sz w:val="20"/>
          <w:lang w:val="de-DE"/>
        </w:rPr>
      </w:pPr>
    </w:p>
    <w:p w:rsidR="00F6410F" w:rsidRPr="00F6410F" w:rsidRDefault="00F6410F" w:rsidP="00F842E0">
      <w:pPr>
        <w:tabs>
          <w:tab w:val="left" w:pos="567"/>
        </w:tabs>
        <w:spacing w:after="0"/>
        <w:ind w:right="566"/>
        <w:jc w:val="both"/>
        <w:rPr>
          <w:sz w:val="20"/>
          <w:lang w:val="de-DE"/>
        </w:rPr>
      </w:pPr>
      <w:r w:rsidRPr="00F6410F">
        <w:rPr>
          <w:sz w:val="20"/>
          <w:lang w:val="de-DE"/>
        </w:rPr>
        <w:lastRenderedPageBreak/>
        <w:t>1</w:t>
      </w:r>
      <w:r w:rsidR="00E04161">
        <w:rPr>
          <w:sz w:val="20"/>
          <w:lang w:val="de-DE"/>
        </w:rPr>
        <w:t>2</w:t>
      </w:r>
      <w:r w:rsidRPr="00F6410F">
        <w:rPr>
          <w:sz w:val="20"/>
          <w:lang w:val="de-DE"/>
        </w:rPr>
        <w:t>.</w:t>
      </w:r>
      <w:r w:rsidRPr="00F6410F">
        <w:rPr>
          <w:sz w:val="20"/>
          <w:lang w:val="de-DE"/>
        </w:rPr>
        <w:tab/>
        <w:t>Die Unterarbeitsgruppe kann den von Belgien im Dokument CCNR-ZKR/ADN/WP.15/AC.2/2017/41 unterbreiteten Vorschlägen, in der Tabelle C und im Schema A in Unterabschnitt 3.2.3.3 „Siedepunkt“ durch „Siedebeginn“ zu ersetzen, zustimmen. Allerdings sollte diese Änderung auch für die UN-Nummer 1268 vorgenommen werden.</w:t>
      </w:r>
    </w:p>
    <w:p w:rsidR="00F6410F" w:rsidRPr="00F6410F" w:rsidRDefault="00F6410F" w:rsidP="00F6410F">
      <w:pPr>
        <w:spacing w:after="0"/>
        <w:ind w:right="566"/>
        <w:jc w:val="both"/>
        <w:rPr>
          <w:sz w:val="20"/>
          <w:lang w:val="de-DE"/>
        </w:rPr>
      </w:pPr>
    </w:p>
    <w:p w:rsidR="00F6410F" w:rsidRPr="00F6410F" w:rsidRDefault="00F6410F" w:rsidP="00F6410F">
      <w:pPr>
        <w:spacing w:after="0"/>
        <w:ind w:right="566"/>
        <w:jc w:val="both"/>
        <w:rPr>
          <w:sz w:val="20"/>
          <w:lang w:val="de-DE"/>
        </w:rPr>
      </w:pPr>
      <w:r w:rsidRPr="00F6410F">
        <w:rPr>
          <w:sz w:val="20"/>
          <w:lang w:val="de-DE"/>
        </w:rPr>
        <w:t>1</w:t>
      </w:r>
      <w:r w:rsidR="00E04161">
        <w:rPr>
          <w:sz w:val="20"/>
          <w:lang w:val="de-DE"/>
        </w:rPr>
        <w:t>3</w:t>
      </w:r>
      <w:r w:rsidRPr="00F6410F">
        <w:rPr>
          <w:sz w:val="20"/>
          <w:lang w:val="de-DE"/>
        </w:rPr>
        <w:t>.</w:t>
      </w:r>
      <w:r w:rsidRPr="00F6410F">
        <w:rPr>
          <w:sz w:val="20"/>
          <w:lang w:val="de-DE"/>
        </w:rPr>
        <w:tab/>
        <w:t>Bei der Diskussion zu dieser Fragestellung wurde festgestellt, dass die in 3.1.2.8.1.4 aufgeführten Beispiele in dieser Form nicht mehr zutreffend sind. Es wird deshalb vorgeschlagen, die Beispiele durch neue Fassungen zu ersetzen.</w:t>
      </w:r>
    </w:p>
    <w:p w:rsidR="00F6410F" w:rsidRPr="00F6410F" w:rsidRDefault="00F6410F" w:rsidP="00F6410F">
      <w:pPr>
        <w:spacing w:after="0"/>
        <w:ind w:right="566"/>
        <w:jc w:val="both"/>
        <w:rPr>
          <w:sz w:val="20"/>
          <w:lang w:val="de-DE"/>
        </w:rPr>
      </w:pPr>
    </w:p>
    <w:p w:rsidR="00F6410F" w:rsidRPr="00F6410F" w:rsidRDefault="00F6410F" w:rsidP="00F6410F">
      <w:pPr>
        <w:spacing w:after="0"/>
        <w:ind w:right="566"/>
        <w:jc w:val="both"/>
        <w:rPr>
          <w:b/>
          <w:sz w:val="20"/>
          <w:lang w:val="de-DE"/>
        </w:rPr>
      </w:pPr>
      <w:r w:rsidRPr="00F6410F">
        <w:rPr>
          <w:b/>
          <w:sz w:val="20"/>
          <w:lang w:val="de-DE"/>
        </w:rPr>
        <w:t>Vorschlag:</w:t>
      </w:r>
    </w:p>
    <w:p w:rsidR="00F6410F" w:rsidRPr="00F6410F" w:rsidRDefault="00F6410F" w:rsidP="00F6410F">
      <w:pPr>
        <w:spacing w:after="0"/>
        <w:ind w:right="566"/>
        <w:jc w:val="both"/>
        <w:rPr>
          <w:sz w:val="20"/>
          <w:lang w:val="de-DE"/>
        </w:rPr>
      </w:pPr>
    </w:p>
    <w:p w:rsidR="00F6410F" w:rsidRPr="00F6410F" w:rsidRDefault="00F6410F" w:rsidP="00F842E0">
      <w:pPr>
        <w:tabs>
          <w:tab w:val="left" w:pos="567"/>
        </w:tabs>
        <w:spacing w:after="0"/>
        <w:ind w:right="566"/>
        <w:jc w:val="both"/>
        <w:rPr>
          <w:sz w:val="20"/>
          <w:lang w:val="de-DE"/>
        </w:rPr>
      </w:pPr>
      <w:r w:rsidRPr="00F6410F">
        <w:rPr>
          <w:sz w:val="20"/>
          <w:lang w:val="de-DE"/>
        </w:rPr>
        <w:t>1</w:t>
      </w:r>
      <w:r w:rsidR="00E04161">
        <w:rPr>
          <w:sz w:val="20"/>
          <w:lang w:val="de-DE"/>
        </w:rPr>
        <w:t>4</w:t>
      </w:r>
      <w:r w:rsidRPr="00F6410F">
        <w:rPr>
          <w:sz w:val="20"/>
          <w:lang w:val="de-DE"/>
        </w:rPr>
        <w:t>.</w:t>
      </w:r>
      <w:r w:rsidRPr="00F6410F">
        <w:rPr>
          <w:sz w:val="20"/>
          <w:lang w:val="de-DE"/>
        </w:rPr>
        <w:tab/>
        <w:t>Die Beispiele am Ende von 3.1.2.8.1.4</w:t>
      </w:r>
    </w:p>
    <w:p w:rsidR="00F6410F" w:rsidRPr="00F6410F" w:rsidRDefault="00F6410F" w:rsidP="00F6410F">
      <w:pPr>
        <w:spacing w:after="0"/>
        <w:ind w:right="566"/>
        <w:jc w:val="both"/>
        <w:rPr>
          <w:sz w:val="20"/>
          <w:lang w:val="de-DE"/>
        </w:rPr>
      </w:pPr>
    </w:p>
    <w:p w:rsidR="00F6410F" w:rsidRPr="00F6410F" w:rsidRDefault="00F6410F" w:rsidP="00F6410F">
      <w:pPr>
        <w:spacing w:after="0"/>
        <w:ind w:right="566"/>
        <w:jc w:val="both"/>
        <w:rPr>
          <w:sz w:val="20"/>
          <w:lang w:val="de-DE"/>
        </w:rPr>
      </w:pPr>
      <w:r w:rsidRPr="00F6410F">
        <w:rPr>
          <w:sz w:val="20"/>
          <w:lang w:val="de-DE"/>
        </w:rPr>
        <w:t xml:space="preserve">„UN 1268 ERDÖLDESTILLATE, N.A.G., 110 kPa &lt; pD50 </w:t>
      </w:r>
      <w:r w:rsidRPr="00F6410F">
        <w:rPr>
          <w:sz w:val="20"/>
          <w:lang w:val="de-DE"/>
        </w:rPr>
        <w:fldChar w:fldCharType="begin"/>
      </w:r>
      <w:r w:rsidRPr="00F6410F">
        <w:rPr>
          <w:sz w:val="20"/>
          <w:lang w:val="de-DE"/>
        </w:rPr>
        <w:instrText>SYMBOL 163 \f "Symbol" \s 10</w:instrText>
      </w:r>
      <w:r w:rsidRPr="00F6410F">
        <w:rPr>
          <w:sz w:val="20"/>
          <w:lang w:val="de-DE"/>
        </w:rPr>
        <w:fldChar w:fldCharType="separate"/>
      </w:r>
      <w:r w:rsidRPr="00F6410F">
        <w:rPr>
          <w:sz w:val="20"/>
          <w:lang w:val="de-DE"/>
        </w:rPr>
        <w:t>£</w:t>
      </w:r>
      <w:r w:rsidRPr="00F6410F">
        <w:rPr>
          <w:sz w:val="20"/>
          <w:lang w:val="de-DE"/>
        </w:rPr>
        <w:fldChar w:fldCharType="end"/>
      </w:r>
      <w:r w:rsidRPr="00F6410F">
        <w:rPr>
          <w:sz w:val="20"/>
          <w:lang w:val="de-DE"/>
        </w:rPr>
        <w:t xml:space="preserve"> 150 kPa;</w:t>
      </w:r>
    </w:p>
    <w:p w:rsidR="00F6410F" w:rsidRPr="00F6410F" w:rsidRDefault="00F6410F" w:rsidP="00F6410F">
      <w:pPr>
        <w:spacing w:after="0"/>
        <w:ind w:right="566"/>
        <w:jc w:val="both"/>
        <w:rPr>
          <w:sz w:val="20"/>
          <w:lang w:val="de-DE"/>
        </w:rPr>
      </w:pPr>
      <w:r w:rsidRPr="00F6410F">
        <w:rPr>
          <w:sz w:val="20"/>
          <w:lang w:val="de-DE"/>
        </w:rPr>
        <w:t xml:space="preserve">UN 1993 ENTZÜNDBARER FLÜSSIGER STOFF, N.A.G., (ACETON, MIT MEHR ALS 10 % BENZEN) pD50 </w:t>
      </w:r>
      <w:r w:rsidRPr="00F6410F">
        <w:rPr>
          <w:sz w:val="20"/>
          <w:lang w:val="de-DE"/>
        </w:rPr>
        <w:fldChar w:fldCharType="begin"/>
      </w:r>
      <w:r w:rsidRPr="00F6410F">
        <w:rPr>
          <w:sz w:val="20"/>
          <w:lang w:val="de-DE"/>
        </w:rPr>
        <w:instrText>SYMBOL 163 \f "Symbol" \s 10</w:instrText>
      </w:r>
      <w:r w:rsidRPr="00F6410F">
        <w:rPr>
          <w:sz w:val="20"/>
          <w:lang w:val="de-DE"/>
        </w:rPr>
        <w:fldChar w:fldCharType="separate"/>
      </w:r>
      <w:r w:rsidRPr="00F6410F">
        <w:rPr>
          <w:sz w:val="20"/>
          <w:lang w:val="de-DE"/>
        </w:rPr>
        <w:t>£</w:t>
      </w:r>
      <w:r w:rsidRPr="00F6410F">
        <w:rPr>
          <w:sz w:val="20"/>
          <w:lang w:val="de-DE"/>
        </w:rPr>
        <w:fldChar w:fldCharType="end"/>
      </w:r>
      <w:r w:rsidRPr="00F6410F">
        <w:rPr>
          <w:sz w:val="20"/>
          <w:lang w:val="de-DE"/>
        </w:rPr>
        <w:t xml:space="preserve"> 110 kPa, 85 °C &lt; SIEDEPUNKT </w:t>
      </w:r>
      <w:r w:rsidRPr="00F6410F">
        <w:rPr>
          <w:sz w:val="20"/>
          <w:lang w:val="de-DE"/>
        </w:rPr>
        <w:fldChar w:fldCharType="begin"/>
      </w:r>
      <w:r w:rsidRPr="00F6410F">
        <w:rPr>
          <w:sz w:val="20"/>
          <w:lang w:val="de-DE"/>
        </w:rPr>
        <w:instrText>SYMBOL 163 \f "Symbol" \s 10</w:instrText>
      </w:r>
      <w:r w:rsidRPr="00F6410F">
        <w:rPr>
          <w:sz w:val="20"/>
          <w:lang w:val="de-DE"/>
        </w:rPr>
        <w:fldChar w:fldCharType="separate"/>
      </w:r>
      <w:r w:rsidRPr="00F6410F">
        <w:rPr>
          <w:sz w:val="20"/>
          <w:lang w:val="de-DE"/>
        </w:rPr>
        <w:t>£</w:t>
      </w:r>
      <w:r w:rsidRPr="00F6410F">
        <w:rPr>
          <w:sz w:val="20"/>
          <w:lang w:val="de-DE"/>
        </w:rPr>
        <w:fldChar w:fldCharType="end"/>
      </w:r>
      <w:r w:rsidRPr="00F6410F">
        <w:rPr>
          <w:sz w:val="20"/>
          <w:lang w:val="de-DE"/>
        </w:rPr>
        <w:t xml:space="preserve"> 115 °C.“</w:t>
      </w:r>
    </w:p>
    <w:p w:rsidR="00F6410F" w:rsidRPr="00F6410F" w:rsidRDefault="00F6410F" w:rsidP="00F6410F">
      <w:pPr>
        <w:spacing w:before="60" w:after="60"/>
        <w:ind w:right="566"/>
        <w:jc w:val="both"/>
        <w:rPr>
          <w:sz w:val="20"/>
          <w:lang w:val="de-DE"/>
        </w:rPr>
      </w:pPr>
      <w:r w:rsidRPr="00F6410F">
        <w:rPr>
          <w:sz w:val="20"/>
          <w:lang w:val="de-DE"/>
        </w:rPr>
        <w:t>ersetzen durch:</w:t>
      </w:r>
    </w:p>
    <w:p w:rsidR="00F6410F" w:rsidRPr="00F6410F" w:rsidRDefault="00F6410F" w:rsidP="00F6410F">
      <w:pPr>
        <w:spacing w:after="0"/>
        <w:ind w:right="566"/>
        <w:jc w:val="both"/>
        <w:rPr>
          <w:sz w:val="20"/>
          <w:lang w:val="de-DE"/>
        </w:rPr>
      </w:pPr>
      <w:r w:rsidRPr="00F6410F">
        <w:rPr>
          <w:sz w:val="20"/>
          <w:lang w:val="de-DE"/>
        </w:rPr>
        <w:t xml:space="preserve">„UN 1268 ERDÖLPRODUKTE, N.A.G. (NAPHTA), 110 kPa &lt; pD50 </w:t>
      </w:r>
      <w:r w:rsidRPr="00F6410F">
        <w:rPr>
          <w:sz w:val="20"/>
          <w:lang w:val="de-DE"/>
        </w:rPr>
        <w:fldChar w:fldCharType="begin"/>
      </w:r>
      <w:r w:rsidRPr="00F6410F">
        <w:rPr>
          <w:sz w:val="20"/>
          <w:lang w:val="de-DE"/>
        </w:rPr>
        <w:instrText>SYMBOL 163 \f "Symbol" \s 10</w:instrText>
      </w:r>
      <w:r w:rsidRPr="00F6410F">
        <w:rPr>
          <w:sz w:val="20"/>
          <w:lang w:val="de-DE"/>
        </w:rPr>
        <w:fldChar w:fldCharType="separate"/>
      </w:r>
      <w:r w:rsidRPr="00F6410F">
        <w:rPr>
          <w:sz w:val="20"/>
          <w:lang w:val="de-DE"/>
        </w:rPr>
        <w:t>£</w:t>
      </w:r>
      <w:r w:rsidRPr="00F6410F">
        <w:rPr>
          <w:sz w:val="20"/>
          <w:lang w:val="de-DE"/>
        </w:rPr>
        <w:fldChar w:fldCharType="end"/>
      </w:r>
      <w:r w:rsidRPr="00F6410F">
        <w:rPr>
          <w:sz w:val="20"/>
          <w:lang w:val="de-DE"/>
        </w:rPr>
        <w:t xml:space="preserve"> 150 kPa;</w:t>
      </w:r>
    </w:p>
    <w:p w:rsidR="00F6410F" w:rsidRPr="00F6410F" w:rsidRDefault="00F6410F" w:rsidP="00F6410F">
      <w:pPr>
        <w:spacing w:after="0"/>
        <w:ind w:right="566"/>
        <w:jc w:val="both"/>
        <w:rPr>
          <w:sz w:val="20"/>
          <w:lang w:val="de-DE"/>
        </w:rPr>
      </w:pPr>
      <w:r w:rsidRPr="00F6410F">
        <w:rPr>
          <w:sz w:val="20"/>
          <w:lang w:val="de-DE"/>
        </w:rPr>
        <w:t>UN 1993 ENTZÜNDBARER FLÜSSIGER STOFF, N.A.G., MIT MEHR ALS 10 % BENZEN, 60 °C &lt;</w:t>
      </w:r>
      <w:r w:rsidR="00342FEC">
        <w:rPr>
          <w:sz w:val="20"/>
          <w:lang w:val="de-DE"/>
        </w:rPr>
        <w:t> </w:t>
      </w:r>
      <w:r w:rsidRPr="00F6410F">
        <w:rPr>
          <w:sz w:val="20"/>
          <w:lang w:val="de-DE"/>
        </w:rPr>
        <w:t xml:space="preserve">SIEDEBEGINN </w:t>
      </w:r>
      <w:r w:rsidRPr="00F6410F">
        <w:rPr>
          <w:sz w:val="20"/>
          <w:lang w:val="de-DE"/>
        </w:rPr>
        <w:fldChar w:fldCharType="begin"/>
      </w:r>
      <w:r w:rsidRPr="00F6410F">
        <w:rPr>
          <w:sz w:val="20"/>
          <w:lang w:val="de-DE"/>
        </w:rPr>
        <w:instrText>SYMBOL 163 \f "Symbol" \s 10</w:instrText>
      </w:r>
      <w:r w:rsidRPr="00F6410F">
        <w:rPr>
          <w:sz w:val="20"/>
          <w:lang w:val="de-DE"/>
        </w:rPr>
        <w:fldChar w:fldCharType="separate"/>
      </w:r>
      <w:r w:rsidRPr="00F6410F">
        <w:rPr>
          <w:sz w:val="20"/>
          <w:lang w:val="de-DE"/>
        </w:rPr>
        <w:t>£</w:t>
      </w:r>
      <w:r w:rsidRPr="00F6410F">
        <w:rPr>
          <w:sz w:val="20"/>
          <w:lang w:val="de-DE"/>
        </w:rPr>
        <w:fldChar w:fldCharType="end"/>
      </w:r>
      <w:r w:rsidRPr="00F6410F">
        <w:rPr>
          <w:sz w:val="20"/>
          <w:lang w:val="de-DE"/>
        </w:rPr>
        <w:t xml:space="preserve"> 85 °C (ACETON).“.</w:t>
      </w:r>
    </w:p>
    <w:p w:rsidR="00F6410F" w:rsidRDefault="00F6410F" w:rsidP="00F6410F">
      <w:pPr>
        <w:spacing w:after="0"/>
        <w:ind w:right="566"/>
        <w:jc w:val="both"/>
        <w:rPr>
          <w:sz w:val="20"/>
          <w:lang w:val="de-DE"/>
        </w:rPr>
      </w:pPr>
    </w:p>
    <w:p w:rsidR="003F52EA" w:rsidRPr="00F6410F" w:rsidRDefault="003F52EA" w:rsidP="00F6410F">
      <w:pPr>
        <w:spacing w:after="0"/>
        <w:ind w:right="566"/>
        <w:jc w:val="both"/>
        <w:rPr>
          <w:sz w:val="20"/>
          <w:lang w:val="de-DE"/>
        </w:rPr>
      </w:pPr>
    </w:p>
    <w:p w:rsidR="00F6410F" w:rsidRPr="00163137" w:rsidRDefault="00591C91" w:rsidP="00F6410F">
      <w:pPr>
        <w:spacing w:after="0"/>
        <w:ind w:right="566"/>
        <w:jc w:val="both"/>
        <w:rPr>
          <w:b/>
          <w:szCs w:val="24"/>
          <w:lang w:val="de-DE"/>
        </w:rPr>
      </w:pPr>
      <w:r w:rsidRPr="00163137">
        <w:rPr>
          <w:b/>
          <w:szCs w:val="24"/>
          <w:lang w:val="de-DE"/>
        </w:rPr>
        <w:t>D</w:t>
      </w:r>
      <w:r w:rsidR="00F6410F" w:rsidRPr="00163137">
        <w:rPr>
          <w:b/>
          <w:szCs w:val="24"/>
          <w:lang w:val="de-DE"/>
        </w:rPr>
        <w:t>.</w:t>
      </w:r>
      <w:r w:rsidR="00F6410F" w:rsidRPr="00163137">
        <w:rPr>
          <w:b/>
          <w:szCs w:val="24"/>
          <w:lang w:val="de-DE"/>
        </w:rPr>
        <w:tab/>
        <w:t>UN-Nummer 1010</w:t>
      </w:r>
    </w:p>
    <w:p w:rsidR="00F6410F" w:rsidRPr="00F6410F" w:rsidRDefault="00F6410F" w:rsidP="00F6410F">
      <w:pPr>
        <w:spacing w:after="0"/>
        <w:ind w:right="566"/>
        <w:jc w:val="both"/>
        <w:rPr>
          <w:sz w:val="20"/>
          <w:lang w:val="de-DE"/>
        </w:rPr>
      </w:pPr>
    </w:p>
    <w:p w:rsidR="00F6410F" w:rsidRPr="00F6410F" w:rsidRDefault="00F6410F" w:rsidP="00F6410F">
      <w:pPr>
        <w:spacing w:after="0"/>
        <w:ind w:right="566"/>
        <w:jc w:val="both"/>
        <w:rPr>
          <w:sz w:val="20"/>
          <w:lang w:val="de-DE"/>
        </w:rPr>
      </w:pPr>
      <w:r w:rsidRPr="00F6410F">
        <w:rPr>
          <w:sz w:val="20"/>
          <w:lang w:val="de-DE"/>
        </w:rPr>
        <w:t>1</w:t>
      </w:r>
      <w:r w:rsidR="00E04161">
        <w:rPr>
          <w:sz w:val="20"/>
          <w:lang w:val="de-DE"/>
        </w:rPr>
        <w:t>5</w:t>
      </w:r>
      <w:r w:rsidRPr="00F6410F">
        <w:rPr>
          <w:sz w:val="20"/>
          <w:lang w:val="de-DE"/>
        </w:rPr>
        <w:t>.</w:t>
      </w:r>
      <w:r w:rsidRPr="00F6410F">
        <w:rPr>
          <w:sz w:val="20"/>
          <w:lang w:val="de-DE"/>
        </w:rPr>
        <w:tab/>
        <w:t>Nach Informationen aus der chemischen Industrie wird Buta-1,2-dien in größeren Mengen hergestellt und es gibt für diesen Stoff auch eine REACH-Registrierung. Die Grenze für den Gehalt von 0,1 % Buta-1,3-dien in Butadien-Gemischen entspricht dem Kriterium für die Zuordnung von CMR-Eigenschaften. Die Unterarbeitsgruppe ist der Meinung, dass eine Änderung der Vorschriften des ADN nicht notwendig ist.</w:t>
      </w:r>
    </w:p>
    <w:p w:rsidR="00F6410F" w:rsidRPr="00F6410F" w:rsidRDefault="00F6410F" w:rsidP="00F6410F">
      <w:pPr>
        <w:spacing w:after="0"/>
        <w:ind w:right="566"/>
        <w:jc w:val="both"/>
        <w:rPr>
          <w:sz w:val="20"/>
          <w:lang w:val="de-DE"/>
        </w:rPr>
      </w:pPr>
    </w:p>
    <w:p w:rsidR="00F6410F" w:rsidRPr="00F6410F" w:rsidRDefault="00F6410F" w:rsidP="00F6410F">
      <w:pPr>
        <w:spacing w:after="0"/>
        <w:ind w:right="566"/>
        <w:jc w:val="both"/>
        <w:rPr>
          <w:sz w:val="20"/>
          <w:lang w:val="de-DE"/>
        </w:rPr>
      </w:pPr>
    </w:p>
    <w:p w:rsidR="00F6410F" w:rsidRPr="00163137" w:rsidRDefault="00591C91" w:rsidP="00F6410F">
      <w:pPr>
        <w:spacing w:after="0"/>
        <w:ind w:right="566"/>
        <w:jc w:val="both"/>
        <w:rPr>
          <w:b/>
          <w:szCs w:val="24"/>
          <w:lang w:val="de-DE"/>
        </w:rPr>
      </w:pPr>
      <w:r w:rsidRPr="00163137">
        <w:rPr>
          <w:b/>
          <w:szCs w:val="24"/>
          <w:lang w:val="de-DE"/>
        </w:rPr>
        <w:t>E</w:t>
      </w:r>
      <w:r w:rsidR="00F6410F" w:rsidRPr="00163137">
        <w:rPr>
          <w:b/>
          <w:szCs w:val="24"/>
          <w:lang w:val="de-DE"/>
        </w:rPr>
        <w:t>.</w:t>
      </w:r>
      <w:r w:rsidR="00F6410F" w:rsidRPr="00163137">
        <w:rPr>
          <w:b/>
          <w:szCs w:val="24"/>
          <w:lang w:val="de-DE"/>
        </w:rPr>
        <w:tab/>
        <w:t>UN-Nummer 3295 CMR</w:t>
      </w:r>
    </w:p>
    <w:p w:rsidR="00F6410F" w:rsidRPr="00163137" w:rsidRDefault="00F6410F" w:rsidP="00F6410F">
      <w:pPr>
        <w:spacing w:after="0"/>
        <w:ind w:right="566"/>
        <w:jc w:val="both"/>
        <w:rPr>
          <w:szCs w:val="24"/>
          <w:lang w:val="de-DE"/>
        </w:rPr>
      </w:pPr>
    </w:p>
    <w:p w:rsidR="00F6410F" w:rsidRPr="00F6410F" w:rsidRDefault="00F6410F" w:rsidP="00F6410F">
      <w:pPr>
        <w:spacing w:after="0"/>
        <w:ind w:right="566"/>
        <w:jc w:val="both"/>
        <w:rPr>
          <w:sz w:val="20"/>
          <w:lang w:val="de-DE"/>
        </w:rPr>
      </w:pPr>
      <w:r w:rsidRPr="00F6410F">
        <w:rPr>
          <w:sz w:val="20"/>
          <w:lang w:val="de-DE"/>
        </w:rPr>
        <w:t>1</w:t>
      </w:r>
      <w:r w:rsidR="00E04161">
        <w:rPr>
          <w:sz w:val="20"/>
          <w:lang w:val="de-DE"/>
        </w:rPr>
        <w:t>6</w:t>
      </w:r>
      <w:r w:rsidRPr="00F6410F">
        <w:rPr>
          <w:sz w:val="20"/>
          <w:lang w:val="de-DE"/>
        </w:rPr>
        <w:t>.</w:t>
      </w:r>
      <w:r w:rsidRPr="00F6410F">
        <w:rPr>
          <w:sz w:val="20"/>
          <w:lang w:val="de-DE"/>
        </w:rPr>
        <w:tab/>
        <w:t>Die Unterarbeitsgruppe unterstützt den Vorschlag aus dem belgischen Dokument CCNR-ZKR/ADN/WP.15/AC.2/2017/41, in allen Sprachfassungen des ADN in Spalte (18) der Tabelle C bei dem Eintrag UN 3295 KOHLENWASSERSTOFFE, FLÜSSIG, N.A.G., ISOPREN UND PENTADIEN ENTHALTEND, STABILISIERT „EP“ und „TOX“ zu ergänzen und bei dem Eintrag UN 3295 KOHLENWASSERSTOFFE, FLÜSSIG, N.A.G. (1-OCTEN) „EP“ und „TOX“ zu streichen.</w:t>
      </w:r>
    </w:p>
    <w:p w:rsidR="00F6410F" w:rsidRPr="00F6410F" w:rsidRDefault="00F6410F" w:rsidP="00F6410F">
      <w:pPr>
        <w:spacing w:after="0"/>
        <w:ind w:right="566"/>
        <w:jc w:val="both"/>
        <w:rPr>
          <w:sz w:val="20"/>
          <w:lang w:val="de-DE"/>
        </w:rPr>
      </w:pPr>
    </w:p>
    <w:p w:rsidR="00F6410F" w:rsidRPr="00F6410F" w:rsidRDefault="00F6410F" w:rsidP="00F6410F">
      <w:pPr>
        <w:spacing w:after="0"/>
        <w:ind w:right="566"/>
        <w:jc w:val="both"/>
        <w:rPr>
          <w:sz w:val="20"/>
          <w:lang w:val="de-DE"/>
        </w:rPr>
      </w:pPr>
    </w:p>
    <w:p w:rsidR="00F6410F" w:rsidRPr="00163137" w:rsidRDefault="00591C91" w:rsidP="00F6410F">
      <w:pPr>
        <w:spacing w:after="0"/>
        <w:ind w:right="566"/>
        <w:jc w:val="both"/>
        <w:rPr>
          <w:b/>
          <w:szCs w:val="24"/>
          <w:lang w:val="de-DE"/>
        </w:rPr>
      </w:pPr>
      <w:r w:rsidRPr="00163137">
        <w:rPr>
          <w:b/>
          <w:szCs w:val="24"/>
          <w:lang w:val="de-DE"/>
        </w:rPr>
        <w:t>F</w:t>
      </w:r>
      <w:r w:rsidR="00F6410F" w:rsidRPr="00163137">
        <w:rPr>
          <w:b/>
          <w:szCs w:val="24"/>
          <w:lang w:val="de-DE"/>
        </w:rPr>
        <w:t>.</w:t>
      </w:r>
      <w:r w:rsidR="00F6410F" w:rsidRPr="00163137">
        <w:rPr>
          <w:b/>
          <w:szCs w:val="24"/>
          <w:lang w:val="de-DE"/>
        </w:rPr>
        <w:tab/>
        <w:t>(F) Floater</w:t>
      </w:r>
    </w:p>
    <w:p w:rsidR="00F6410F" w:rsidRPr="00F6410F" w:rsidRDefault="00F6410F" w:rsidP="00F6410F">
      <w:pPr>
        <w:spacing w:after="0"/>
        <w:ind w:right="566"/>
        <w:jc w:val="both"/>
        <w:rPr>
          <w:sz w:val="20"/>
          <w:lang w:val="de-DE"/>
        </w:rPr>
      </w:pPr>
    </w:p>
    <w:p w:rsidR="00F6410F" w:rsidRPr="00F6410F" w:rsidRDefault="00F6410F" w:rsidP="00F6410F">
      <w:pPr>
        <w:spacing w:after="0"/>
        <w:ind w:right="566"/>
        <w:jc w:val="both"/>
        <w:rPr>
          <w:sz w:val="20"/>
          <w:lang w:val="de-DE"/>
        </w:rPr>
      </w:pPr>
      <w:r w:rsidRPr="00F6410F">
        <w:rPr>
          <w:sz w:val="20"/>
          <w:lang w:val="de-DE"/>
        </w:rPr>
        <w:t>1</w:t>
      </w:r>
      <w:r w:rsidR="00E04161">
        <w:rPr>
          <w:sz w:val="20"/>
          <w:lang w:val="de-DE"/>
        </w:rPr>
        <w:t>7</w:t>
      </w:r>
      <w:r w:rsidRPr="00F6410F">
        <w:rPr>
          <w:sz w:val="20"/>
          <w:lang w:val="de-DE"/>
        </w:rPr>
        <w:t>.</w:t>
      </w:r>
      <w:r w:rsidRPr="00F6410F">
        <w:rPr>
          <w:sz w:val="20"/>
          <w:lang w:val="de-DE"/>
        </w:rPr>
        <w:tab/>
        <w:t>Der Vorschlag aus dem belgischen Dokument CCNR-ZKR/ADN/WP.15/AC.2/2017/41, in Tabelle</w:t>
      </w:r>
      <w:r w:rsidR="00F842E0">
        <w:rPr>
          <w:sz w:val="20"/>
          <w:lang w:val="de-DE"/>
        </w:rPr>
        <w:t> </w:t>
      </w:r>
      <w:r w:rsidRPr="00F6410F">
        <w:rPr>
          <w:sz w:val="20"/>
          <w:lang w:val="de-DE"/>
        </w:rPr>
        <w:t>C, Spalte (5) bei 12 Eintragungen der UN-Nummer 3295 „F“ in den jeweiligen Klammern zu ergänzen, wird von der Unterarbeitsgruppe befürwortet. Es wird aber gleichzeitig die Vermutung geäußert, dass bei Gemischen, die den Eintragungen mit einem Siedebeginn ≤ 60 °C zugeordnet werden müssen, der Dampfdruck so hoch ist, dass das Kriterium für die Einstufung als Floater nicht erfüllt wird. Da die Ergänzung aber nur in den Klammern als Option erfolgt, werden keine sicherheitstechnischen oder praktischen Probleme bei der Annahme dieser Änderung gesehen.</w:t>
      </w:r>
    </w:p>
    <w:p w:rsidR="00163137" w:rsidRDefault="00163137">
      <w:pPr>
        <w:spacing w:after="0"/>
        <w:rPr>
          <w:b/>
          <w:szCs w:val="24"/>
          <w:lang w:val="de-DE"/>
        </w:rPr>
      </w:pPr>
      <w:r>
        <w:rPr>
          <w:b/>
          <w:szCs w:val="24"/>
          <w:lang w:val="de-DE"/>
        </w:rPr>
        <w:br w:type="page"/>
      </w:r>
    </w:p>
    <w:p w:rsidR="00F6410F" w:rsidRPr="00163137" w:rsidRDefault="00591C91" w:rsidP="00F6410F">
      <w:pPr>
        <w:spacing w:after="0"/>
        <w:ind w:right="566"/>
        <w:jc w:val="both"/>
        <w:rPr>
          <w:b/>
          <w:szCs w:val="24"/>
          <w:lang w:val="de-DE"/>
        </w:rPr>
      </w:pPr>
      <w:r w:rsidRPr="00163137">
        <w:rPr>
          <w:b/>
          <w:szCs w:val="24"/>
          <w:lang w:val="de-DE"/>
        </w:rPr>
        <w:lastRenderedPageBreak/>
        <w:t>G</w:t>
      </w:r>
      <w:r w:rsidR="00F6410F" w:rsidRPr="00163137">
        <w:rPr>
          <w:b/>
          <w:szCs w:val="24"/>
          <w:lang w:val="de-DE"/>
        </w:rPr>
        <w:t>.</w:t>
      </w:r>
      <w:r w:rsidR="00F6410F" w:rsidRPr="00163137">
        <w:rPr>
          <w:b/>
          <w:szCs w:val="24"/>
          <w:lang w:val="de-DE"/>
        </w:rPr>
        <w:tab/>
        <w:t>UN-Nummer 9003 „Benennung für die Beförderung“</w:t>
      </w:r>
    </w:p>
    <w:p w:rsidR="00F6410F" w:rsidRPr="00F6410F" w:rsidRDefault="00F6410F" w:rsidP="00F6410F">
      <w:pPr>
        <w:spacing w:after="0"/>
        <w:ind w:right="566"/>
        <w:jc w:val="both"/>
        <w:rPr>
          <w:sz w:val="20"/>
          <w:lang w:val="de-DE"/>
        </w:rPr>
      </w:pPr>
    </w:p>
    <w:p w:rsidR="00F6410F" w:rsidRPr="00F6410F" w:rsidRDefault="00F6410F" w:rsidP="00F6410F">
      <w:pPr>
        <w:spacing w:after="0"/>
        <w:ind w:right="566"/>
        <w:jc w:val="both"/>
        <w:rPr>
          <w:sz w:val="20"/>
          <w:lang w:val="de-DE"/>
        </w:rPr>
      </w:pPr>
      <w:r w:rsidRPr="00F6410F">
        <w:rPr>
          <w:sz w:val="20"/>
          <w:lang w:val="de-DE"/>
        </w:rPr>
        <w:t>1</w:t>
      </w:r>
      <w:r w:rsidR="00E04161">
        <w:rPr>
          <w:sz w:val="20"/>
          <w:lang w:val="de-DE"/>
        </w:rPr>
        <w:t>8</w:t>
      </w:r>
      <w:r w:rsidRPr="00F6410F">
        <w:rPr>
          <w:sz w:val="20"/>
          <w:lang w:val="de-DE"/>
        </w:rPr>
        <w:t>.</w:t>
      </w:r>
      <w:r w:rsidRPr="00F6410F">
        <w:rPr>
          <w:sz w:val="20"/>
          <w:lang w:val="de-DE"/>
        </w:rPr>
        <w:tab/>
        <w:t>Die Regelungen für die Tabelle A und die Tabelle C sind zum Teil unterschiedlich. In dem belgischen Dokument wird richtiger Weise festgestellt, dass die Vorschriften für die Tabelle C nicht durchgängig umsetzt wurden und dass in einigen Fällen nach den für die Tabelle A geltenden Regelung vorgegangen wurde.</w:t>
      </w:r>
    </w:p>
    <w:p w:rsidR="00F6410F" w:rsidRPr="00F6410F" w:rsidRDefault="00F6410F" w:rsidP="00F6410F">
      <w:pPr>
        <w:spacing w:after="0"/>
        <w:ind w:right="566"/>
        <w:jc w:val="both"/>
        <w:rPr>
          <w:sz w:val="20"/>
          <w:lang w:val="de-DE"/>
        </w:rPr>
      </w:pPr>
    </w:p>
    <w:p w:rsidR="00F6410F" w:rsidRPr="00F6410F" w:rsidRDefault="00F6410F" w:rsidP="00F6410F">
      <w:pPr>
        <w:spacing w:after="0"/>
        <w:ind w:right="566"/>
        <w:jc w:val="both"/>
        <w:rPr>
          <w:sz w:val="20"/>
          <w:lang w:val="de-DE"/>
        </w:rPr>
      </w:pPr>
      <w:r w:rsidRPr="00F6410F">
        <w:rPr>
          <w:sz w:val="20"/>
          <w:lang w:val="de-DE"/>
        </w:rPr>
        <w:t>1</w:t>
      </w:r>
      <w:r w:rsidR="00E04161">
        <w:rPr>
          <w:sz w:val="20"/>
          <w:lang w:val="de-DE"/>
        </w:rPr>
        <w:t>9</w:t>
      </w:r>
      <w:r w:rsidRPr="00F6410F">
        <w:rPr>
          <w:sz w:val="20"/>
          <w:lang w:val="de-DE"/>
        </w:rPr>
        <w:t>.</w:t>
      </w:r>
      <w:r w:rsidRPr="00F6410F">
        <w:rPr>
          <w:sz w:val="20"/>
          <w:lang w:val="de-DE"/>
        </w:rPr>
        <w:tab/>
        <w:t>Da die zu erwartenden Änderungen über das Maß redaktioneller Anpassungen hinausgehen, schlägt die Unterarbeitsgruppe dem ADN-Sicherheitsausschuss vor, die Vorschläge aus dem belgischen Dokument CCNR-ZKR/ADN/WP.15/AC.2/2017/41 zunächst zurückzustellen und durch die Informelle Arbeitsgruppe „Stoffe“ prüfen zu lassen, ob eine Vereinheitlichung der Vorschriften für die Tabelle A und die Tabelle C erfolgen soll. In Abhängigkeit vom Ergebnis dieser Prüfung sollten durch die Informelle Arbeitsgruppe „Stoffe“ Vorschläge für erforderliche Vorschriftenänderungen in den Tabellen</w:t>
      </w:r>
      <w:r w:rsidR="00F842E0">
        <w:rPr>
          <w:sz w:val="20"/>
          <w:lang w:val="de-DE"/>
        </w:rPr>
        <w:t> </w:t>
      </w:r>
      <w:r w:rsidRPr="00F6410F">
        <w:rPr>
          <w:sz w:val="20"/>
          <w:lang w:val="de-DE"/>
        </w:rPr>
        <w:t>A und C sowie im Teil 3 des ADN einschließlich der notwendigen Folgeänderungen vorgelegt werden.</w:t>
      </w:r>
    </w:p>
    <w:p w:rsidR="00F6410F" w:rsidRPr="00F6410F" w:rsidRDefault="00F6410F" w:rsidP="00F6410F">
      <w:pPr>
        <w:spacing w:after="0"/>
        <w:ind w:right="566"/>
        <w:jc w:val="both"/>
        <w:rPr>
          <w:sz w:val="20"/>
          <w:lang w:val="de-DE"/>
        </w:rPr>
      </w:pPr>
    </w:p>
    <w:p w:rsidR="00F6410F" w:rsidRPr="00F6410F" w:rsidRDefault="00E04161" w:rsidP="00F6410F">
      <w:pPr>
        <w:spacing w:after="0"/>
        <w:ind w:right="566"/>
        <w:jc w:val="both"/>
        <w:rPr>
          <w:sz w:val="20"/>
          <w:lang w:val="de-DE"/>
        </w:rPr>
      </w:pPr>
      <w:r>
        <w:rPr>
          <w:sz w:val="20"/>
          <w:lang w:val="de-DE"/>
        </w:rPr>
        <w:t>20</w:t>
      </w:r>
      <w:r w:rsidR="00F6410F" w:rsidRPr="00F6410F">
        <w:rPr>
          <w:sz w:val="20"/>
          <w:lang w:val="de-DE"/>
        </w:rPr>
        <w:t>.</w:t>
      </w:r>
      <w:r w:rsidR="00F6410F" w:rsidRPr="00F6410F">
        <w:rPr>
          <w:sz w:val="20"/>
          <w:lang w:val="de-DE"/>
        </w:rPr>
        <w:tab/>
        <w:t>Unabhängig davon wird von der Unterarbeitsgruppe vorgeschlagen, in 1.2.1 in die Begriffsbestimmung für Flammpunkt die Abkürzung „Fp“ mit aufzunehmen. Diese Abkürzung könnte dann in offiziellen Benennungen sowie in Ergänzungen zu den Benennungen verwendet werden.</w:t>
      </w:r>
    </w:p>
    <w:p w:rsidR="00F6410F" w:rsidRPr="00F6410F" w:rsidRDefault="00F6410F" w:rsidP="00F6410F">
      <w:pPr>
        <w:spacing w:after="0"/>
        <w:ind w:right="566"/>
        <w:jc w:val="both"/>
        <w:rPr>
          <w:sz w:val="20"/>
          <w:lang w:val="de-DE"/>
        </w:rPr>
      </w:pPr>
    </w:p>
    <w:p w:rsidR="00F6410F" w:rsidRPr="00F6410F" w:rsidRDefault="00F6410F" w:rsidP="00F6410F">
      <w:pPr>
        <w:spacing w:after="0"/>
        <w:ind w:right="566"/>
        <w:jc w:val="both"/>
        <w:rPr>
          <w:b/>
          <w:sz w:val="20"/>
          <w:lang w:val="de-DE"/>
        </w:rPr>
      </w:pPr>
      <w:r w:rsidRPr="00F6410F">
        <w:rPr>
          <w:b/>
          <w:sz w:val="20"/>
          <w:lang w:val="de-DE"/>
        </w:rPr>
        <w:t>Vorschlag:</w:t>
      </w:r>
    </w:p>
    <w:p w:rsidR="00F6410F" w:rsidRPr="00F6410F" w:rsidRDefault="00F6410F" w:rsidP="00F6410F">
      <w:pPr>
        <w:spacing w:after="0"/>
        <w:ind w:right="566"/>
        <w:jc w:val="both"/>
        <w:rPr>
          <w:sz w:val="20"/>
          <w:lang w:val="de-DE"/>
        </w:rPr>
      </w:pPr>
    </w:p>
    <w:p w:rsidR="00F6410F" w:rsidRPr="00F6410F" w:rsidRDefault="00E04161" w:rsidP="00F6410F">
      <w:pPr>
        <w:spacing w:after="0"/>
        <w:ind w:right="566"/>
        <w:jc w:val="both"/>
        <w:rPr>
          <w:sz w:val="20"/>
          <w:lang w:val="de-DE"/>
        </w:rPr>
      </w:pPr>
      <w:r>
        <w:rPr>
          <w:sz w:val="20"/>
          <w:lang w:val="de-DE"/>
        </w:rPr>
        <w:t>2</w:t>
      </w:r>
      <w:r w:rsidR="00F6410F" w:rsidRPr="00F6410F">
        <w:rPr>
          <w:sz w:val="20"/>
          <w:lang w:val="de-DE"/>
        </w:rPr>
        <w:t>1.</w:t>
      </w:r>
      <w:r w:rsidR="00F6410F" w:rsidRPr="00F6410F">
        <w:rPr>
          <w:sz w:val="20"/>
          <w:lang w:val="de-DE"/>
        </w:rPr>
        <w:tab/>
        <w:t>In 1.2.1 des ADN die Begriffsbestimmung für Flammpunkt wie folgt formulieren:</w:t>
      </w:r>
    </w:p>
    <w:p w:rsidR="00F6410F" w:rsidRPr="00F6410F" w:rsidRDefault="00F6410F" w:rsidP="00F6410F">
      <w:pPr>
        <w:spacing w:after="0"/>
        <w:ind w:right="566"/>
        <w:jc w:val="both"/>
        <w:rPr>
          <w:sz w:val="20"/>
          <w:lang w:val="de-DE"/>
        </w:rPr>
      </w:pPr>
    </w:p>
    <w:p w:rsidR="00F6410F" w:rsidRPr="00F6410F" w:rsidRDefault="00F6410F" w:rsidP="00F6410F">
      <w:pPr>
        <w:spacing w:after="0"/>
        <w:ind w:right="566"/>
        <w:jc w:val="both"/>
        <w:rPr>
          <w:sz w:val="20"/>
          <w:lang w:val="de-DE"/>
        </w:rPr>
      </w:pPr>
      <w:r w:rsidRPr="00F6410F">
        <w:rPr>
          <w:sz w:val="20"/>
          <w:lang w:val="de-DE"/>
        </w:rPr>
        <w:t>„</w:t>
      </w:r>
      <w:r w:rsidRPr="00F6410F">
        <w:rPr>
          <w:b/>
          <w:i/>
          <w:sz w:val="20"/>
          <w:lang w:val="de-DE"/>
        </w:rPr>
        <w:t>Flammpunkt (Fp):</w:t>
      </w:r>
      <w:r w:rsidRPr="00F6410F">
        <w:rPr>
          <w:sz w:val="20"/>
          <w:lang w:val="de-DE"/>
        </w:rPr>
        <w:t xml:space="preserve"> Die niedrigste Temperatur eines flüssigen Stoffes, bei der seine Dämpfe mit der Luft ein entzündbares Gemisch bilden.“</w:t>
      </w:r>
    </w:p>
    <w:p w:rsidR="00F6410F" w:rsidRDefault="00F6410F" w:rsidP="00F6410F">
      <w:pPr>
        <w:spacing w:after="0"/>
        <w:rPr>
          <w:b/>
          <w:sz w:val="20"/>
          <w:lang w:val="de-DE"/>
        </w:rPr>
      </w:pPr>
    </w:p>
    <w:p w:rsidR="00163137" w:rsidRPr="00F6410F" w:rsidRDefault="00163137" w:rsidP="00F6410F">
      <w:pPr>
        <w:spacing w:after="0"/>
        <w:rPr>
          <w:b/>
          <w:sz w:val="20"/>
          <w:lang w:val="de-DE"/>
        </w:rPr>
      </w:pPr>
    </w:p>
    <w:p w:rsidR="00F6410F" w:rsidRPr="00163137" w:rsidRDefault="00591C91" w:rsidP="00F6410F">
      <w:pPr>
        <w:spacing w:after="0"/>
        <w:ind w:right="566"/>
        <w:jc w:val="both"/>
        <w:rPr>
          <w:b/>
          <w:szCs w:val="24"/>
          <w:lang w:val="de-DE"/>
        </w:rPr>
      </w:pPr>
      <w:r w:rsidRPr="00163137">
        <w:rPr>
          <w:b/>
          <w:szCs w:val="24"/>
          <w:lang w:val="de-DE"/>
        </w:rPr>
        <w:t>H</w:t>
      </w:r>
      <w:r w:rsidR="00F6410F" w:rsidRPr="00163137">
        <w:rPr>
          <w:b/>
          <w:szCs w:val="24"/>
          <w:lang w:val="de-DE"/>
        </w:rPr>
        <w:t>.</w:t>
      </w:r>
      <w:r w:rsidR="00F6410F" w:rsidRPr="00163137">
        <w:rPr>
          <w:b/>
          <w:szCs w:val="24"/>
          <w:lang w:val="de-DE"/>
        </w:rPr>
        <w:tab/>
        <w:t>Bemerkung „27“</w:t>
      </w:r>
    </w:p>
    <w:p w:rsidR="00F6410F" w:rsidRPr="00F6410F" w:rsidRDefault="00F6410F" w:rsidP="00F6410F">
      <w:pPr>
        <w:spacing w:after="0"/>
        <w:ind w:right="566"/>
        <w:jc w:val="both"/>
        <w:rPr>
          <w:sz w:val="20"/>
          <w:lang w:val="de-DE"/>
        </w:rPr>
      </w:pPr>
    </w:p>
    <w:p w:rsidR="00F6410F" w:rsidRPr="00F6410F" w:rsidRDefault="00F6410F" w:rsidP="00F6410F">
      <w:pPr>
        <w:spacing w:after="0"/>
        <w:ind w:right="566"/>
        <w:jc w:val="both"/>
        <w:rPr>
          <w:sz w:val="20"/>
          <w:lang w:val="de-DE"/>
        </w:rPr>
      </w:pPr>
      <w:r w:rsidRPr="00F6410F">
        <w:rPr>
          <w:sz w:val="20"/>
          <w:lang w:val="de-DE"/>
        </w:rPr>
        <w:t>2</w:t>
      </w:r>
      <w:r w:rsidR="00E04161">
        <w:rPr>
          <w:sz w:val="20"/>
          <w:lang w:val="de-DE"/>
        </w:rPr>
        <w:t>2</w:t>
      </w:r>
      <w:r w:rsidRPr="00F6410F">
        <w:rPr>
          <w:sz w:val="20"/>
          <w:lang w:val="de-DE"/>
        </w:rPr>
        <w:t>.</w:t>
      </w:r>
      <w:r w:rsidRPr="00F6410F">
        <w:rPr>
          <w:sz w:val="20"/>
          <w:lang w:val="de-DE"/>
        </w:rPr>
        <w:tab/>
        <w:t>Bei dem allgemeinen Eintrag in der Tabelle C mit der UN-Nummer 3082 findet sich die Bemerkung 27. Die anderen Eintragungen in der Tabelle C mit den UN-Nummern 3077 und 3082 stehen für konkrete Beförderungsfälle und sind mit konkreten, zum Teil unterschiedlichen Beförderungsbedingungen hinterlegt. Die damit verbundene Unterscheidung der Eintragungen durch Ergänzungen, die durch ihre Darstellungsweise zu obligatorischen Bestandteilen der offiziellen Benennung werden, sollte nach Meinung der Unterarbeitsgruppe erhalten bleiben und eine Vorschriftenänderung wäre nicht erforderlich.</w:t>
      </w:r>
    </w:p>
    <w:p w:rsidR="00F6410F" w:rsidRPr="00F6410F" w:rsidRDefault="00F6410F" w:rsidP="00F6410F">
      <w:pPr>
        <w:spacing w:after="0"/>
        <w:ind w:right="566"/>
        <w:jc w:val="both"/>
        <w:rPr>
          <w:sz w:val="20"/>
          <w:lang w:val="de-DE"/>
        </w:rPr>
      </w:pPr>
    </w:p>
    <w:p w:rsidR="00F6410F" w:rsidRPr="00F6410F" w:rsidRDefault="00F6410F" w:rsidP="00F6410F">
      <w:pPr>
        <w:spacing w:after="0"/>
        <w:ind w:right="566"/>
        <w:jc w:val="both"/>
        <w:rPr>
          <w:sz w:val="20"/>
          <w:lang w:val="de-DE"/>
        </w:rPr>
      </w:pPr>
      <w:r w:rsidRPr="00F6410F">
        <w:rPr>
          <w:sz w:val="20"/>
          <w:lang w:val="de-DE"/>
        </w:rPr>
        <w:t>2</w:t>
      </w:r>
      <w:r w:rsidR="00E04161">
        <w:rPr>
          <w:sz w:val="20"/>
          <w:lang w:val="de-DE"/>
        </w:rPr>
        <w:t>3</w:t>
      </w:r>
      <w:r w:rsidRPr="00F6410F">
        <w:rPr>
          <w:sz w:val="20"/>
          <w:lang w:val="de-DE"/>
        </w:rPr>
        <w:t>.</w:t>
      </w:r>
      <w:r w:rsidRPr="00F6410F">
        <w:rPr>
          <w:sz w:val="20"/>
          <w:lang w:val="de-DE"/>
        </w:rPr>
        <w:tab/>
        <w:t>Eine starre Verknüpfung zwischen der Sondervorschrift 274 in Tabelle A und der Bemerkung 27 in Tabelle C wird vor dem Hintergrund, dass es in einigen Fällen zu einem Eintrag in der Tabelle A mehrere, zum Teil spezielle Eintragungen in der Tabelle C gibt, nicht für zweckmäßig gehalten.</w:t>
      </w:r>
    </w:p>
    <w:p w:rsidR="00F6410F" w:rsidRPr="00F6410F" w:rsidRDefault="00F6410F" w:rsidP="00F6410F">
      <w:pPr>
        <w:spacing w:after="0"/>
        <w:ind w:right="566"/>
        <w:jc w:val="both"/>
        <w:rPr>
          <w:sz w:val="20"/>
          <w:lang w:val="de-DE"/>
        </w:rPr>
      </w:pPr>
    </w:p>
    <w:p w:rsidR="00F6410F" w:rsidRPr="00F6410F" w:rsidRDefault="00F6410F" w:rsidP="00F6410F">
      <w:pPr>
        <w:spacing w:after="0"/>
        <w:ind w:right="566"/>
        <w:jc w:val="both"/>
        <w:rPr>
          <w:sz w:val="20"/>
          <w:lang w:val="de-DE"/>
        </w:rPr>
      </w:pPr>
      <w:r w:rsidRPr="00F6410F">
        <w:rPr>
          <w:sz w:val="20"/>
          <w:lang w:val="de-DE"/>
        </w:rPr>
        <w:t>2</w:t>
      </w:r>
      <w:r w:rsidR="00E04161">
        <w:rPr>
          <w:sz w:val="20"/>
          <w:lang w:val="de-DE"/>
        </w:rPr>
        <w:t>4</w:t>
      </w:r>
      <w:r w:rsidRPr="00F6410F">
        <w:rPr>
          <w:sz w:val="20"/>
          <w:lang w:val="de-DE"/>
        </w:rPr>
        <w:t>.</w:t>
      </w:r>
      <w:r w:rsidRPr="00F6410F">
        <w:rPr>
          <w:sz w:val="20"/>
          <w:lang w:val="de-DE"/>
        </w:rPr>
        <w:tab/>
        <w:t>Die Unterarbeitsgruppe sieht aber in der strikten Formulierung der Kriterien für die Anwendung der Bemerkung 27 in 3.2.3.3 und in 3.2.4.3 Probleme, den zuvor dargestellten Anliegen Rechnung zu tragen. Deshalb wird dem ADN-Sicherheitsausschuss vorgeschlagen, die Informelle Arbeitsgruppe „Stoffe“ mit dieser Problematik zu beauftragen. In diesem Zusammenhang sollten dann durch die Informelle Arbeitsgruppe „Stoffe“ auch die im belgischen Dokument aufgeworfenen Fragen zu den Stoffen mit den UN-Nummern 3295, 9003, 1993 und 1268 geprüft werden. Darüber hinaus ist der Unterarbeitsgruppe aufgefallen, dass ähnliche Probleme ebenfalls für die Stoff-Nummern 9005 und 9006 bestehen.</w:t>
      </w:r>
    </w:p>
    <w:p w:rsidR="00163137" w:rsidRDefault="00163137">
      <w:pPr>
        <w:spacing w:after="0"/>
        <w:rPr>
          <w:sz w:val="20"/>
          <w:lang w:val="de-DE"/>
        </w:rPr>
      </w:pPr>
      <w:r>
        <w:rPr>
          <w:sz w:val="20"/>
          <w:lang w:val="de-DE"/>
        </w:rPr>
        <w:br w:type="page"/>
      </w:r>
    </w:p>
    <w:p w:rsidR="00F6410F" w:rsidRPr="00163137" w:rsidRDefault="00591C91" w:rsidP="00F6410F">
      <w:pPr>
        <w:spacing w:after="0"/>
        <w:ind w:right="566"/>
        <w:jc w:val="both"/>
        <w:rPr>
          <w:b/>
          <w:szCs w:val="24"/>
          <w:lang w:val="de-DE"/>
        </w:rPr>
      </w:pPr>
      <w:r w:rsidRPr="00163137">
        <w:rPr>
          <w:b/>
          <w:szCs w:val="24"/>
          <w:lang w:val="de-DE"/>
        </w:rPr>
        <w:lastRenderedPageBreak/>
        <w:t>I</w:t>
      </w:r>
      <w:r w:rsidR="00F6410F" w:rsidRPr="00163137">
        <w:rPr>
          <w:b/>
          <w:szCs w:val="24"/>
          <w:lang w:val="de-DE"/>
        </w:rPr>
        <w:t>.</w:t>
      </w:r>
      <w:r w:rsidR="00F6410F" w:rsidRPr="00163137">
        <w:rPr>
          <w:b/>
          <w:szCs w:val="24"/>
          <w:lang w:val="de-DE"/>
        </w:rPr>
        <w:tab/>
        <w:t>Bemerkung „29“</w:t>
      </w:r>
    </w:p>
    <w:p w:rsidR="00F6410F" w:rsidRPr="00F6410F" w:rsidRDefault="00F6410F" w:rsidP="00F6410F">
      <w:pPr>
        <w:spacing w:after="0"/>
        <w:ind w:right="566"/>
        <w:jc w:val="both"/>
        <w:rPr>
          <w:sz w:val="20"/>
          <w:lang w:val="de-DE"/>
        </w:rPr>
      </w:pPr>
    </w:p>
    <w:p w:rsidR="00F6410F" w:rsidRPr="00F6410F" w:rsidRDefault="00F6410F" w:rsidP="00F6410F">
      <w:pPr>
        <w:spacing w:after="0"/>
        <w:ind w:right="566"/>
        <w:jc w:val="both"/>
        <w:rPr>
          <w:sz w:val="20"/>
          <w:lang w:val="de-DE"/>
        </w:rPr>
      </w:pPr>
      <w:r w:rsidRPr="00F6410F">
        <w:rPr>
          <w:sz w:val="20"/>
          <w:lang w:val="de-DE"/>
        </w:rPr>
        <w:t>2</w:t>
      </w:r>
      <w:r w:rsidR="00E04161">
        <w:rPr>
          <w:sz w:val="20"/>
          <w:lang w:val="de-DE"/>
        </w:rPr>
        <w:t>5</w:t>
      </w:r>
      <w:r w:rsidRPr="00F6410F">
        <w:rPr>
          <w:sz w:val="20"/>
          <w:lang w:val="de-DE"/>
        </w:rPr>
        <w:t>.</w:t>
      </w:r>
      <w:r w:rsidRPr="00F6410F">
        <w:rPr>
          <w:sz w:val="20"/>
          <w:lang w:val="de-DE"/>
        </w:rPr>
        <w:tab/>
        <w:t>Die Unterarbeitsgruppe kann den Darstellungen im Dokument von Belgien in dem Sinne folgen, dass in der aktuellen Formulierung die sicherheitstechnische Zielstellung der Bemerkung 29 nicht klar ist und auch die Systematik, nach der die Bemerkung 29 zugeordnet worden ist, nicht nachvollzogen werden kann. Es wird deshalb vorgeschlagen, dem Vorschlag Belgiens zu folgen und dieses Thema zur Beratung in die Informelle Arbeitsgruppe „Stoffe“ zu verweisen.</w:t>
      </w:r>
    </w:p>
    <w:p w:rsidR="00F6410F" w:rsidRPr="00F6410F" w:rsidRDefault="00F6410F" w:rsidP="00F6410F">
      <w:pPr>
        <w:spacing w:after="0"/>
        <w:ind w:right="566"/>
        <w:jc w:val="both"/>
        <w:rPr>
          <w:sz w:val="20"/>
          <w:lang w:val="de-DE"/>
        </w:rPr>
      </w:pPr>
    </w:p>
    <w:p w:rsidR="00F6410F" w:rsidRPr="00F6410F" w:rsidRDefault="00F6410F" w:rsidP="00F6410F">
      <w:pPr>
        <w:spacing w:after="0"/>
        <w:ind w:right="566"/>
        <w:jc w:val="both"/>
        <w:rPr>
          <w:sz w:val="20"/>
          <w:lang w:val="de-DE"/>
        </w:rPr>
      </w:pPr>
    </w:p>
    <w:p w:rsidR="00F6410F" w:rsidRPr="00163137" w:rsidRDefault="00591C91" w:rsidP="00F6410F">
      <w:pPr>
        <w:spacing w:after="0"/>
        <w:ind w:right="566"/>
        <w:jc w:val="both"/>
        <w:rPr>
          <w:b/>
          <w:szCs w:val="24"/>
          <w:lang w:val="de-DE"/>
        </w:rPr>
      </w:pPr>
      <w:r w:rsidRPr="00163137">
        <w:rPr>
          <w:b/>
          <w:szCs w:val="24"/>
          <w:lang w:val="de-DE"/>
        </w:rPr>
        <w:t>J</w:t>
      </w:r>
      <w:r w:rsidR="00F6410F" w:rsidRPr="00163137">
        <w:rPr>
          <w:b/>
          <w:szCs w:val="24"/>
          <w:lang w:val="de-DE"/>
        </w:rPr>
        <w:t>.</w:t>
      </w:r>
      <w:r w:rsidR="00F6410F" w:rsidRPr="00163137">
        <w:rPr>
          <w:b/>
          <w:szCs w:val="24"/>
          <w:lang w:val="de-DE"/>
        </w:rPr>
        <w:tab/>
        <w:t>Spalte (16): Bestimmung der Explosionsgruppe</w:t>
      </w:r>
    </w:p>
    <w:p w:rsidR="00F6410F" w:rsidRPr="00F6410F" w:rsidRDefault="00F6410F" w:rsidP="00F6410F">
      <w:pPr>
        <w:spacing w:after="0"/>
        <w:ind w:right="566"/>
        <w:jc w:val="both"/>
        <w:rPr>
          <w:sz w:val="20"/>
          <w:lang w:val="de-DE"/>
        </w:rPr>
      </w:pPr>
    </w:p>
    <w:p w:rsidR="00F6410F" w:rsidRPr="00F6410F" w:rsidRDefault="00F6410F" w:rsidP="00F6410F">
      <w:pPr>
        <w:spacing w:after="0"/>
        <w:ind w:right="566"/>
        <w:jc w:val="both"/>
        <w:rPr>
          <w:sz w:val="20"/>
          <w:lang w:val="de-DE"/>
        </w:rPr>
      </w:pPr>
      <w:r w:rsidRPr="00F6410F">
        <w:rPr>
          <w:sz w:val="20"/>
          <w:lang w:val="de-DE"/>
        </w:rPr>
        <w:t>2</w:t>
      </w:r>
      <w:r w:rsidR="00E04161">
        <w:rPr>
          <w:sz w:val="20"/>
          <w:lang w:val="de-DE"/>
        </w:rPr>
        <w:t>6</w:t>
      </w:r>
      <w:r w:rsidRPr="00F6410F">
        <w:rPr>
          <w:sz w:val="20"/>
          <w:lang w:val="de-DE"/>
        </w:rPr>
        <w:t>.</w:t>
      </w:r>
      <w:r w:rsidRPr="00F6410F">
        <w:rPr>
          <w:sz w:val="20"/>
          <w:lang w:val="de-DE"/>
        </w:rPr>
        <w:tab/>
        <w:t xml:space="preserve">Die Anmerkungen von der belgischen Delegation sind zutreffend. Das bestehende Problem ist bereits früher erkannt worden und war im Rahmen der 29. Sitzung des Sicherheitsausschusses schon Gegenstand der Beratung und wurde auf Basis von </w:t>
      </w:r>
      <w:r w:rsidR="00C9614C">
        <w:rPr>
          <w:sz w:val="20"/>
          <w:lang w:val="de-DE"/>
        </w:rPr>
        <w:t xml:space="preserve">dem informellen Dokument </w:t>
      </w:r>
      <w:r w:rsidRPr="00F6410F">
        <w:rPr>
          <w:sz w:val="20"/>
          <w:lang w:val="de-DE"/>
        </w:rPr>
        <w:t xml:space="preserve">INF.9 </w:t>
      </w:r>
      <w:r w:rsidR="00C9614C">
        <w:rPr>
          <w:sz w:val="20"/>
          <w:lang w:val="de-DE"/>
        </w:rPr>
        <w:t xml:space="preserve">der 29. Sitzung </w:t>
      </w:r>
      <w:r w:rsidRPr="00F6410F">
        <w:rPr>
          <w:sz w:val="20"/>
          <w:lang w:val="de-DE"/>
        </w:rPr>
        <w:t>ohne Einwände diskutiert. Da es sich aber um ein INF-Papier handelte, welches nur in deutscher Sprache vorlag, wurde keine abschließende Entscheidung getroffen.</w:t>
      </w:r>
    </w:p>
    <w:p w:rsidR="00F6410F" w:rsidRPr="00F6410F" w:rsidRDefault="00F6410F" w:rsidP="00F6410F">
      <w:pPr>
        <w:spacing w:after="0"/>
        <w:ind w:right="566"/>
        <w:jc w:val="both"/>
        <w:rPr>
          <w:sz w:val="20"/>
          <w:lang w:val="de-DE"/>
        </w:rPr>
      </w:pPr>
    </w:p>
    <w:p w:rsidR="00F6410F" w:rsidRPr="00F6410F" w:rsidRDefault="00F6410F" w:rsidP="00F6410F">
      <w:pPr>
        <w:spacing w:after="0"/>
        <w:ind w:right="566"/>
        <w:jc w:val="both"/>
        <w:rPr>
          <w:sz w:val="20"/>
          <w:lang w:val="de-DE"/>
        </w:rPr>
      </w:pPr>
      <w:r w:rsidRPr="00F6410F">
        <w:rPr>
          <w:sz w:val="20"/>
          <w:lang w:val="de-DE"/>
        </w:rPr>
        <w:t>2</w:t>
      </w:r>
      <w:r w:rsidR="00E04161">
        <w:rPr>
          <w:sz w:val="20"/>
          <w:lang w:val="de-DE"/>
        </w:rPr>
        <w:t>7</w:t>
      </w:r>
      <w:r w:rsidRPr="00F6410F">
        <w:rPr>
          <w:sz w:val="20"/>
          <w:lang w:val="de-DE"/>
        </w:rPr>
        <w:t>.</w:t>
      </w:r>
      <w:r w:rsidRPr="00F6410F">
        <w:rPr>
          <w:sz w:val="20"/>
          <w:lang w:val="de-DE"/>
        </w:rPr>
        <w:tab/>
        <w:t xml:space="preserve">Die Unterarbeitsgruppe schlägt vor, entsprechend den im </w:t>
      </w:r>
      <w:r w:rsidR="00C9614C">
        <w:rPr>
          <w:sz w:val="20"/>
          <w:lang w:val="de-DE"/>
        </w:rPr>
        <w:t xml:space="preserve">informellen Dokument </w:t>
      </w:r>
      <w:r w:rsidRPr="00F6410F">
        <w:rPr>
          <w:sz w:val="20"/>
          <w:lang w:val="de-DE"/>
        </w:rPr>
        <w:t>INF.9</w:t>
      </w:r>
      <w:r w:rsidR="00C9614C">
        <w:rPr>
          <w:sz w:val="20"/>
          <w:lang w:val="de-DE"/>
        </w:rPr>
        <w:t xml:space="preserve"> der 29.</w:t>
      </w:r>
      <w:r w:rsidR="00163137">
        <w:rPr>
          <w:sz w:val="20"/>
          <w:lang w:val="de-DE"/>
        </w:rPr>
        <w:t> </w:t>
      </w:r>
      <w:r w:rsidR="00C9614C">
        <w:rPr>
          <w:sz w:val="20"/>
          <w:lang w:val="de-DE"/>
        </w:rPr>
        <w:t xml:space="preserve">Sitzung </w:t>
      </w:r>
      <w:r w:rsidRPr="00F6410F">
        <w:rPr>
          <w:sz w:val="20"/>
          <w:lang w:val="de-DE"/>
        </w:rPr>
        <w:t xml:space="preserve"> enthaltenen Vorschlägen, die im Wesentlichen auch dem Anliegen Belgiens Rechnung tragen, die Vorschriftentexte im ADN in 1.2.1 Begriffsbestimmungen, 3.2.3.3 Entscheidungsdiagramm und 3.2.4.3 Zuordnungskriterien für die Stoffe zu ändern. Da es um die Zuordnung von Normspaltweiten zu Untergruppen der Explosionsgruppe II B geht, wird, anders als im belgischen Dokument, vorgeschlagen, die Intervalle der Normspaltweiten zu staffeln. Außerdem erfolgte als eine redaktionelle Änderung zu </w:t>
      </w:r>
      <w:r w:rsidR="00C9614C">
        <w:rPr>
          <w:sz w:val="20"/>
          <w:lang w:val="de-DE"/>
        </w:rPr>
        <w:t xml:space="preserve">informellem Dokument </w:t>
      </w:r>
      <w:r w:rsidRPr="00F6410F">
        <w:rPr>
          <w:sz w:val="20"/>
          <w:lang w:val="de-DE"/>
        </w:rPr>
        <w:t xml:space="preserve">INF.9 </w:t>
      </w:r>
      <w:r w:rsidR="00C9614C">
        <w:rPr>
          <w:sz w:val="20"/>
          <w:lang w:val="de-DE"/>
        </w:rPr>
        <w:t xml:space="preserve">der 29. Sitzung </w:t>
      </w:r>
      <w:r w:rsidRPr="00F6410F">
        <w:rPr>
          <w:sz w:val="20"/>
          <w:lang w:val="de-DE"/>
        </w:rPr>
        <w:t>eine Anpassung der Reihenfolge der Spalten in der vorgeschlagenen Tabelle.</w:t>
      </w:r>
    </w:p>
    <w:p w:rsidR="00F6410F" w:rsidRDefault="00F6410F" w:rsidP="00F6410F">
      <w:pPr>
        <w:spacing w:after="0"/>
        <w:rPr>
          <w:b/>
          <w:sz w:val="20"/>
          <w:lang w:val="de-DE"/>
        </w:rPr>
      </w:pPr>
    </w:p>
    <w:p w:rsidR="00163137" w:rsidRPr="00F6410F" w:rsidRDefault="00163137" w:rsidP="00F6410F">
      <w:pPr>
        <w:spacing w:after="0"/>
        <w:rPr>
          <w:b/>
          <w:sz w:val="20"/>
          <w:lang w:val="de-DE"/>
        </w:rPr>
      </w:pPr>
    </w:p>
    <w:p w:rsidR="00F6410F" w:rsidRPr="00F6410F" w:rsidRDefault="00F6410F" w:rsidP="00F6410F">
      <w:pPr>
        <w:spacing w:after="0"/>
        <w:ind w:right="566"/>
        <w:jc w:val="both"/>
        <w:rPr>
          <w:b/>
          <w:sz w:val="20"/>
          <w:lang w:val="de-DE"/>
        </w:rPr>
      </w:pPr>
      <w:r w:rsidRPr="00F6410F">
        <w:rPr>
          <w:b/>
          <w:sz w:val="20"/>
          <w:lang w:val="de-DE"/>
        </w:rPr>
        <w:t>Vorschläge:</w:t>
      </w:r>
    </w:p>
    <w:p w:rsidR="00F6410F" w:rsidRPr="00F6410F" w:rsidRDefault="00F6410F" w:rsidP="00F6410F">
      <w:pPr>
        <w:spacing w:after="0"/>
        <w:ind w:right="566"/>
        <w:jc w:val="both"/>
        <w:rPr>
          <w:sz w:val="20"/>
          <w:lang w:val="de-DE"/>
        </w:rPr>
      </w:pPr>
    </w:p>
    <w:p w:rsidR="00F6410F" w:rsidRPr="00F6410F" w:rsidRDefault="00F6410F" w:rsidP="00F6410F">
      <w:pPr>
        <w:spacing w:after="0"/>
        <w:ind w:right="566"/>
        <w:jc w:val="both"/>
        <w:rPr>
          <w:sz w:val="20"/>
          <w:lang w:val="de-DE"/>
        </w:rPr>
      </w:pPr>
      <w:r w:rsidRPr="00F6410F">
        <w:rPr>
          <w:sz w:val="20"/>
          <w:lang w:val="de-DE"/>
        </w:rPr>
        <w:t>2</w:t>
      </w:r>
      <w:r w:rsidR="00E04161">
        <w:rPr>
          <w:sz w:val="20"/>
          <w:lang w:val="de-DE"/>
        </w:rPr>
        <w:t>8</w:t>
      </w:r>
      <w:r w:rsidRPr="00F6410F">
        <w:rPr>
          <w:sz w:val="20"/>
          <w:lang w:val="de-DE"/>
        </w:rPr>
        <w:t>.</w:t>
      </w:r>
      <w:r w:rsidRPr="00F6410F">
        <w:rPr>
          <w:sz w:val="20"/>
          <w:lang w:val="de-DE"/>
        </w:rPr>
        <w:tab/>
        <w:t xml:space="preserve">In 1.2.1 </w:t>
      </w:r>
      <w:r w:rsidR="00CB6597">
        <w:rPr>
          <w:sz w:val="20"/>
          <w:lang w:val="de-DE"/>
        </w:rPr>
        <w:t>„</w:t>
      </w:r>
      <w:r w:rsidRPr="00F6410F">
        <w:rPr>
          <w:sz w:val="20"/>
          <w:lang w:val="de-DE"/>
        </w:rPr>
        <w:t>Begriffsbestimmungen</w:t>
      </w:r>
      <w:r w:rsidR="00CB6597">
        <w:rPr>
          <w:sz w:val="20"/>
          <w:lang w:val="de-DE"/>
        </w:rPr>
        <w:t>“</w:t>
      </w:r>
      <w:r w:rsidRPr="00F6410F">
        <w:rPr>
          <w:sz w:val="20"/>
          <w:lang w:val="de-DE"/>
        </w:rPr>
        <w:t xml:space="preserve"> die Begriffsbestimmung für den Begriff „</w:t>
      </w:r>
      <w:r w:rsidRPr="00CB6597">
        <w:rPr>
          <w:b/>
          <w:i/>
          <w:sz w:val="20"/>
          <w:lang w:val="de-DE"/>
        </w:rPr>
        <w:t>Explosionsgruppe</w:t>
      </w:r>
      <w:r w:rsidRPr="00F6410F">
        <w:rPr>
          <w:sz w:val="20"/>
          <w:lang w:val="de-DE"/>
        </w:rPr>
        <w:t>:“ wie folgt neu formulieren (Änderungen zum bestehenden Text sind durch Streichung/Unterstreichung kenntlich gemacht):</w:t>
      </w:r>
    </w:p>
    <w:p w:rsidR="00F6410F" w:rsidRPr="00F6410F" w:rsidRDefault="00F6410F" w:rsidP="00F6410F">
      <w:pPr>
        <w:spacing w:after="0"/>
        <w:ind w:right="566"/>
        <w:jc w:val="both"/>
        <w:rPr>
          <w:sz w:val="20"/>
          <w:lang w:val="de-DE"/>
        </w:rPr>
      </w:pPr>
    </w:p>
    <w:p w:rsidR="00F6410F" w:rsidRPr="00F6410F" w:rsidRDefault="00F6410F" w:rsidP="00F6410F">
      <w:pPr>
        <w:spacing w:after="0"/>
        <w:ind w:right="566"/>
        <w:jc w:val="both"/>
        <w:rPr>
          <w:sz w:val="20"/>
          <w:lang w:val="de-DE"/>
        </w:rPr>
      </w:pPr>
      <w:r w:rsidRPr="00F6410F">
        <w:rPr>
          <w:sz w:val="20"/>
          <w:lang w:val="de-DE"/>
        </w:rPr>
        <w:t>„</w:t>
      </w:r>
      <w:r w:rsidRPr="00F6410F">
        <w:rPr>
          <w:b/>
          <w:i/>
          <w:sz w:val="20"/>
          <w:lang w:val="de-DE"/>
        </w:rPr>
        <w:t>Explosionsgruppe/</w:t>
      </w:r>
      <w:r w:rsidRPr="00F6410F">
        <w:rPr>
          <w:b/>
          <w:i/>
          <w:sz w:val="20"/>
          <w:u w:val="single"/>
          <w:lang w:val="de-DE"/>
        </w:rPr>
        <w:t>Untergruppe</w:t>
      </w:r>
      <w:r w:rsidRPr="00F6410F">
        <w:rPr>
          <w:b/>
          <w:i/>
          <w:sz w:val="20"/>
          <w:lang w:val="de-DE"/>
        </w:rPr>
        <w:t>:</w:t>
      </w:r>
      <w:r w:rsidRPr="00F6410F">
        <w:rPr>
          <w:sz w:val="20"/>
          <w:lang w:val="de-DE"/>
        </w:rPr>
        <w:t xml:space="preserve"> Einteilung der brennbaren Gase und Dämpfe nach ihrer Zünddurchschlagfähigkeit durch Spalte (Normspaltweite, bestimmt nach festgelegten Bedingungen) und/oder nach dem Mindestzündstromverhältnis sowie der zum Einsatz in explosionsgefährdeten Bereichen zugelassenen </w:t>
      </w:r>
      <w:r w:rsidRPr="00F6410F">
        <w:rPr>
          <w:strike/>
          <w:sz w:val="20"/>
          <w:lang w:val="de-DE"/>
        </w:rPr>
        <w:t xml:space="preserve">Betriebsmitteln (siehe EN IEC 60079-0:2012) </w:t>
      </w:r>
      <w:r w:rsidRPr="00F6410F">
        <w:rPr>
          <w:sz w:val="20"/>
          <w:u w:val="single"/>
          <w:lang w:val="de-DE"/>
        </w:rPr>
        <w:t>Anlagen, Geräte und autonomen Schutzsysteme. Für autonome Schutzsysteme erfolgt eine Unterteilung der Explosionsgruppe II B in Untergruppen</w:t>
      </w:r>
      <w:r w:rsidRPr="00F6410F">
        <w:rPr>
          <w:sz w:val="20"/>
          <w:lang w:val="de-DE"/>
        </w:rPr>
        <w:t>.“.</w:t>
      </w:r>
    </w:p>
    <w:p w:rsidR="00F6410F" w:rsidRPr="00F6410F" w:rsidRDefault="00F6410F" w:rsidP="00F6410F">
      <w:pPr>
        <w:spacing w:after="0"/>
        <w:ind w:right="566"/>
        <w:jc w:val="both"/>
        <w:rPr>
          <w:sz w:val="20"/>
          <w:lang w:val="de-DE"/>
        </w:rPr>
      </w:pPr>
    </w:p>
    <w:p w:rsidR="00163137" w:rsidRDefault="00163137">
      <w:pPr>
        <w:spacing w:after="0"/>
        <w:rPr>
          <w:sz w:val="20"/>
          <w:lang w:val="de-DE"/>
        </w:rPr>
      </w:pPr>
      <w:r>
        <w:rPr>
          <w:lang w:val="de-DE"/>
        </w:rPr>
        <w:br w:type="page"/>
      </w:r>
    </w:p>
    <w:p w:rsidR="00F6410F" w:rsidRPr="00F6410F" w:rsidRDefault="00F6410F" w:rsidP="00163137">
      <w:pPr>
        <w:pStyle w:val="SingleTxtG"/>
        <w:tabs>
          <w:tab w:val="left" w:pos="567"/>
        </w:tabs>
        <w:ind w:left="0" w:right="566"/>
        <w:rPr>
          <w:lang w:val="de-DE"/>
        </w:rPr>
      </w:pPr>
      <w:r w:rsidRPr="00F6410F">
        <w:rPr>
          <w:lang w:val="de-DE"/>
        </w:rPr>
        <w:lastRenderedPageBreak/>
        <w:t>2</w:t>
      </w:r>
      <w:r w:rsidR="00E04161">
        <w:rPr>
          <w:lang w:val="de-DE"/>
        </w:rPr>
        <w:t>9</w:t>
      </w:r>
      <w:r w:rsidRPr="00F6410F">
        <w:rPr>
          <w:lang w:val="de-DE"/>
        </w:rPr>
        <w:t>.</w:t>
      </w:r>
      <w:r w:rsidRPr="00F6410F">
        <w:rPr>
          <w:lang w:val="de-DE"/>
        </w:rPr>
        <w:tab/>
        <w:t xml:space="preserve">Die in 3.2.3.3 </w:t>
      </w:r>
      <w:r w:rsidR="00CB6597">
        <w:rPr>
          <w:lang w:val="de-DE"/>
        </w:rPr>
        <w:t>„</w:t>
      </w:r>
      <w:r w:rsidRPr="00F6410F">
        <w:rPr>
          <w:lang w:val="de-DE"/>
        </w:rPr>
        <w:t>Entscheidungsdiagramm, Schemata und Kriterien für die Festlegung der anwendbaren besonderen Vorschriften (Spalten (6) bis (20) der Tabelle C)</w:t>
      </w:r>
      <w:r w:rsidR="00CB6597">
        <w:rPr>
          <w:lang w:val="de-DE"/>
        </w:rPr>
        <w:t>“</w:t>
      </w:r>
      <w:r w:rsidRPr="00F6410F">
        <w:rPr>
          <w:lang w:val="de-DE"/>
        </w:rPr>
        <w:t xml:space="preserve"> </w:t>
      </w:r>
      <w:r w:rsidR="00CB6597">
        <w:rPr>
          <w:lang w:val="de-DE"/>
        </w:rPr>
        <w:t>„</w:t>
      </w:r>
      <w:r w:rsidRPr="00F6410F">
        <w:rPr>
          <w:lang w:val="de-DE"/>
        </w:rPr>
        <w:t>Spalte (16): Bestimmung der Explosionsgruppe</w:t>
      </w:r>
      <w:r w:rsidR="00CB6597">
        <w:rPr>
          <w:lang w:val="de-DE"/>
        </w:rPr>
        <w:t>“</w:t>
      </w:r>
      <w:r w:rsidRPr="00F6410F">
        <w:rPr>
          <w:lang w:val="de-DE"/>
        </w:rPr>
        <w:t xml:space="preserve"> und in 3.2.4.3 </w:t>
      </w:r>
      <w:r w:rsidR="00CB6597">
        <w:rPr>
          <w:lang w:val="de-DE"/>
        </w:rPr>
        <w:t>„</w:t>
      </w:r>
      <w:r w:rsidRPr="00F6410F">
        <w:rPr>
          <w:lang w:val="de-DE"/>
        </w:rPr>
        <w:t>Zuordnungskriterien für die Stoffe</w:t>
      </w:r>
      <w:r w:rsidR="00CB6597">
        <w:rPr>
          <w:lang w:val="de-DE"/>
        </w:rPr>
        <w:t>“</w:t>
      </w:r>
      <w:r w:rsidRPr="00F6410F">
        <w:rPr>
          <w:lang w:val="de-DE"/>
        </w:rPr>
        <w:t xml:space="preserve"> </w:t>
      </w:r>
      <w:r w:rsidR="00CB6597">
        <w:rPr>
          <w:lang w:val="de-DE"/>
        </w:rPr>
        <w:t>„</w:t>
      </w:r>
      <w:r w:rsidRPr="00F6410F">
        <w:rPr>
          <w:lang w:val="de-DE"/>
        </w:rPr>
        <w:t>H. Spalte (16): Bestimmung der Explosionsgruppe</w:t>
      </w:r>
      <w:r w:rsidR="00CB6597">
        <w:rPr>
          <w:lang w:val="de-DE"/>
        </w:rPr>
        <w:t>“</w:t>
      </w:r>
      <w:r w:rsidRPr="00F6410F">
        <w:rPr>
          <w:lang w:val="de-DE"/>
        </w:rPr>
        <w:t xml:space="preserve"> jeweils enthaltene Tabelle ersetzen durch:</w:t>
      </w:r>
    </w:p>
    <w:p w:rsidR="00F6410F" w:rsidRPr="00F6410F" w:rsidRDefault="00F6410F" w:rsidP="00F6410F">
      <w:pPr>
        <w:pStyle w:val="SingleTxtG"/>
        <w:tabs>
          <w:tab w:val="left" w:pos="1701"/>
        </w:tabs>
        <w:rPr>
          <w:lang w:val="de-DE"/>
        </w:rPr>
      </w:pPr>
    </w:p>
    <w:tbl>
      <w:tblPr>
        <w:tblStyle w:val="TableGrid"/>
        <w:tblW w:w="6161" w:type="dxa"/>
        <w:tblInd w:w="1293" w:type="dxa"/>
        <w:tblLook w:val="04A0" w:firstRow="1" w:lastRow="0" w:firstColumn="1" w:lastColumn="0" w:noHBand="0" w:noVBand="1"/>
      </w:tblPr>
      <w:tblGrid>
        <w:gridCol w:w="1494"/>
        <w:gridCol w:w="1353"/>
        <w:gridCol w:w="1657"/>
        <w:gridCol w:w="1657"/>
      </w:tblGrid>
      <w:tr w:rsidR="00F6410F" w:rsidRPr="00F6410F" w:rsidTr="00436EA2">
        <w:tc>
          <w:tcPr>
            <w:tcW w:w="1494" w:type="dxa"/>
            <w:tcBorders>
              <w:top w:val="single" w:sz="4" w:space="0" w:color="auto"/>
              <w:left w:val="single" w:sz="4" w:space="0" w:color="auto"/>
              <w:bottom w:val="single" w:sz="4" w:space="0" w:color="auto"/>
            </w:tcBorders>
          </w:tcPr>
          <w:p w:rsidR="00F6410F" w:rsidRPr="00F6410F" w:rsidRDefault="00F6410F" w:rsidP="00436EA2">
            <w:pPr>
              <w:jc w:val="center"/>
              <w:rPr>
                <w:sz w:val="20"/>
              </w:rPr>
            </w:pPr>
            <w:r w:rsidRPr="00F6410F">
              <w:rPr>
                <w:sz w:val="20"/>
              </w:rPr>
              <w:t>Normspaltweite</w:t>
            </w:r>
            <w:r w:rsidRPr="00F6410F">
              <w:rPr>
                <w:sz w:val="20"/>
              </w:rPr>
              <w:br/>
              <w:t>in mm</w:t>
            </w:r>
          </w:p>
        </w:tc>
        <w:tc>
          <w:tcPr>
            <w:tcW w:w="1353" w:type="dxa"/>
            <w:tcBorders>
              <w:top w:val="single" w:sz="4" w:space="0" w:color="auto"/>
              <w:bottom w:val="single" w:sz="4" w:space="0" w:color="auto"/>
            </w:tcBorders>
          </w:tcPr>
          <w:p w:rsidR="00F6410F" w:rsidRPr="00F6410F" w:rsidRDefault="00F6410F" w:rsidP="00436EA2">
            <w:pPr>
              <w:jc w:val="center"/>
              <w:rPr>
                <w:sz w:val="20"/>
              </w:rPr>
            </w:pPr>
            <w:r w:rsidRPr="00F6410F">
              <w:rPr>
                <w:sz w:val="20"/>
              </w:rPr>
              <w:t>Explosions-gruppe</w:t>
            </w:r>
          </w:p>
        </w:tc>
        <w:tc>
          <w:tcPr>
            <w:tcW w:w="1657" w:type="dxa"/>
            <w:tcBorders>
              <w:top w:val="single" w:sz="4" w:space="0" w:color="auto"/>
              <w:bottom w:val="single" w:sz="4" w:space="0" w:color="auto"/>
            </w:tcBorders>
          </w:tcPr>
          <w:p w:rsidR="00F6410F" w:rsidRPr="00F6410F" w:rsidRDefault="00F6410F" w:rsidP="00436EA2">
            <w:pPr>
              <w:jc w:val="center"/>
              <w:rPr>
                <w:sz w:val="20"/>
              </w:rPr>
            </w:pPr>
            <w:r w:rsidRPr="00F6410F">
              <w:rPr>
                <w:sz w:val="20"/>
              </w:rPr>
              <w:t>Normspaltweite</w:t>
            </w:r>
            <w:r w:rsidRPr="00F6410F">
              <w:rPr>
                <w:sz w:val="20"/>
              </w:rPr>
              <w:br/>
              <w:t>in mm</w:t>
            </w:r>
          </w:p>
        </w:tc>
        <w:tc>
          <w:tcPr>
            <w:tcW w:w="1657" w:type="dxa"/>
            <w:tcBorders>
              <w:top w:val="single" w:sz="4" w:space="0" w:color="auto"/>
              <w:bottom w:val="single" w:sz="4" w:space="0" w:color="auto"/>
              <w:right w:val="single" w:sz="4" w:space="0" w:color="auto"/>
            </w:tcBorders>
          </w:tcPr>
          <w:p w:rsidR="00F6410F" w:rsidRPr="00F6410F" w:rsidRDefault="00F6410F" w:rsidP="00436EA2">
            <w:pPr>
              <w:jc w:val="center"/>
              <w:rPr>
                <w:sz w:val="20"/>
              </w:rPr>
            </w:pPr>
            <w:r w:rsidRPr="00F6410F">
              <w:rPr>
                <w:sz w:val="20"/>
              </w:rPr>
              <w:t>Untergruppe</w:t>
            </w:r>
            <w:r w:rsidRPr="00F6410F">
              <w:rPr>
                <w:sz w:val="20"/>
              </w:rPr>
              <w:br/>
              <w:t>von II B</w:t>
            </w:r>
          </w:p>
        </w:tc>
      </w:tr>
      <w:tr w:rsidR="00F6410F" w:rsidRPr="00F6410F" w:rsidTr="00436EA2">
        <w:tc>
          <w:tcPr>
            <w:tcW w:w="1494" w:type="dxa"/>
            <w:tcBorders>
              <w:top w:val="single" w:sz="4" w:space="0" w:color="auto"/>
            </w:tcBorders>
          </w:tcPr>
          <w:p w:rsidR="00F6410F" w:rsidRPr="00F6410F" w:rsidRDefault="00F6410F" w:rsidP="00436EA2">
            <w:pPr>
              <w:jc w:val="center"/>
              <w:rPr>
                <w:sz w:val="20"/>
              </w:rPr>
            </w:pPr>
            <w:r w:rsidRPr="00F6410F">
              <w:rPr>
                <w:sz w:val="20"/>
              </w:rPr>
              <w:t>&gt; 0,9</w:t>
            </w:r>
          </w:p>
        </w:tc>
        <w:tc>
          <w:tcPr>
            <w:tcW w:w="1353" w:type="dxa"/>
            <w:tcBorders>
              <w:top w:val="single" w:sz="4" w:space="0" w:color="auto"/>
            </w:tcBorders>
          </w:tcPr>
          <w:p w:rsidR="00F6410F" w:rsidRPr="00F6410F" w:rsidRDefault="00F6410F" w:rsidP="00436EA2">
            <w:pPr>
              <w:jc w:val="center"/>
              <w:rPr>
                <w:sz w:val="20"/>
              </w:rPr>
            </w:pPr>
            <w:r w:rsidRPr="00F6410F">
              <w:rPr>
                <w:sz w:val="20"/>
              </w:rPr>
              <w:t>II A</w:t>
            </w:r>
          </w:p>
        </w:tc>
        <w:tc>
          <w:tcPr>
            <w:tcW w:w="1657" w:type="dxa"/>
            <w:tcBorders>
              <w:top w:val="single" w:sz="4" w:space="0" w:color="auto"/>
            </w:tcBorders>
          </w:tcPr>
          <w:p w:rsidR="00F6410F" w:rsidRPr="00F6410F" w:rsidRDefault="00F6410F" w:rsidP="00436EA2">
            <w:pPr>
              <w:jc w:val="center"/>
              <w:rPr>
                <w:sz w:val="20"/>
              </w:rPr>
            </w:pPr>
          </w:p>
        </w:tc>
        <w:tc>
          <w:tcPr>
            <w:tcW w:w="1657" w:type="dxa"/>
            <w:tcBorders>
              <w:top w:val="single" w:sz="4" w:space="0" w:color="auto"/>
            </w:tcBorders>
          </w:tcPr>
          <w:p w:rsidR="00F6410F" w:rsidRPr="00F6410F" w:rsidRDefault="00F6410F" w:rsidP="00436EA2">
            <w:pPr>
              <w:jc w:val="center"/>
              <w:rPr>
                <w:sz w:val="20"/>
              </w:rPr>
            </w:pPr>
          </w:p>
        </w:tc>
      </w:tr>
      <w:tr w:rsidR="00F6410F" w:rsidRPr="00F6410F" w:rsidTr="00436EA2">
        <w:tc>
          <w:tcPr>
            <w:tcW w:w="1494" w:type="dxa"/>
            <w:vMerge w:val="restart"/>
          </w:tcPr>
          <w:p w:rsidR="00F6410F" w:rsidRPr="00F6410F" w:rsidRDefault="00F6410F" w:rsidP="00436EA2">
            <w:pPr>
              <w:jc w:val="center"/>
              <w:rPr>
                <w:sz w:val="20"/>
              </w:rPr>
            </w:pPr>
            <w:r w:rsidRPr="00F6410F">
              <w:rPr>
                <w:sz w:val="20"/>
              </w:rPr>
              <w:br/>
            </w:r>
            <w:r w:rsidRPr="00F6410F">
              <w:rPr>
                <w:sz w:val="20"/>
              </w:rPr>
              <w:br/>
            </w:r>
            <w:r w:rsidRPr="00F6410F">
              <w:rPr>
                <w:sz w:val="20"/>
              </w:rPr>
              <w:br/>
            </w:r>
            <w:r w:rsidRPr="00F6410F">
              <w:rPr>
                <w:sz w:val="20"/>
              </w:rPr>
              <w:br/>
            </w:r>
            <w:r w:rsidRPr="00F6410F">
              <w:rPr>
                <w:sz w:val="20"/>
              </w:rPr>
              <w:br/>
            </w:r>
            <w:r w:rsidRPr="00F6410F">
              <w:rPr>
                <w:sz w:val="20"/>
              </w:rPr>
              <w:br/>
            </w:r>
            <w:r w:rsidRPr="00F6410F">
              <w:rPr>
                <w:sz w:val="20"/>
              </w:rPr>
              <w:br/>
            </w:r>
            <w:r w:rsidRPr="00F6410F">
              <w:rPr>
                <w:sz w:val="20"/>
              </w:rPr>
              <w:br/>
              <w:t>≥ 0,5 bis ≤ 0,9</w:t>
            </w:r>
          </w:p>
        </w:tc>
        <w:tc>
          <w:tcPr>
            <w:tcW w:w="1353" w:type="dxa"/>
            <w:vMerge w:val="restart"/>
          </w:tcPr>
          <w:p w:rsidR="00F6410F" w:rsidRPr="00F6410F" w:rsidRDefault="00F6410F" w:rsidP="00436EA2">
            <w:pPr>
              <w:jc w:val="center"/>
              <w:rPr>
                <w:sz w:val="20"/>
              </w:rPr>
            </w:pPr>
            <w:r w:rsidRPr="00F6410F">
              <w:rPr>
                <w:sz w:val="20"/>
              </w:rPr>
              <w:br/>
            </w:r>
            <w:r w:rsidRPr="00F6410F">
              <w:rPr>
                <w:sz w:val="20"/>
              </w:rPr>
              <w:br/>
            </w:r>
            <w:r w:rsidRPr="00F6410F">
              <w:rPr>
                <w:sz w:val="20"/>
              </w:rPr>
              <w:br/>
            </w:r>
            <w:r w:rsidRPr="00F6410F">
              <w:rPr>
                <w:sz w:val="20"/>
              </w:rPr>
              <w:br/>
            </w:r>
            <w:r w:rsidRPr="00F6410F">
              <w:rPr>
                <w:sz w:val="20"/>
              </w:rPr>
              <w:br/>
            </w:r>
            <w:r w:rsidRPr="00F6410F">
              <w:rPr>
                <w:sz w:val="20"/>
              </w:rPr>
              <w:br/>
            </w:r>
            <w:r w:rsidRPr="00F6410F">
              <w:rPr>
                <w:sz w:val="20"/>
              </w:rPr>
              <w:br/>
            </w:r>
            <w:r w:rsidRPr="00F6410F">
              <w:rPr>
                <w:sz w:val="20"/>
              </w:rPr>
              <w:br/>
              <w:t>II B</w:t>
            </w:r>
          </w:p>
        </w:tc>
        <w:tc>
          <w:tcPr>
            <w:tcW w:w="1657" w:type="dxa"/>
          </w:tcPr>
          <w:p w:rsidR="00F6410F" w:rsidRPr="00F6410F" w:rsidRDefault="00F6410F" w:rsidP="00436EA2">
            <w:pPr>
              <w:jc w:val="center"/>
              <w:rPr>
                <w:sz w:val="20"/>
              </w:rPr>
            </w:pPr>
            <w:r w:rsidRPr="00F6410F">
              <w:rPr>
                <w:sz w:val="20"/>
              </w:rPr>
              <w:t>&gt; 0,85 bis ≤ 0,9</w:t>
            </w:r>
          </w:p>
        </w:tc>
        <w:tc>
          <w:tcPr>
            <w:tcW w:w="1657" w:type="dxa"/>
          </w:tcPr>
          <w:p w:rsidR="00F6410F" w:rsidRPr="00F6410F" w:rsidRDefault="00F6410F" w:rsidP="00436EA2">
            <w:pPr>
              <w:jc w:val="center"/>
              <w:rPr>
                <w:sz w:val="20"/>
              </w:rPr>
            </w:pPr>
            <w:r w:rsidRPr="00F6410F">
              <w:rPr>
                <w:sz w:val="20"/>
              </w:rPr>
              <w:t>II B1</w:t>
            </w:r>
          </w:p>
        </w:tc>
      </w:tr>
      <w:tr w:rsidR="00F6410F" w:rsidRPr="00F6410F" w:rsidTr="00436EA2">
        <w:tc>
          <w:tcPr>
            <w:tcW w:w="1494" w:type="dxa"/>
            <w:vMerge/>
          </w:tcPr>
          <w:p w:rsidR="00F6410F" w:rsidRPr="00F6410F" w:rsidRDefault="00F6410F" w:rsidP="00436EA2">
            <w:pPr>
              <w:jc w:val="center"/>
              <w:rPr>
                <w:sz w:val="20"/>
              </w:rPr>
            </w:pPr>
          </w:p>
        </w:tc>
        <w:tc>
          <w:tcPr>
            <w:tcW w:w="1353" w:type="dxa"/>
            <w:vMerge/>
          </w:tcPr>
          <w:p w:rsidR="00F6410F" w:rsidRPr="00F6410F" w:rsidRDefault="00F6410F" w:rsidP="00436EA2">
            <w:pPr>
              <w:jc w:val="center"/>
              <w:rPr>
                <w:sz w:val="20"/>
              </w:rPr>
            </w:pPr>
          </w:p>
        </w:tc>
        <w:tc>
          <w:tcPr>
            <w:tcW w:w="1657" w:type="dxa"/>
          </w:tcPr>
          <w:p w:rsidR="00F6410F" w:rsidRPr="00F6410F" w:rsidRDefault="00F6410F" w:rsidP="00436EA2">
            <w:pPr>
              <w:jc w:val="center"/>
              <w:rPr>
                <w:sz w:val="20"/>
              </w:rPr>
            </w:pPr>
            <w:r w:rsidRPr="00F6410F">
              <w:rPr>
                <w:sz w:val="20"/>
              </w:rPr>
              <w:t>&gt; 0,75 bis ≤ 0,85</w:t>
            </w:r>
          </w:p>
        </w:tc>
        <w:tc>
          <w:tcPr>
            <w:tcW w:w="1657" w:type="dxa"/>
          </w:tcPr>
          <w:p w:rsidR="00F6410F" w:rsidRPr="00F6410F" w:rsidRDefault="00F6410F" w:rsidP="00436EA2">
            <w:pPr>
              <w:jc w:val="center"/>
              <w:rPr>
                <w:sz w:val="20"/>
              </w:rPr>
            </w:pPr>
            <w:r w:rsidRPr="00F6410F">
              <w:rPr>
                <w:sz w:val="20"/>
              </w:rPr>
              <w:t>II B2</w:t>
            </w:r>
          </w:p>
        </w:tc>
      </w:tr>
      <w:tr w:rsidR="00F6410F" w:rsidRPr="00F6410F" w:rsidTr="00436EA2">
        <w:tc>
          <w:tcPr>
            <w:tcW w:w="1494" w:type="dxa"/>
            <w:vMerge/>
          </w:tcPr>
          <w:p w:rsidR="00F6410F" w:rsidRPr="00F6410F" w:rsidRDefault="00F6410F" w:rsidP="00436EA2">
            <w:pPr>
              <w:jc w:val="center"/>
              <w:rPr>
                <w:sz w:val="20"/>
              </w:rPr>
            </w:pPr>
          </w:p>
        </w:tc>
        <w:tc>
          <w:tcPr>
            <w:tcW w:w="1353" w:type="dxa"/>
            <w:vMerge/>
          </w:tcPr>
          <w:p w:rsidR="00F6410F" w:rsidRPr="00F6410F" w:rsidRDefault="00F6410F" w:rsidP="00436EA2">
            <w:pPr>
              <w:jc w:val="center"/>
              <w:rPr>
                <w:sz w:val="20"/>
              </w:rPr>
            </w:pPr>
          </w:p>
        </w:tc>
        <w:tc>
          <w:tcPr>
            <w:tcW w:w="1657" w:type="dxa"/>
          </w:tcPr>
          <w:p w:rsidR="00F6410F" w:rsidRPr="00F6410F" w:rsidRDefault="00F6410F" w:rsidP="00436EA2">
            <w:pPr>
              <w:jc w:val="center"/>
              <w:rPr>
                <w:sz w:val="20"/>
              </w:rPr>
            </w:pPr>
            <w:r w:rsidRPr="00F6410F">
              <w:rPr>
                <w:sz w:val="20"/>
              </w:rPr>
              <w:t>&gt; 0,65 bis ≤ 0,75</w:t>
            </w:r>
          </w:p>
        </w:tc>
        <w:tc>
          <w:tcPr>
            <w:tcW w:w="1657" w:type="dxa"/>
          </w:tcPr>
          <w:p w:rsidR="00F6410F" w:rsidRPr="00F6410F" w:rsidRDefault="00F6410F" w:rsidP="00436EA2">
            <w:pPr>
              <w:jc w:val="center"/>
              <w:rPr>
                <w:sz w:val="20"/>
              </w:rPr>
            </w:pPr>
            <w:r w:rsidRPr="00F6410F">
              <w:rPr>
                <w:sz w:val="20"/>
              </w:rPr>
              <w:t>II B3</w:t>
            </w:r>
          </w:p>
        </w:tc>
      </w:tr>
      <w:tr w:rsidR="00F6410F" w:rsidRPr="00F6410F" w:rsidTr="00436EA2">
        <w:trPr>
          <w:trHeight w:val="547"/>
        </w:trPr>
        <w:tc>
          <w:tcPr>
            <w:tcW w:w="1494" w:type="dxa"/>
            <w:vMerge/>
            <w:tcBorders>
              <w:bottom w:val="single" w:sz="4" w:space="0" w:color="auto"/>
            </w:tcBorders>
          </w:tcPr>
          <w:p w:rsidR="00F6410F" w:rsidRPr="00F6410F" w:rsidRDefault="00F6410F" w:rsidP="00436EA2">
            <w:pPr>
              <w:jc w:val="center"/>
              <w:rPr>
                <w:sz w:val="20"/>
              </w:rPr>
            </w:pPr>
          </w:p>
        </w:tc>
        <w:tc>
          <w:tcPr>
            <w:tcW w:w="1353" w:type="dxa"/>
            <w:vMerge/>
            <w:tcBorders>
              <w:bottom w:val="single" w:sz="4" w:space="0" w:color="auto"/>
            </w:tcBorders>
          </w:tcPr>
          <w:p w:rsidR="00F6410F" w:rsidRPr="00F6410F" w:rsidRDefault="00F6410F" w:rsidP="00436EA2">
            <w:pPr>
              <w:jc w:val="center"/>
              <w:rPr>
                <w:sz w:val="20"/>
              </w:rPr>
            </w:pPr>
          </w:p>
        </w:tc>
        <w:tc>
          <w:tcPr>
            <w:tcW w:w="1657" w:type="dxa"/>
            <w:tcBorders>
              <w:bottom w:val="single" w:sz="4" w:space="0" w:color="auto"/>
            </w:tcBorders>
          </w:tcPr>
          <w:p w:rsidR="00F6410F" w:rsidRPr="00F6410F" w:rsidRDefault="00F6410F" w:rsidP="00436EA2">
            <w:pPr>
              <w:jc w:val="center"/>
              <w:rPr>
                <w:sz w:val="20"/>
              </w:rPr>
            </w:pPr>
          </w:p>
        </w:tc>
        <w:tc>
          <w:tcPr>
            <w:tcW w:w="1657" w:type="dxa"/>
            <w:tcBorders>
              <w:bottom w:val="single" w:sz="4" w:space="0" w:color="auto"/>
            </w:tcBorders>
          </w:tcPr>
          <w:p w:rsidR="00F6410F" w:rsidRPr="00F6410F" w:rsidRDefault="00F6410F" w:rsidP="00436EA2">
            <w:pPr>
              <w:jc w:val="center"/>
              <w:rPr>
                <w:sz w:val="20"/>
              </w:rPr>
            </w:pPr>
            <w:r w:rsidRPr="00F6410F">
              <w:rPr>
                <w:sz w:val="20"/>
              </w:rPr>
              <w:br/>
            </w:r>
            <w:r w:rsidRPr="00F6410F">
              <w:rPr>
                <w:sz w:val="20"/>
              </w:rPr>
              <w:br/>
            </w:r>
          </w:p>
        </w:tc>
      </w:tr>
      <w:tr w:rsidR="00F6410F" w:rsidRPr="00F6410F" w:rsidTr="00436EA2">
        <w:tc>
          <w:tcPr>
            <w:tcW w:w="1494" w:type="dxa"/>
            <w:tcBorders>
              <w:top w:val="single" w:sz="4" w:space="0" w:color="auto"/>
              <w:left w:val="single" w:sz="4" w:space="0" w:color="auto"/>
              <w:bottom w:val="single" w:sz="4" w:space="0" w:color="auto"/>
            </w:tcBorders>
          </w:tcPr>
          <w:p w:rsidR="00F6410F" w:rsidRPr="00F6410F" w:rsidRDefault="00F6410F" w:rsidP="00436EA2">
            <w:pPr>
              <w:jc w:val="center"/>
              <w:rPr>
                <w:sz w:val="20"/>
              </w:rPr>
            </w:pPr>
            <w:r w:rsidRPr="00F6410F">
              <w:rPr>
                <w:sz w:val="20"/>
              </w:rPr>
              <w:t>&lt; 0,5</w:t>
            </w:r>
          </w:p>
        </w:tc>
        <w:tc>
          <w:tcPr>
            <w:tcW w:w="1353" w:type="dxa"/>
            <w:tcBorders>
              <w:top w:val="single" w:sz="4" w:space="0" w:color="auto"/>
              <w:bottom w:val="single" w:sz="4" w:space="0" w:color="auto"/>
            </w:tcBorders>
          </w:tcPr>
          <w:p w:rsidR="00F6410F" w:rsidRPr="00F6410F" w:rsidRDefault="00F6410F" w:rsidP="00436EA2">
            <w:pPr>
              <w:jc w:val="center"/>
              <w:rPr>
                <w:sz w:val="20"/>
              </w:rPr>
            </w:pPr>
            <w:r w:rsidRPr="00F6410F">
              <w:rPr>
                <w:sz w:val="20"/>
              </w:rPr>
              <w:t>II C</w:t>
            </w:r>
          </w:p>
        </w:tc>
        <w:tc>
          <w:tcPr>
            <w:tcW w:w="1657" w:type="dxa"/>
            <w:tcBorders>
              <w:top w:val="single" w:sz="4" w:space="0" w:color="auto"/>
              <w:bottom w:val="single" w:sz="4" w:space="0" w:color="auto"/>
            </w:tcBorders>
          </w:tcPr>
          <w:p w:rsidR="00F6410F" w:rsidRPr="00F6410F" w:rsidRDefault="00F6410F" w:rsidP="00436EA2">
            <w:pPr>
              <w:jc w:val="center"/>
              <w:rPr>
                <w:sz w:val="20"/>
              </w:rPr>
            </w:pPr>
          </w:p>
        </w:tc>
        <w:tc>
          <w:tcPr>
            <w:tcW w:w="1657" w:type="dxa"/>
            <w:tcBorders>
              <w:top w:val="single" w:sz="4" w:space="0" w:color="auto"/>
              <w:bottom w:val="single" w:sz="4" w:space="0" w:color="auto"/>
              <w:right w:val="single" w:sz="4" w:space="0" w:color="auto"/>
            </w:tcBorders>
          </w:tcPr>
          <w:p w:rsidR="00F6410F" w:rsidRPr="00F6410F" w:rsidRDefault="00F6410F" w:rsidP="00436EA2">
            <w:pPr>
              <w:jc w:val="center"/>
              <w:rPr>
                <w:sz w:val="20"/>
              </w:rPr>
            </w:pPr>
          </w:p>
        </w:tc>
      </w:tr>
    </w:tbl>
    <w:p w:rsidR="00F6410F" w:rsidRPr="00F6410F" w:rsidRDefault="00F6410F" w:rsidP="00F6410F">
      <w:pPr>
        <w:pStyle w:val="SingleTxtG"/>
        <w:tabs>
          <w:tab w:val="left" w:pos="1701"/>
        </w:tabs>
        <w:rPr>
          <w:lang w:val="de-DE"/>
        </w:rPr>
      </w:pPr>
    </w:p>
    <w:p w:rsidR="00F6410F" w:rsidRPr="00F6410F" w:rsidRDefault="00F6410F" w:rsidP="00F6410F">
      <w:pPr>
        <w:pStyle w:val="SingleTxtG"/>
        <w:tabs>
          <w:tab w:val="left" w:pos="1701"/>
        </w:tabs>
        <w:ind w:left="0"/>
        <w:rPr>
          <w:lang w:val="de-DE"/>
        </w:rPr>
      </w:pPr>
      <w:r w:rsidRPr="00F6410F">
        <w:rPr>
          <w:lang w:val="de-DE"/>
        </w:rPr>
        <w:t>Die Texte an den beiden oben genannten Fundstellen bleiben unverändert.</w:t>
      </w:r>
    </w:p>
    <w:p w:rsidR="007A05BF" w:rsidRPr="00F6410F" w:rsidRDefault="00F6410F" w:rsidP="00F6410F">
      <w:pPr>
        <w:tabs>
          <w:tab w:val="left" w:pos="1701"/>
        </w:tabs>
        <w:suppressAutoHyphens/>
        <w:spacing w:before="240" w:after="0" w:line="240" w:lineRule="atLeast"/>
        <w:ind w:left="1134" w:right="1134"/>
        <w:jc w:val="center"/>
        <w:rPr>
          <w:sz w:val="20"/>
          <w:lang w:val="de-DE"/>
        </w:rPr>
      </w:pPr>
      <w:r w:rsidRPr="00F6410F">
        <w:rPr>
          <w:sz w:val="20"/>
          <w:lang w:val="de-DE"/>
        </w:rPr>
        <w:t>***</w:t>
      </w:r>
    </w:p>
    <w:sectPr w:rsidR="007A05BF" w:rsidRPr="00F6410F" w:rsidSect="007A05BF">
      <w:headerReference w:type="even" r:id="rId9"/>
      <w:headerReference w:type="default" r:id="rId10"/>
      <w:footerReference w:type="even" r:id="rId11"/>
      <w:footerReference w:type="default" r:id="rId12"/>
      <w:endnotePr>
        <w:numFmt w:val="decimal"/>
      </w:endnotePr>
      <w:type w:val="continuous"/>
      <w:pgSz w:w="11907" w:h="16840" w:code="9"/>
      <w:pgMar w:top="1418" w:right="1418" w:bottom="1418" w:left="1418" w:header="680" w:footer="68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D9F" w:rsidRDefault="00D04D9F">
      <w:pPr>
        <w:pStyle w:val="Footer"/>
      </w:pPr>
    </w:p>
  </w:endnote>
  <w:endnote w:type="continuationSeparator" w:id="0">
    <w:p w:rsidR="00D04D9F" w:rsidRDefault="00D04D9F">
      <w:pPr>
        <w:spacing w:after="0"/>
      </w:pPr>
    </w:p>
  </w:endnote>
  <w:endnote w:type="continuationNotice" w:id="1">
    <w:p w:rsidR="00D04D9F" w:rsidRDefault="00D04D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10F" w:rsidRDefault="005276DF" w:rsidP="005276DF">
    <w:pPr>
      <w:suppressAutoHyphens/>
      <w:spacing w:after="0"/>
      <w:jc w:val="right"/>
    </w:pPr>
    <w:r w:rsidRPr="00F6410F">
      <w:rPr>
        <w:rFonts w:ascii="Arial" w:hAnsi="Arial"/>
        <w:noProof/>
        <w:sz w:val="12"/>
        <w:szCs w:val="24"/>
        <w:lang w:val="fr-FR" w:eastAsia="fr-FR"/>
      </w:rPr>
      <w:t>mm/adn_wp15_ac2_2018_</w:t>
    </w:r>
    <w:r w:rsidR="00591C91">
      <w:rPr>
        <w:rFonts w:ascii="Arial" w:hAnsi="Arial"/>
        <w:noProof/>
        <w:sz w:val="12"/>
        <w:szCs w:val="24"/>
        <w:lang w:val="fr-FR" w:eastAsia="fr-FR"/>
      </w:rPr>
      <w:t>22</w:t>
    </w:r>
    <w:r w:rsidRPr="00F6410F">
      <w:rPr>
        <w:rFonts w:ascii="Arial" w:hAnsi="Arial"/>
        <w:noProof/>
        <w:sz w:val="12"/>
        <w:szCs w:val="24"/>
        <w:lang w:val="fr-FR" w:eastAsia="fr-FR"/>
      </w:rPr>
      <w:t>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C41" w:rsidRPr="00F6410F" w:rsidRDefault="00AB0C41" w:rsidP="00F6410F">
    <w:pPr>
      <w:suppressAutoHyphens/>
      <w:spacing w:after="0"/>
      <w:jc w:val="right"/>
      <w:rPr>
        <w:rFonts w:ascii="Arial" w:hAnsi="Arial"/>
        <w:noProof/>
        <w:sz w:val="12"/>
        <w:szCs w:val="24"/>
        <w:lang w:val="fr-FR" w:eastAsia="fr-FR"/>
      </w:rPr>
    </w:pPr>
    <w:r w:rsidRPr="00F6410F">
      <w:rPr>
        <w:rFonts w:ascii="Arial" w:hAnsi="Arial"/>
        <w:noProof/>
        <w:sz w:val="12"/>
        <w:szCs w:val="24"/>
        <w:lang w:val="fr-FR" w:eastAsia="fr-FR"/>
      </w:rPr>
      <w:t>mm/adn_wp15_ac2_2018_</w:t>
    </w:r>
    <w:r w:rsidR="00591C91">
      <w:rPr>
        <w:rFonts w:ascii="Arial" w:hAnsi="Arial"/>
        <w:noProof/>
        <w:sz w:val="12"/>
        <w:szCs w:val="24"/>
        <w:lang w:val="fr-FR" w:eastAsia="fr-FR"/>
      </w:rPr>
      <w:t>22</w:t>
    </w:r>
    <w:r w:rsidRPr="00F6410F">
      <w:rPr>
        <w:rFonts w:ascii="Arial" w:hAnsi="Arial"/>
        <w:noProof/>
        <w:sz w:val="12"/>
        <w:szCs w:val="24"/>
        <w:lang w:val="fr-FR" w:eastAsia="fr-FR"/>
      </w:rPr>
      <w: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D9F" w:rsidRDefault="00D04D9F">
      <w:pPr>
        <w:spacing w:after="0"/>
      </w:pPr>
      <w:r>
        <w:separator/>
      </w:r>
    </w:p>
  </w:footnote>
  <w:footnote w:type="continuationSeparator" w:id="0">
    <w:p w:rsidR="00D04D9F" w:rsidRPr="00F6410F" w:rsidRDefault="00D04D9F" w:rsidP="00F6410F">
      <w:pPr>
        <w:spacing w:after="0"/>
        <w:rPr>
          <w:u w:val="single"/>
        </w:rPr>
      </w:pPr>
      <w:r w:rsidRPr="00F6410F">
        <w:rPr>
          <w:u w:val="single"/>
        </w:rPr>
        <w:tab/>
      </w:r>
      <w:r w:rsidRPr="00F6410F">
        <w:rPr>
          <w:u w:val="single"/>
        </w:rPr>
        <w:tab/>
      </w:r>
      <w:r w:rsidRPr="00F6410F">
        <w:rPr>
          <w:u w:val="single"/>
        </w:rPr>
        <w:tab/>
      </w:r>
      <w:r w:rsidRPr="00F6410F">
        <w:rPr>
          <w:u w:val="single"/>
        </w:rPr>
        <w:tab/>
      </w:r>
    </w:p>
  </w:footnote>
  <w:footnote w:type="continuationNotice" w:id="1">
    <w:p w:rsidR="00D04D9F" w:rsidRDefault="00D04D9F">
      <w:pPr>
        <w:spacing w:after="0"/>
      </w:pPr>
    </w:p>
  </w:footnote>
  <w:footnote w:id="2">
    <w:p w:rsidR="004E14AD" w:rsidRPr="00403401" w:rsidRDefault="004E14AD" w:rsidP="004E14AD">
      <w:pPr>
        <w:pStyle w:val="FootnoteText"/>
        <w:spacing w:after="0"/>
        <w:ind w:left="284" w:hanging="284"/>
        <w:rPr>
          <w:sz w:val="16"/>
          <w:szCs w:val="16"/>
          <w:lang w:val="de-DE"/>
        </w:rPr>
      </w:pPr>
      <w:r w:rsidRPr="00403401">
        <w:rPr>
          <w:rStyle w:val="FootnoteReference"/>
          <w:lang w:val="de-DE"/>
        </w:rPr>
        <w:t>*</w:t>
      </w:r>
      <w:r w:rsidRPr="00403401">
        <w:rPr>
          <w:sz w:val="16"/>
          <w:szCs w:val="16"/>
          <w:lang w:val="de-DE"/>
        </w:rPr>
        <w:tab/>
        <w:t>Von der UN-ECE in Englisch, Französisch und Russisch unter dem Aktenzeichen ECE/TRANS/WP.15/AC.2/201</w:t>
      </w:r>
      <w:r>
        <w:rPr>
          <w:sz w:val="16"/>
          <w:szCs w:val="16"/>
          <w:lang w:val="de-DE"/>
        </w:rPr>
        <w:t>8</w:t>
      </w:r>
      <w:r w:rsidRPr="00403401">
        <w:rPr>
          <w:sz w:val="16"/>
          <w:szCs w:val="16"/>
          <w:lang w:val="de-DE"/>
        </w:rPr>
        <w:t>/</w:t>
      </w:r>
      <w:r>
        <w:rPr>
          <w:sz w:val="16"/>
          <w:szCs w:val="16"/>
          <w:lang w:val="de-DE"/>
        </w:rPr>
        <w:t>22</w:t>
      </w:r>
      <w:r w:rsidRPr="00403401">
        <w:rPr>
          <w:sz w:val="16"/>
          <w:szCs w:val="16"/>
          <w:lang w:val="de-DE"/>
        </w:rPr>
        <w:t xml:space="preserve"> verteilt.</w:t>
      </w:r>
    </w:p>
  </w:footnote>
  <w:footnote w:id="3">
    <w:p w:rsidR="004E14AD" w:rsidRPr="00403401" w:rsidRDefault="004E14AD" w:rsidP="004E14AD">
      <w:pPr>
        <w:pStyle w:val="FootnoteText"/>
        <w:tabs>
          <w:tab w:val="left" w:pos="284"/>
        </w:tabs>
        <w:spacing w:after="0"/>
        <w:ind w:left="284" w:hanging="284"/>
        <w:rPr>
          <w:sz w:val="16"/>
          <w:szCs w:val="16"/>
          <w:lang w:val="de-DE"/>
        </w:rPr>
      </w:pPr>
      <w:r w:rsidRPr="00403401">
        <w:rPr>
          <w:rStyle w:val="FootnoteReference"/>
          <w:lang w:val="de-DE"/>
        </w:rPr>
        <w:t>**</w:t>
      </w:r>
      <w:r w:rsidRPr="00403401">
        <w:rPr>
          <w:sz w:val="16"/>
          <w:szCs w:val="16"/>
          <w:lang w:val="de-DE"/>
        </w:rPr>
        <w:t xml:space="preserve"> </w:t>
      </w:r>
      <w:r w:rsidRPr="00403401">
        <w:rPr>
          <w:lang w:val="de-DE"/>
        </w:rPr>
        <w:tab/>
      </w:r>
      <w:r w:rsidRPr="00403401">
        <w:rPr>
          <w:sz w:val="16"/>
          <w:szCs w:val="16"/>
          <w:lang w:val="de-DE"/>
        </w:rPr>
        <w:t xml:space="preserve">Entsprechend dem Arbeitsprogramm des Binnenverkehrsausschusses für </w:t>
      </w:r>
      <w:r w:rsidRPr="003E0A67">
        <w:rPr>
          <w:sz w:val="16"/>
          <w:szCs w:val="16"/>
          <w:lang w:val="de-DE"/>
        </w:rPr>
        <w:t>2017-2018 (ECE/TRANS/WP.15/237 Anlage V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C41" w:rsidRPr="00F6410F" w:rsidRDefault="00AB0C41" w:rsidP="00F6410F">
    <w:pPr>
      <w:pStyle w:val="Header"/>
      <w:spacing w:after="0"/>
      <w:rPr>
        <w:rFonts w:ascii="Arial" w:hAnsi="Arial" w:cs="Arial"/>
        <w:sz w:val="16"/>
        <w:szCs w:val="16"/>
        <w:lang w:val="en-US"/>
      </w:rPr>
    </w:pPr>
    <w:r w:rsidRPr="00F6410F">
      <w:rPr>
        <w:rFonts w:ascii="Arial" w:hAnsi="Arial" w:cs="Arial"/>
        <w:sz w:val="16"/>
        <w:szCs w:val="16"/>
        <w:lang w:val="en-US"/>
      </w:rPr>
      <w:t>CCNR-ZKR/ADN/WP.15/AC.2/2018/</w:t>
    </w:r>
    <w:r w:rsidR="00591C91">
      <w:rPr>
        <w:rFonts w:ascii="Arial" w:hAnsi="Arial" w:cs="Arial"/>
        <w:sz w:val="16"/>
        <w:szCs w:val="16"/>
        <w:lang w:val="en-US"/>
      </w:rPr>
      <w:t>22</w:t>
    </w:r>
  </w:p>
  <w:p w:rsidR="00AB0C41" w:rsidRPr="00F6410F" w:rsidRDefault="00AB0C41" w:rsidP="00F6410F">
    <w:pPr>
      <w:pStyle w:val="Header"/>
      <w:spacing w:after="0"/>
      <w:rPr>
        <w:rFonts w:ascii="Arial" w:hAnsi="Arial" w:cs="Arial"/>
        <w:sz w:val="16"/>
        <w:szCs w:val="16"/>
      </w:rPr>
    </w:pPr>
    <w:r w:rsidRPr="00F6410F">
      <w:rPr>
        <w:rFonts w:ascii="Arial" w:hAnsi="Arial" w:cs="Arial"/>
        <w:sz w:val="16"/>
        <w:szCs w:val="16"/>
      </w:rPr>
      <w:t xml:space="preserve">Seite </w:t>
    </w:r>
    <w:r w:rsidRPr="00F6410F">
      <w:rPr>
        <w:rFonts w:ascii="Arial" w:hAnsi="Arial" w:cs="Arial"/>
        <w:sz w:val="16"/>
        <w:szCs w:val="16"/>
      </w:rPr>
      <w:fldChar w:fldCharType="begin"/>
    </w:r>
    <w:r w:rsidRPr="00F6410F">
      <w:rPr>
        <w:rFonts w:ascii="Arial" w:hAnsi="Arial" w:cs="Arial"/>
        <w:sz w:val="16"/>
        <w:szCs w:val="16"/>
      </w:rPr>
      <w:instrText xml:space="preserve"> PAGE  \* MERGEFORMAT </w:instrText>
    </w:r>
    <w:r w:rsidRPr="00F6410F">
      <w:rPr>
        <w:rFonts w:ascii="Arial" w:hAnsi="Arial" w:cs="Arial"/>
        <w:sz w:val="16"/>
        <w:szCs w:val="16"/>
      </w:rPr>
      <w:fldChar w:fldCharType="separate"/>
    </w:r>
    <w:r w:rsidR="004A5157">
      <w:rPr>
        <w:rFonts w:ascii="Arial" w:hAnsi="Arial" w:cs="Arial"/>
        <w:noProof/>
        <w:sz w:val="16"/>
        <w:szCs w:val="16"/>
      </w:rPr>
      <w:t>2</w:t>
    </w:r>
    <w:r w:rsidRPr="00F6410F">
      <w:rPr>
        <w:rFonts w:ascii="Arial" w:hAnsi="Arial" w:cs="Arial"/>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0C41" w:rsidRPr="00F6410F" w:rsidRDefault="00AB0C41" w:rsidP="00F6410F">
    <w:pPr>
      <w:pStyle w:val="Header"/>
      <w:spacing w:after="0"/>
      <w:jc w:val="right"/>
      <w:rPr>
        <w:rFonts w:ascii="Arial" w:hAnsi="Arial" w:cs="Arial"/>
        <w:sz w:val="16"/>
        <w:szCs w:val="16"/>
        <w:lang w:val="en-US"/>
      </w:rPr>
    </w:pPr>
    <w:r w:rsidRPr="00F6410F">
      <w:rPr>
        <w:rFonts w:ascii="Arial" w:hAnsi="Arial" w:cs="Arial"/>
        <w:sz w:val="16"/>
        <w:szCs w:val="16"/>
        <w:lang w:val="en-US"/>
      </w:rPr>
      <w:t>CCNR-ZKR/ADN/WP.15/AC.2/2018/</w:t>
    </w:r>
    <w:r w:rsidR="00591C91">
      <w:rPr>
        <w:rFonts w:ascii="Arial" w:hAnsi="Arial" w:cs="Arial"/>
        <w:sz w:val="16"/>
        <w:szCs w:val="16"/>
        <w:lang w:val="en-US"/>
      </w:rPr>
      <w:t>22</w:t>
    </w:r>
  </w:p>
  <w:p w:rsidR="00AB0C41" w:rsidRPr="00F6410F" w:rsidRDefault="00AB0C41" w:rsidP="00F6410F">
    <w:pPr>
      <w:pStyle w:val="Header"/>
      <w:spacing w:after="0"/>
      <w:jc w:val="right"/>
      <w:rPr>
        <w:rFonts w:ascii="Arial" w:hAnsi="Arial" w:cs="Arial"/>
        <w:sz w:val="16"/>
        <w:szCs w:val="16"/>
      </w:rPr>
    </w:pPr>
    <w:r w:rsidRPr="00F6410F">
      <w:rPr>
        <w:rFonts w:ascii="Arial" w:hAnsi="Arial" w:cs="Arial"/>
        <w:sz w:val="16"/>
        <w:szCs w:val="16"/>
      </w:rPr>
      <w:t xml:space="preserve">Seite </w:t>
    </w:r>
    <w:r w:rsidRPr="00F6410F">
      <w:rPr>
        <w:rFonts w:ascii="Arial" w:hAnsi="Arial" w:cs="Arial"/>
        <w:sz w:val="16"/>
        <w:szCs w:val="16"/>
      </w:rPr>
      <w:fldChar w:fldCharType="begin"/>
    </w:r>
    <w:r w:rsidRPr="00F6410F">
      <w:rPr>
        <w:rFonts w:ascii="Arial" w:hAnsi="Arial" w:cs="Arial"/>
        <w:sz w:val="16"/>
        <w:szCs w:val="16"/>
      </w:rPr>
      <w:instrText xml:space="preserve"> PAGE  \* MERGEFORMAT </w:instrText>
    </w:r>
    <w:r w:rsidRPr="00F6410F">
      <w:rPr>
        <w:rFonts w:ascii="Arial" w:hAnsi="Arial" w:cs="Arial"/>
        <w:sz w:val="16"/>
        <w:szCs w:val="16"/>
      </w:rPr>
      <w:fldChar w:fldCharType="separate"/>
    </w:r>
    <w:r w:rsidR="004A5157">
      <w:rPr>
        <w:rFonts w:ascii="Arial" w:hAnsi="Arial" w:cs="Arial"/>
        <w:noProof/>
        <w:sz w:val="16"/>
        <w:szCs w:val="16"/>
      </w:rPr>
      <w:t>5</w:t>
    </w:r>
    <w:r w:rsidRPr="00F6410F">
      <w:rPr>
        <w:rFonts w:ascii="Arial" w:hAnsi="Arial" w:cs="Arial"/>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05D04184"/>
    <w:lvl w:ilvl="0">
      <w:start w:val="1"/>
      <w:numFmt w:val="decimal"/>
      <w:pStyle w:val="Style1"/>
      <w:lvlText w:val="%1."/>
      <w:lvlJc w:val="left"/>
      <w:pPr>
        <w:tabs>
          <w:tab w:val="num" w:pos="643"/>
        </w:tabs>
        <w:ind w:left="643" w:hanging="360"/>
      </w:pPr>
    </w:lvl>
  </w:abstractNum>
  <w:abstractNum w:abstractNumId="1" w15:restartNumberingAfterBreak="0">
    <w:nsid w:val="FFFFFF83"/>
    <w:multiLevelType w:val="multilevel"/>
    <w:tmpl w:val="BFE69506"/>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D32185"/>
    <w:multiLevelType w:val="hybridMultilevel"/>
    <w:tmpl w:val="2E6C475E"/>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9CE3874"/>
    <w:multiLevelType w:val="hybridMultilevel"/>
    <w:tmpl w:val="903260C8"/>
    <w:lvl w:ilvl="0" w:tplc="604CC6C2">
      <w:start w:val="56"/>
      <w:numFmt w:val="bullet"/>
      <w:lvlText w:val="•"/>
      <w:lvlJc w:val="left"/>
      <w:pPr>
        <w:ind w:left="1500" w:hanging="360"/>
      </w:pPr>
      <w:rPr>
        <w:rFonts w:ascii="Times New Roman" w:eastAsia="Times New Roman" w:hAnsi="Times New Roman" w:cs="Times New Roman" w:hint="default"/>
        <w:sz w:val="18"/>
      </w:rPr>
    </w:lvl>
    <w:lvl w:ilvl="1" w:tplc="04070003" w:tentative="1">
      <w:start w:val="1"/>
      <w:numFmt w:val="bullet"/>
      <w:lvlText w:val="o"/>
      <w:lvlJc w:val="left"/>
      <w:pPr>
        <w:ind w:left="2220" w:hanging="360"/>
      </w:pPr>
      <w:rPr>
        <w:rFonts w:ascii="Courier New" w:hAnsi="Courier New" w:cs="Courier New" w:hint="default"/>
      </w:rPr>
    </w:lvl>
    <w:lvl w:ilvl="2" w:tplc="04070005" w:tentative="1">
      <w:start w:val="1"/>
      <w:numFmt w:val="bullet"/>
      <w:lvlText w:val=""/>
      <w:lvlJc w:val="left"/>
      <w:pPr>
        <w:ind w:left="2940" w:hanging="360"/>
      </w:pPr>
      <w:rPr>
        <w:rFonts w:ascii="Wingdings" w:hAnsi="Wingdings" w:hint="default"/>
      </w:rPr>
    </w:lvl>
    <w:lvl w:ilvl="3" w:tplc="04070001" w:tentative="1">
      <w:start w:val="1"/>
      <w:numFmt w:val="bullet"/>
      <w:lvlText w:val=""/>
      <w:lvlJc w:val="left"/>
      <w:pPr>
        <w:ind w:left="3660" w:hanging="360"/>
      </w:pPr>
      <w:rPr>
        <w:rFonts w:ascii="Symbol" w:hAnsi="Symbol" w:hint="default"/>
      </w:rPr>
    </w:lvl>
    <w:lvl w:ilvl="4" w:tplc="04070003" w:tentative="1">
      <w:start w:val="1"/>
      <w:numFmt w:val="bullet"/>
      <w:lvlText w:val="o"/>
      <w:lvlJc w:val="left"/>
      <w:pPr>
        <w:ind w:left="4380" w:hanging="360"/>
      </w:pPr>
      <w:rPr>
        <w:rFonts w:ascii="Courier New" w:hAnsi="Courier New" w:cs="Courier New" w:hint="default"/>
      </w:rPr>
    </w:lvl>
    <w:lvl w:ilvl="5" w:tplc="04070005" w:tentative="1">
      <w:start w:val="1"/>
      <w:numFmt w:val="bullet"/>
      <w:lvlText w:val=""/>
      <w:lvlJc w:val="left"/>
      <w:pPr>
        <w:ind w:left="5100" w:hanging="360"/>
      </w:pPr>
      <w:rPr>
        <w:rFonts w:ascii="Wingdings" w:hAnsi="Wingdings" w:hint="default"/>
      </w:rPr>
    </w:lvl>
    <w:lvl w:ilvl="6" w:tplc="04070001" w:tentative="1">
      <w:start w:val="1"/>
      <w:numFmt w:val="bullet"/>
      <w:lvlText w:val=""/>
      <w:lvlJc w:val="left"/>
      <w:pPr>
        <w:ind w:left="5820" w:hanging="360"/>
      </w:pPr>
      <w:rPr>
        <w:rFonts w:ascii="Symbol" w:hAnsi="Symbol" w:hint="default"/>
      </w:rPr>
    </w:lvl>
    <w:lvl w:ilvl="7" w:tplc="04070003" w:tentative="1">
      <w:start w:val="1"/>
      <w:numFmt w:val="bullet"/>
      <w:lvlText w:val="o"/>
      <w:lvlJc w:val="left"/>
      <w:pPr>
        <w:ind w:left="6540" w:hanging="360"/>
      </w:pPr>
      <w:rPr>
        <w:rFonts w:ascii="Courier New" w:hAnsi="Courier New" w:cs="Courier New" w:hint="default"/>
      </w:rPr>
    </w:lvl>
    <w:lvl w:ilvl="8" w:tplc="04070005" w:tentative="1">
      <w:start w:val="1"/>
      <w:numFmt w:val="bullet"/>
      <w:lvlText w:val=""/>
      <w:lvlJc w:val="left"/>
      <w:pPr>
        <w:ind w:left="7260" w:hanging="360"/>
      </w:pPr>
      <w:rPr>
        <w:rFonts w:ascii="Wingdings" w:hAnsi="Wingdings" w:hint="default"/>
      </w:rPr>
    </w:lvl>
  </w:abstractNum>
  <w:abstractNum w:abstractNumId="4" w15:restartNumberingAfterBreak="0">
    <w:nsid w:val="20871BCF"/>
    <w:multiLevelType w:val="hybridMultilevel"/>
    <w:tmpl w:val="275A1682"/>
    <w:lvl w:ilvl="0" w:tplc="41DE5E26">
      <w:start w:val="1"/>
      <w:numFmt w:val="bullet"/>
      <w:pStyle w:val="Bullet"/>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C96F4A"/>
    <w:multiLevelType w:val="multilevel"/>
    <w:tmpl w:val="8E3AD518"/>
    <w:lvl w:ilvl="0">
      <w:start w:val="1"/>
      <w:numFmt w:val="decimal"/>
      <w:lvlText w:val="%1"/>
      <w:lvlJc w:val="left"/>
      <w:pPr>
        <w:tabs>
          <w:tab w:val="num" w:pos="780"/>
        </w:tabs>
        <w:ind w:left="780" w:hanging="780"/>
      </w:pPr>
      <w:rPr>
        <w:rFonts w:hint="default"/>
      </w:rPr>
    </w:lvl>
    <w:lvl w:ilvl="1">
      <w:start w:val="2"/>
      <w:numFmt w:val="decimal"/>
      <w:lvlText w:val="%1.%2"/>
      <w:lvlJc w:val="left"/>
      <w:pPr>
        <w:tabs>
          <w:tab w:val="num" w:pos="1380"/>
        </w:tabs>
        <w:ind w:left="1380" w:hanging="780"/>
      </w:pPr>
      <w:rPr>
        <w:rFonts w:hint="default"/>
      </w:rPr>
    </w:lvl>
    <w:lvl w:ilvl="2">
      <w:start w:val="1"/>
      <w:numFmt w:val="decimal"/>
      <w:lvlText w:val="%1.%2.%3"/>
      <w:lvlJc w:val="left"/>
      <w:pPr>
        <w:tabs>
          <w:tab w:val="num" w:pos="1980"/>
        </w:tabs>
        <w:ind w:left="1980" w:hanging="780"/>
      </w:pPr>
      <w:rPr>
        <w:rFonts w:hint="default"/>
      </w:rPr>
    </w:lvl>
    <w:lvl w:ilvl="3">
      <w:start w:val="1"/>
      <w:numFmt w:val="decimal"/>
      <w:lvlText w:val="%1.%2.%3.%4"/>
      <w:lvlJc w:val="left"/>
      <w:pPr>
        <w:tabs>
          <w:tab w:val="num" w:pos="2580"/>
        </w:tabs>
        <w:ind w:left="2580" w:hanging="78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6" w15:restartNumberingAfterBreak="0">
    <w:nsid w:val="24E94164"/>
    <w:multiLevelType w:val="multilevel"/>
    <w:tmpl w:val="A8A40A2C"/>
    <w:lvl w:ilvl="0">
      <w:start w:val="1"/>
      <w:numFmt w:val="decimal"/>
      <w:lvlText w:val="%1"/>
      <w:lvlJc w:val="left"/>
      <w:pPr>
        <w:tabs>
          <w:tab w:val="num" w:pos="450"/>
        </w:tabs>
        <w:ind w:left="450" w:hanging="450"/>
      </w:pPr>
      <w:rPr>
        <w:rFonts w:hint="default"/>
      </w:rPr>
    </w:lvl>
    <w:lvl w:ilvl="1">
      <w:start w:val="2"/>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288F293E"/>
    <w:multiLevelType w:val="hybridMultilevel"/>
    <w:tmpl w:val="C046EF7A"/>
    <w:lvl w:ilvl="0" w:tplc="77F098AA">
      <w:start w:val="1"/>
      <w:numFmt w:val="lowerRoman"/>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9A97F8D"/>
    <w:multiLevelType w:val="multilevel"/>
    <w:tmpl w:val="A4840074"/>
    <w:lvl w:ilvl="0">
      <w:start w:val="8"/>
      <w:numFmt w:val="decimal"/>
      <w:lvlText w:val="%1"/>
      <w:lvlJc w:val="left"/>
      <w:pPr>
        <w:tabs>
          <w:tab w:val="num" w:pos="1200"/>
        </w:tabs>
        <w:ind w:left="1200" w:hanging="1200"/>
      </w:pPr>
      <w:rPr>
        <w:rFonts w:hint="default"/>
        <w:b/>
      </w:rPr>
    </w:lvl>
    <w:lvl w:ilvl="1">
      <w:start w:val="1"/>
      <w:numFmt w:val="decimal"/>
      <w:lvlText w:val="%1.%2"/>
      <w:lvlJc w:val="left"/>
      <w:pPr>
        <w:tabs>
          <w:tab w:val="num" w:pos="1200"/>
        </w:tabs>
        <w:ind w:left="1200" w:hanging="1200"/>
      </w:pPr>
      <w:rPr>
        <w:rFonts w:hint="default"/>
        <w:b/>
      </w:rPr>
    </w:lvl>
    <w:lvl w:ilvl="2">
      <w:start w:val="2"/>
      <w:numFmt w:val="decimal"/>
      <w:lvlText w:val="%1.%2.%3"/>
      <w:lvlJc w:val="left"/>
      <w:pPr>
        <w:tabs>
          <w:tab w:val="num" w:pos="1200"/>
        </w:tabs>
        <w:ind w:left="1200" w:hanging="1200"/>
      </w:pPr>
      <w:rPr>
        <w:rFonts w:hint="default"/>
        <w:b/>
      </w:rPr>
    </w:lvl>
    <w:lvl w:ilvl="3">
      <w:start w:val="8"/>
      <w:numFmt w:val="decimal"/>
      <w:lvlText w:val="%1.%2.%3.%4"/>
      <w:lvlJc w:val="left"/>
      <w:pPr>
        <w:tabs>
          <w:tab w:val="num" w:pos="1200"/>
        </w:tabs>
        <w:ind w:left="1200" w:hanging="1200"/>
      </w:pPr>
      <w:rPr>
        <w:rFonts w:hint="default"/>
        <w:b/>
      </w:rPr>
    </w:lvl>
    <w:lvl w:ilvl="4">
      <w:start w:val="1"/>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15:restartNumberingAfterBreak="0">
    <w:nsid w:val="2B3F49C6"/>
    <w:multiLevelType w:val="singleLevel"/>
    <w:tmpl w:val="3CF288AC"/>
    <w:lvl w:ilvl="0">
      <w:start w:val="1"/>
      <w:numFmt w:val="lowerRoman"/>
      <w:pStyle w:val="Rom2"/>
      <w:lvlText w:val="(%1)"/>
      <w:lvlJc w:val="right"/>
      <w:pPr>
        <w:tabs>
          <w:tab w:val="num" w:pos="2160"/>
        </w:tabs>
        <w:ind w:left="2160" w:hanging="516"/>
      </w:pPr>
    </w:lvl>
  </w:abstractNum>
  <w:abstractNum w:abstractNumId="10" w15:restartNumberingAfterBreak="0">
    <w:nsid w:val="2D0266DF"/>
    <w:multiLevelType w:val="hybridMultilevel"/>
    <w:tmpl w:val="324008F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F661EC4"/>
    <w:multiLevelType w:val="hybridMultilevel"/>
    <w:tmpl w:val="C7F0F92C"/>
    <w:lvl w:ilvl="0" w:tplc="2676D39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11A7890"/>
    <w:multiLevelType w:val="hybridMultilevel"/>
    <w:tmpl w:val="151405B6"/>
    <w:lvl w:ilvl="0" w:tplc="E230D148">
      <w:start w:val="1"/>
      <w:numFmt w:val="bullet"/>
      <w:pStyle w:val="Dash"/>
      <w:lvlText w:val=""/>
      <w:lvlJc w:val="left"/>
      <w:pPr>
        <w:tabs>
          <w:tab w:val="num" w:pos="-31680"/>
        </w:tabs>
        <w:ind w:left="851"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B30EE2"/>
    <w:multiLevelType w:val="hybridMultilevel"/>
    <w:tmpl w:val="75D0445A"/>
    <w:lvl w:ilvl="0" w:tplc="CEDA21BC">
      <w:start w:val="9"/>
      <w:numFmt w:val="bullet"/>
      <w:lvlText w:val="–"/>
      <w:lvlJc w:val="left"/>
      <w:pPr>
        <w:tabs>
          <w:tab w:val="num" w:pos="1440"/>
        </w:tabs>
        <w:ind w:left="1440" w:hanging="360"/>
      </w:pPr>
      <w:rPr>
        <w:rFonts w:ascii="Arial" w:eastAsia="Times New Roman" w:hAnsi="Arial" w:cs="Arial" w:hint="default"/>
      </w:rPr>
    </w:lvl>
    <w:lvl w:ilvl="1" w:tplc="08070003" w:tentative="1">
      <w:start w:val="1"/>
      <w:numFmt w:val="bullet"/>
      <w:lvlText w:val="o"/>
      <w:lvlJc w:val="left"/>
      <w:pPr>
        <w:tabs>
          <w:tab w:val="num" w:pos="2160"/>
        </w:tabs>
        <w:ind w:left="2160" w:hanging="360"/>
      </w:pPr>
      <w:rPr>
        <w:rFonts w:ascii="Courier New" w:hAnsi="Courier New" w:cs="Courier New" w:hint="default"/>
      </w:rPr>
    </w:lvl>
    <w:lvl w:ilvl="2" w:tplc="08070005" w:tentative="1">
      <w:start w:val="1"/>
      <w:numFmt w:val="bullet"/>
      <w:lvlText w:val=""/>
      <w:lvlJc w:val="left"/>
      <w:pPr>
        <w:tabs>
          <w:tab w:val="num" w:pos="2880"/>
        </w:tabs>
        <w:ind w:left="2880" w:hanging="360"/>
      </w:pPr>
      <w:rPr>
        <w:rFonts w:ascii="Wingdings" w:hAnsi="Wingdings" w:hint="default"/>
      </w:rPr>
    </w:lvl>
    <w:lvl w:ilvl="3" w:tplc="08070001" w:tentative="1">
      <w:start w:val="1"/>
      <w:numFmt w:val="bullet"/>
      <w:lvlText w:val=""/>
      <w:lvlJc w:val="left"/>
      <w:pPr>
        <w:tabs>
          <w:tab w:val="num" w:pos="3600"/>
        </w:tabs>
        <w:ind w:left="3600" w:hanging="360"/>
      </w:pPr>
      <w:rPr>
        <w:rFonts w:ascii="Symbol" w:hAnsi="Symbol" w:hint="default"/>
      </w:rPr>
    </w:lvl>
    <w:lvl w:ilvl="4" w:tplc="08070003" w:tentative="1">
      <w:start w:val="1"/>
      <w:numFmt w:val="bullet"/>
      <w:lvlText w:val="o"/>
      <w:lvlJc w:val="left"/>
      <w:pPr>
        <w:tabs>
          <w:tab w:val="num" w:pos="4320"/>
        </w:tabs>
        <w:ind w:left="4320" w:hanging="360"/>
      </w:pPr>
      <w:rPr>
        <w:rFonts w:ascii="Courier New" w:hAnsi="Courier New" w:cs="Courier New" w:hint="default"/>
      </w:rPr>
    </w:lvl>
    <w:lvl w:ilvl="5" w:tplc="08070005" w:tentative="1">
      <w:start w:val="1"/>
      <w:numFmt w:val="bullet"/>
      <w:lvlText w:val=""/>
      <w:lvlJc w:val="left"/>
      <w:pPr>
        <w:tabs>
          <w:tab w:val="num" w:pos="5040"/>
        </w:tabs>
        <w:ind w:left="5040" w:hanging="360"/>
      </w:pPr>
      <w:rPr>
        <w:rFonts w:ascii="Wingdings" w:hAnsi="Wingdings" w:hint="default"/>
      </w:rPr>
    </w:lvl>
    <w:lvl w:ilvl="6" w:tplc="08070001" w:tentative="1">
      <w:start w:val="1"/>
      <w:numFmt w:val="bullet"/>
      <w:lvlText w:val=""/>
      <w:lvlJc w:val="left"/>
      <w:pPr>
        <w:tabs>
          <w:tab w:val="num" w:pos="5760"/>
        </w:tabs>
        <w:ind w:left="5760" w:hanging="360"/>
      </w:pPr>
      <w:rPr>
        <w:rFonts w:ascii="Symbol" w:hAnsi="Symbol" w:hint="default"/>
      </w:rPr>
    </w:lvl>
    <w:lvl w:ilvl="7" w:tplc="08070003" w:tentative="1">
      <w:start w:val="1"/>
      <w:numFmt w:val="bullet"/>
      <w:lvlText w:val="o"/>
      <w:lvlJc w:val="left"/>
      <w:pPr>
        <w:tabs>
          <w:tab w:val="num" w:pos="6480"/>
        </w:tabs>
        <w:ind w:left="6480" w:hanging="360"/>
      </w:pPr>
      <w:rPr>
        <w:rFonts w:ascii="Courier New" w:hAnsi="Courier New" w:cs="Courier New" w:hint="default"/>
      </w:rPr>
    </w:lvl>
    <w:lvl w:ilvl="8" w:tplc="0807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CB061AB"/>
    <w:multiLevelType w:val="singleLevel"/>
    <w:tmpl w:val="66CAD4CC"/>
    <w:lvl w:ilvl="0">
      <w:start w:val="1"/>
      <w:numFmt w:val="decimal"/>
      <w:pStyle w:val="ParaNo"/>
      <w:lvlText w:val="%1."/>
      <w:lvlJc w:val="left"/>
      <w:pPr>
        <w:tabs>
          <w:tab w:val="num" w:pos="360"/>
        </w:tabs>
        <w:ind w:left="-1" w:firstLine="1"/>
      </w:pPr>
      <w:rPr>
        <w:rFonts w:hint="default"/>
      </w:rPr>
    </w:lvl>
  </w:abstractNum>
  <w:abstractNum w:abstractNumId="15" w15:restartNumberingAfterBreak="0">
    <w:nsid w:val="3E7F4E0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6" w15:restartNumberingAfterBreak="0">
    <w:nsid w:val="3ED005A4"/>
    <w:multiLevelType w:val="hybridMultilevel"/>
    <w:tmpl w:val="4EA2311A"/>
    <w:lvl w:ilvl="0" w:tplc="AD786BBA">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7" w15:restartNumberingAfterBreak="0">
    <w:nsid w:val="4CD84C24"/>
    <w:multiLevelType w:val="multilevel"/>
    <w:tmpl w:val="A59E12A8"/>
    <w:lvl w:ilvl="0">
      <w:start w:val="9"/>
      <w:numFmt w:val="decimal"/>
      <w:lvlText w:val="%1"/>
      <w:lvlJc w:val="left"/>
      <w:pPr>
        <w:tabs>
          <w:tab w:val="num" w:pos="1200"/>
        </w:tabs>
        <w:ind w:left="1200" w:hanging="1200"/>
      </w:pPr>
      <w:rPr>
        <w:rFonts w:hint="default"/>
        <w:b/>
      </w:rPr>
    </w:lvl>
    <w:lvl w:ilvl="1">
      <w:start w:val="3"/>
      <w:numFmt w:val="decimal"/>
      <w:lvlText w:val="%1.%2"/>
      <w:lvlJc w:val="left"/>
      <w:pPr>
        <w:tabs>
          <w:tab w:val="num" w:pos="1200"/>
        </w:tabs>
        <w:ind w:left="1200" w:hanging="1200"/>
      </w:pPr>
      <w:rPr>
        <w:rFonts w:hint="default"/>
        <w:b/>
      </w:rPr>
    </w:lvl>
    <w:lvl w:ilvl="2">
      <w:start w:val="1"/>
      <w:numFmt w:val="decimal"/>
      <w:lvlText w:val="%1.%2.%3"/>
      <w:lvlJc w:val="left"/>
      <w:pPr>
        <w:tabs>
          <w:tab w:val="num" w:pos="1200"/>
        </w:tabs>
        <w:ind w:left="1200" w:hanging="1200"/>
      </w:pPr>
      <w:rPr>
        <w:rFonts w:hint="default"/>
        <w:b/>
      </w:rPr>
    </w:lvl>
    <w:lvl w:ilvl="3">
      <w:start w:val="25"/>
      <w:numFmt w:val="decimal"/>
      <w:lvlText w:val="%1.%2.%3.%4"/>
      <w:lvlJc w:val="left"/>
      <w:pPr>
        <w:tabs>
          <w:tab w:val="num" w:pos="1200"/>
        </w:tabs>
        <w:ind w:left="1200" w:hanging="1200"/>
      </w:pPr>
      <w:rPr>
        <w:rFonts w:hint="default"/>
        <w:b/>
      </w:rPr>
    </w:lvl>
    <w:lvl w:ilvl="4">
      <w:start w:val="7"/>
      <w:numFmt w:val="decimal"/>
      <w:lvlText w:val="%1.%2.%3.%4.%5"/>
      <w:lvlJc w:val="left"/>
      <w:pPr>
        <w:tabs>
          <w:tab w:val="num" w:pos="1200"/>
        </w:tabs>
        <w:ind w:left="1200" w:hanging="1200"/>
      </w:pPr>
      <w:rPr>
        <w:rFonts w:hint="default"/>
        <w:b/>
      </w:rPr>
    </w:lvl>
    <w:lvl w:ilvl="5">
      <w:start w:val="1"/>
      <w:numFmt w:val="decimal"/>
      <w:lvlText w:val="%1.%2.%3.%4.%5.%6"/>
      <w:lvlJc w:val="left"/>
      <w:pPr>
        <w:tabs>
          <w:tab w:val="num" w:pos="1200"/>
        </w:tabs>
        <w:ind w:left="1200" w:hanging="120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52C105CD"/>
    <w:multiLevelType w:val="hybridMultilevel"/>
    <w:tmpl w:val="E4089760"/>
    <w:lvl w:ilvl="0" w:tplc="3B0EEEFC">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6C9686B"/>
    <w:multiLevelType w:val="hybridMultilevel"/>
    <w:tmpl w:val="3618A894"/>
    <w:lvl w:ilvl="0" w:tplc="50AE977E">
      <w:start w:val="1"/>
      <w:numFmt w:val="decimal"/>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0" w15:restartNumberingAfterBreak="0">
    <w:nsid w:val="674225AE"/>
    <w:multiLevelType w:val="hybridMultilevel"/>
    <w:tmpl w:val="BADAEFC6"/>
    <w:lvl w:ilvl="0" w:tplc="FF2494AA">
      <w:start w:val="1"/>
      <w:numFmt w:val="lowerRoman"/>
      <w:lvlText w:val="%1)"/>
      <w:lvlJc w:val="left"/>
      <w:pPr>
        <w:ind w:left="1290" w:hanging="72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21" w15:restartNumberingAfterBreak="0">
    <w:nsid w:val="6EFB6CBC"/>
    <w:multiLevelType w:val="multilevel"/>
    <w:tmpl w:val="7F66D99A"/>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4"/>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1CA2DFE"/>
    <w:multiLevelType w:val="hybridMultilevel"/>
    <w:tmpl w:val="9CE0E664"/>
    <w:lvl w:ilvl="0" w:tplc="D73A8728">
      <w:start w:val="1"/>
      <w:numFmt w:val="upperRoman"/>
      <w:lvlText w:val="%1."/>
      <w:lvlJc w:val="left"/>
      <w:pPr>
        <w:ind w:left="1080" w:hanging="720"/>
      </w:pPr>
      <w:rPr>
        <w:rFonts w:hint="default"/>
        <w:b/>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71B23FD"/>
    <w:multiLevelType w:val="multilevel"/>
    <w:tmpl w:val="CB925166"/>
    <w:lvl w:ilvl="0">
      <w:start w:val="1"/>
      <w:numFmt w:val="decimal"/>
      <w:lvlText w:val="%1"/>
      <w:lvlJc w:val="left"/>
      <w:pPr>
        <w:tabs>
          <w:tab w:val="num" w:pos="1140"/>
        </w:tabs>
        <w:ind w:left="1140" w:hanging="1140"/>
      </w:pPr>
      <w:rPr>
        <w:rFonts w:hint="default"/>
        <w:b/>
      </w:rPr>
    </w:lvl>
    <w:lvl w:ilvl="1">
      <w:start w:val="16"/>
      <w:numFmt w:val="decimal"/>
      <w:lvlText w:val="%1.%2"/>
      <w:lvlJc w:val="left"/>
      <w:pPr>
        <w:tabs>
          <w:tab w:val="num" w:pos="1140"/>
        </w:tabs>
        <w:ind w:left="1140" w:hanging="1140"/>
      </w:pPr>
      <w:rPr>
        <w:rFonts w:hint="default"/>
        <w:b/>
      </w:rPr>
    </w:lvl>
    <w:lvl w:ilvl="2">
      <w:start w:val="1"/>
      <w:numFmt w:val="decimal"/>
      <w:lvlText w:val="%1.%2.%3"/>
      <w:lvlJc w:val="left"/>
      <w:pPr>
        <w:tabs>
          <w:tab w:val="num" w:pos="1140"/>
        </w:tabs>
        <w:ind w:left="1140" w:hanging="1140"/>
      </w:pPr>
      <w:rPr>
        <w:rFonts w:hint="default"/>
        <w:b/>
      </w:rPr>
    </w:lvl>
    <w:lvl w:ilvl="3">
      <w:start w:val="2"/>
      <w:numFmt w:val="decimal"/>
      <w:lvlText w:val="%1.%2.%3.%4"/>
      <w:lvlJc w:val="left"/>
      <w:pPr>
        <w:tabs>
          <w:tab w:val="num" w:pos="1140"/>
        </w:tabs>
        <w:ind w:left="1140" w:hanging="1140"/>
      </w:pPr>
      <w:rPr>
        <w:rFonts w:hint="default"/>
        <w:b/>
      </w:rPr>
    </w:lvl>
    <w:lvl w:ilvl="4">
      <w:start w:val="2"/>
      <w:numFmt w:val="decimal"/>
      <w:lvlText w:val="%1.%2.%3.%4.%5"/>
      <w:lvlJc w:val="left"/>
      <w:pPr>
        <w:tabs>
          <w:tab w:val="num" w:pos="1140"/>
        </w:tabs>
        <w:ind w:left="1140" w:hanging="1140"/>
      </w:pPr>
      <w:rPr>
        <w:rFonts w:hint="default"/>
        <w:b/>
      </w:rPr>
    </w:lvl>
    <w:lvl w:ilvl="5">
      <w:start w:val="1"/>
      <w:numFmt w:val="decimal"/>
      <w:lvlText w:val="%1.%2.%3.%4.%5.%6"/>
      <w:lvlJc w:val="left"/>
      <w:pPr>
        <w:tabs>
          <w:tab w:val="num" w:pos="1140"/>
        </w:tabs>
        <w:ind w:left="1140" w:hanging="11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4"/>
  </w:num>
  <w:num w:numId="2">
    <w:abstractNumId w:val="9"/>
  </w:num>
  <w:num w:numId="3">
    <w:abstractNumId w:val="4"/>
  </w:num>
  <w:num w:numId="4">
    <w:abstractNumId w:val="12"/>
  </w:num>
  <w:num w:numId="5">
    <w:abstractNumId w:val="0"/>
  </w:num>
  <w:num w:numId="6">
    <w:abstractNumId w:val="23"/>
  </w:num>
  <w:num w:numId="7">
    <w:abstractNumId w:val="17"/>
  </w:num>
  <w:num w:numId="8">
    <w:abstractNumId w:val="5"/>
  </w:num>
  <w:num w:numId="9">
    <w:abstractNumId w:val="6"/>
  </w:num>
  <w:num w:numId="10">
    <w:abstractNumId w:val="8"/>
  </w:num>
  <w:num w:numId="11">
    <w:abstractNumId w:val="13"/>
  </w:num>
  <w:num w:numId="12">
    <w:abstractNumId w:val="21"/>
  </w:num>
  <w:num w:numId="13">
    <w:abstractNumId w:val="1"/>
  </w:num>
  <w:num w:numId="14">
    <w:abstractNumId w:val="7"/>
  </w:num>
  <w:num w:numId="15">
    <w:abstractNumId w:val="16"/>
  </w:num>
  <w:num w:numId="16">
    <w:abstractNumId w:val="15"/>
  </w:num>
  <w:num w:numId="17">
    <w:abstractNumId w:val="2"/>
  </w:num>
  <w:num w:numId="18">
    <w:abstractNumId w:val="22"/>
  </w:num>
  <w:num w:numId="19">
    <w:abstractNumId w:val="18"/>
  </w:num>
  <w:num w:numId="20">
    <w:abstractNumId w:val="10"/>
  </w:num>
  <w:num w:numId="21">
    <w:abstractNumId w:val="20"/>
  </w:num>
  <w:num w:numId="22">
    <w:abstractNumId w:val="19"/>
  </w:num>
  <w:num w:numId="23">
    <w:abstractNumId w:val="3"/>
  </w:num>
  <w:num w:numId="2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425"/>
  <w:evenAndOddHeader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22"/>
    <w:rsid w:val="00001E90"/>
    <w:rsid w:val="00002146"/>
    <w:rsid w:val="0000299C"/>
    <w:rsid w:val="000038C0"/>
    <w:rsid w:val="000067B8"/>
    <w:rsid w:val="00007F6A"/>
    <w:rsid w:val="000151E1"/>
    <w:rsid w:val="000217BA"/>
    <w:rsid w:val="0002700B"/>
    <w:rsid w:val="0002723B"/>
    <w:rsid w:val="00034366"/>
    <w:rsid w:val="000366B7"/>
    <w:rsid w:val="00037033"/>
    <w:rsid w:val="00041312"/>
    <w:rsid w:val="0004300F"/>
    <w:rsid w:val="00044BFC"/>
    <w:rsid w:val="000500BF"/>
    <w:rsid w:val="00050114"/>
    <w:rsid w:val="000516AA"/>
    <w:rsid w:val="0005197F"/>
    <w:rsid w:val="00054A90"/>
    <w:rsid w:val="000558EB"/>
    <w:rsid w:val="0005758B"/>
    <w:rsid w:val="00057A93"/>
    <w:rsid w:val="00060CCD"/>
    <w:rsid w:val="00061AD3"/>
    <w:rsid w:val="000667CE"/>
    <w:rsid w:val="00066994"/>
    <w:rsid w:val="00067498"/>
    <w:rsid w:val="00067BD0"/>
    <w:rsid w:val="00070E56"/>
    <w:rsid w:val="00071B40"/>
    <w:rsid w:val="00072140"/>
    <w:rsid w:val="000735ED"/>
    <w:rsid w:val="00073EA8"/>
    <w:rsid w:val="00073FB6"/>
    <w:rsid w:val="0007426C"/>
    <w:rsid w:val="0007736E"/>
    <w:rsid w:val="00077405"/>
    <w:rsid w:val="0008020B"/>
    <w:rsid w:val="00082E74"/>
    <w:rsid w:val="00082FBB"/>
    <w:rsid w:val="00093086"/>
    <w:rsid w:val="00095DAD"/>
    <w:rsid w:val="00096154"/>
    <w:rsid w:val="000A3277"/>
    <w:rsid w:val="000A6F97"/>
    <w:rsid w:val="000B1DCB"/>
    <w:rsid w:val="000B25D0"/>
    <w:rsid w:val="000B2FCE"/>
    <w:rsid w:val="000B360C"/>
    <w:rsid w:val="000B3F5E"/>
    <w:rsid w:val="000B697D"/>
    <w:rsid w:val="000C0E49"/>
    <w:rsid w:val="000C100E"/>
    <w:rsid w:val="000C120B"/>
    <w:rsid w:val="000C3D08"/>
    <w:rsid w:val="000C5E54"/>
    <w:rsid w:val="000C618B"/>
    <w:rsid w:val="000D3032"/>
    <w:rsid w:val="000D3B08"/>
    <w:rsid w:val="000D561F"/>
    <w:rsid w:val="000E06E4"/>
    <w:rsid w:val="000E5406"/>
    <w:rsid w:val="000E71CC"/>
    <w:rsid w:val="000F3523"/>
    <w:rsid w:val="000F3B3B"/>
    <w:rsid w:val="000F574C"/>
    <w:rsid w:val="00106C1B"/>
    <w:rsid w:val="00107DFC"/>
    <w:rsid w:val="00111B8A"/>
    <w:rsid w:val="00112EB9"/>
    <w:rsid w:val="00114C05"/>
    <w:rsid w:val="00115689"/>
    <w:rsid w:val="001162B6"/>
    <w:rsid w:val="001168E3"/>
    <w:rsid w:val="0012049D"/>
    <w:rsid w:val="00122163"/>
    <w:rsid w:val="0012596F"/>
    <w:rsid w:val="001309F5"/>
    <w:rsid w:val="00131898"/>
    <w:rsid w:val="00131BD6"/>
    <w:rsid w:val="0013308C"/>
    <w:rsid w:val="001366D6"/>
    <w:rsid w:val="00137616"/>
    <w:rsid w:val="00141BE2"/>
    <w:rsid w:val="00143FA2"/>
    <w:rsid w:val="0014423E"/>
    <w:rsid w:val="00144311"/>
    <w:rsid w:val="00147198"/>
    <w:rsid w:val="00152AD7"/>
    <w:rsid w:val="00152E73"/>
    <w:rsid w:val="0015395A"/>
    <w:rsid w:val="0015581D"/>
    <w:rsid w:val="00160FD5"/>
    <w:rsid w:val="0016201E"/>
    <w:rsid w:val="00163137"/>
    <w:rsid w:val="001631BA"/>
    <w:rsid w:val="00163706"/>
    <w:rsid w:val="00164C45"/>
    <w:rsid w:val="001675D0"/>
    <w:rsid w:val="00171E75"/>
    <w:rsid w:val="00172BDF"/>
    <w:rsid w:val="00174FF1"/>
    <w:rsid w:val="001770A9"/>
    <w:rsid w:val="001811D0"/>
    <w:rsid w:val="001817AF"/>
    <w:rsid w:val="00181ECA"/>
    <w:rsid w:val="001824E1"/>
    <w:rsid w:val="001828CA"/>
    <w:rsid w:val="001853A3"/>
    <w:rsid w:val="00186BF8"/>
    <w:rsid w:val="00186CCD"/>
    <w:rsid w:val="00187038"/>
    <w:rsid w:val="001902EF"/>
    <w:rsid w:val="00192271"/>
    <w:rsid w:val="00192549"/>
    <w:rsid w:val="00192DC1"/>
    <w:rsid w:val="001A04FA"/>
    <w:rsid w:val="001A1361"/>
    <w:rsid w:val="001A6F70"/>
    <w:rsid w:val="001A705C"/>
    <w:rsid w:val="001B478E"/>
    <w:rsid w:val="001B5295"/>
    <w:rsid w:val="001B57CF"/>
    <w:rsid w:val="001B731A"/>
    <w:rsid w:val="001C024F"/>
    <w:rsid w:val="001C43FA"/>
    <w:rsid w:val="001C6029"/>
    <w:rsid w:val="001E55C3"/>
    <w:rsid w:val="001F09CC"/>
    <w:rsid w:val="001F1079"/>
    <w:rsid w:val="001F1F05"/>
    <w:rsid w:val="001F42B0"/>
    <w:rsid w:val="001F4AD7"/>
    <w:rsid w:val="001F52BC"/>
    <w:rsid w:val="001F7553"/>
    <w:rsid w:val="001F79D5"/>
    <w:rsid w:val="00201C24"/>
    <w:rsid w:val="00205917"/>
    <w:rsid w:val="00207C16"/>
    <w:rsid w:val="00211B4E"/>
    <w:rsid w:val="00211CEC"/>
    <w:rsid w:val="002169C7"/>
    <w:rsid w:val="00216D73"/>
    <w:rsid w:val="00217CBA"/>
    <w:rsid w:val="00222E79"/>
    <w:rsid w:val="00226EA3"/>
    <w:rsid w:val="00230BAD"/>
    <w:rsid w:val="00232F8C"/>
    <w:rsid w:val="0023654A"/>
    <w:rsid w:val="00240A17"/>
    <w:rsid w:val="00241778"/>
    <w:rsid w:val="0024315A"/>
    <w:rsid w:val="00243860"/>
    <w:rsid w:val="00245760"/>
    <w:rsid w:val="00245CD7"/>
    <w:rsid w:val="002471F5"/>
    <w:rsid w:val="00252C35"/>
    <w:rsid w:val="00256038"/>
    <w:rsid w:val="00256BE9"/>
    <w:rsid w:val="002613AC"/>
    <w:rsid w:val="00262A49"/>
    <w:rsid w:val="002725E1"/>
    <w:rsid w:val="00273048"/>
    <w:rsid w:val="00273ECF"/>
    <w:rsid w:val="0028124B"/>
    <w:rsid w:val="002850A9"/>
    <w:rsid w:val="002925CC"/>
    <w:rsid w:val="00292B45"/>
    <w:rsid w:val="00293062"/>
    <w:rsid w:val="00293A26"/>
    <w:rsid w:val="00294E58"/>
    <w:rsid w:val="002953F1"/>
    <w:rsid w:val="002959A3"/>
    <w:rsid w:val="00297B40"/>
    <w:rsid w:val="00297C02"/>
    <w:rsid w:val="002A00FC"/>
    <w:rsid w:val="002A26E5"/>
    <w:rsid w:val="002A5AC5"/>
    <w:rsid w:val="002B1104"/>
    <w:rsid w:val="002B335D"/>
    <w:rsid w:val="002B5575"/>
    <w:rsid w:val="002B75F4"/>
    <w:rsid w:val="002B7B77"/>
    <w:rsid w:val="002C34CD"/>
    <w:rsid w:val="002C63BE"/>
    <w:rsid w:val="002C7555"/>
    <w:rsid w:val="002C758C"/>
    <w:rsid w:val="002D134D"/>
    <w:rsid w:val="002D13CC"/>
    <w:rsid w:val="002D4BDB"/>
    <w:rsid w:val="002E12C4"/>
    <w:rsid w:val="002E1922"/>
    <w:rsid w:val="002E1B9C"/>
    <w:rsid w:val="002E274C"/>
    <w:rsid w:val="002E3B97"/>
    <w:rsid w:val="002E4C45"/>
    <w:rsid w:val="002E4E6B"/>
    <w:rsid w:val="002E5219"/>
    <w:rsid w:val="002E5FDC"/>
    <w:rsid w:val="002E62E4"/>
    <w:rsid w:val="002F0DAB"/>
    <w:rsid w:val="002F1015"/>
    <w:rsid w:val="002F2DBA"/>
    <w:rsid w:val="002F46DA"/>
    <w:rsid w:val="002F5330"/>
    <w:rsid w:val="00301EB1"/>
    <w:rsid w:val="00303F98"/>
    <w:rsid w:val="00306640"/>
    <w:rsid w:val="00311520"/>
    <w:rsid w:val="003119F2"/>
    <w:rsid w:val="00311C72"/>
    <w:rsid w:val="0031257D"/>
    <w:rsid w:val="0031273A"/>
    <w:rsid w:val="003146BA"/>
    <w:rsid w:val="00315C33"/>
    <w:rsid w:val="0031672F"/>
    <w:rsid w:val="0031701F"/>
    <w:rsid w:val="00321463"/>
    <w:rsid w:val="00321655"/>
    <w:rsid w:val="003240A1"/>
    <w:rsid w:val="003241E3"/>
    <w:rsid w:val="00325611"/>
    <w:rsid w:val="0033076D"/>
    <w:rsid w:val="00333327"/>
    <w:rsid w:val="0033405A"/>
    <w:rsid w:val="003371B3"/>
    <w:rsid w:val="003378C4"/>
    <w:rsid w:val="00342521"/>
    <w:rsid w:val="00342FEC"/>
    <w:rsid w:val="0034431A"/>
    <w:rsid w:val="0035078B"/>
    <w:rsid w:val="00350951"/>
    <w:rsid w:val="00352C95"/>
    <w:rsid w:val="00352F30"/>
    <w:rsid w:val="0035388D"/>
    <w:rsid w:val="00354FB0"/>
    <w:rsid w:val="00356BA4"/>
    <w:rsid w:val="00357395"/>
    <w:rsid w:val="00357FB2"/>
    <w:rsid w:val="00360661"/>
    <w:rsid w:val="00360945"/>
    <w:rsid w:val="00360A29"/>
    <w:rsid w:val="00361D58"/>
    <w:rsid w:val="0037285C"/>
    <w:rsid w:val="00372C33"/>
    <w:rsid w:val="00375625"/>
    <w:rsid w:val="00375E4E"/>
    <w:rsid w:val="003775F5"/>
    <w:rsid w:val="00377B53"/>
    <w:rsid w:val="00380FFA"/>
    <w:rsid w:val="00381EBE"/>
    <w:rsid w:val="00385969"/>
    <w:rsid w:val="00385C45"/>
    <w:rsid w:val="00385FB2"/>
    <w:rsid w:val="00387E5C"/>
    <w:rsid w:val="00390BB7"/>
    <w:rsid w:val="003913D5"/>
    <w:rsid w:val="003927D1"/>
    <w:rsid w:val="00392D80"/>
    <w:rsid w:val="0039615E"/>
    <w:rsid w:val="00396812"/>
    <w:rsid w:val="003968A0"/>
    <w:rsid w:val="00396BD5"/>
    <w:rsid w:val="00396E3E"/>
    <w:rsid w:val="003A103A"/>
    <w:rsid w:val="003A142E"/>
    <w:rsid w:val="003A2C42"/>
    <w:rsid w:val="003A410E"/>
    <w:rsid w:val="003A4137"/>
    <w:rsid w:val="003A5CB0"/>
    <w:rsid w:val="003A6B3B"/>
    <w:rsid w:val="003B2AD6"/>
    <w:rsid w:val="003B565E"/>
    <w:rsid w:val="003B5C47"/>
    <w:rsid w:val="003C1B4B"/>
    <w:rsid w:val="003C242B"/>
    <w:rsid w:val="003C2B9A"/>
    <w:rsid w:val="003D07DF"/>
    <w:rsid w:val="003D0C6D"/>
    <w:rsid w:val="003D1551"/>
    <w:rsid w:val="003D1A3C"/>
    <w:rsid w:val="003D2C72"/>
    <w:rsid w:val="003D3C1B"/>
    <w:rsid w:val="003D3D3B"/>
    <w:rsid w:val="003D55E0"/>
    <w:rsid w:val="003D605F"/>
    <w:rsid w:val="003D6093"/>
    <w:rsid w:val="003D6959"/>
    <w:rsid w:val="003E200E"/>
    <w:rsid w:val="003E2A6D"/>
    <w:rsid w:val="003E3EF1"/>
    <w:rsid w:val="003E4185"/>
    <w:rsid w:val="003E45A3"/>
    <w:rsid w:val="003E4BEE"/>
    <w:rsid w:val="003E4D2B"/>
    <w:rsid w:val="003F1078"/>
    <w:rsid w:val="003F343E"/>
    <w:rsid w:val="003F42D3"/>
    <w:rsid w:val="003F50EF"/>
    <w:rsid w:val="003F52EA"/>
    <w:rsid w:val="00400C64"/>
    <w:rsid w:val="00401556"/>
    <w:rsid w:val="004017B5"/>
    <w:rsid w:val="00403245"/>
    <w:rsid w:val="004047B2"/>
    <w:rsid w:val="00405582"/>
    <w:rsid w:val="00413D2B"/>
    <w:rsid w:val="0041550B"/>
    <w:rsid w:val="0041579A"/>
    <w:rsid w:val="00415FF4"/>
    <w:rsid w:val="0041778F"/>
    <w:rsid w:val="00424CC3"/>
    <w:rsid w:val="0042684E"/>
    <w:rsid w:val="004277C7"/>
    <w:rsid w:val="00431FD0"/>
    <w:rsid w:val="004320DB"/>
    <w:rsid w:val="00434780"/>
    <w:rsid w:val="00435FBA"/>
    <w:rsid w:val="00444CFD"/>
    <w:rsid w:val="0045185F"/>
    <w:rsid w:val="00451F3B"/>
    <w:rsid w:val="00452288"/>
    <w:rsid w:val="004525D6"/>
    <w:rsid w:val="00453FF2"/>
    <w:rsid w:val="00460297"/>
    <w:rsid w:val="00461024"/>
    <w:rsid w:val="004620C8"/>
    <w:rsid w:val="00464E2F"/>
    <w:rsid w:val="004669B8"/>
    <w:rsid w:val="00467EB8"/>
    <w:rsid w:val="0047033C"/>
    <w:rsid w:val="00470EAF"/>
    <w:rsid w:val="00473011"/>
    <w:rsid w:val="0047312D"/>
    <w:rsid w:val="00475CAE"/>
    <w:rsid w:val="0048017F"/>
    <w:rsid w:val="00482795"/>
    <w:rsid w:val="00482CBF"/>
    <w:rsid w:val="0048327E"/>
    <w:rsid w:val="00483AB8"/>
    <w:rsid w:val="00484D3D"/>
    <w:rsid w:val="00485603"/>
    <w:rsid w:val="00486451"/>
    <w:rsid w:val="004867AC"/>
    <w:rsid w:val="0048680A"/>
    <w:rsid w:val="00490434"/>
    <w:rsid w:val="00491BBA"/>
    <w:rsid w:val="004931BA"/>
    <w:rsid w:val="00493F3A"/>
    <w:rsid w:val="00497080"/>
    <w:rsid w:val="004A5157"/>
    <w:rsid w:val="004A5A4A"/>
    <w:rsid w:val="004A62A6"/>
    <w:rsid w:val="004A70B5"/>
    <w:rsid w:val="004A7AFE"/>
    <w:rsid w:val="004B12C7"/>
    <w:rsid w:val="004B1341"/>
    <w:rsid w:val="004B14C5"/>
    <w:rsid w:val="004B71E1"/>
    <w:rsid w:val="004C1A89"/>
    <w:rsid w:val="004C6E8E"/>
    <w:rsid w:val="004C730B"/>
    <w:rsid w:val="004C7D3E"/>
    <w:rsid w:val="004C7D6F"/>
    <w:rsid w:val="004D0ECF"/>
    <w:rsid w:val="004D17C6"/>
    <w:rsid w:val="004D290A"/>
    <w:rsid w:val="004D2EAD"/>
    <w:rsid w:val="004D682A"/>
    <w:rsid w:val="004D6CE9"/>
    <w:rsid w:val="004D74A8"/>
    <w:rsid w:val="004E0C85"/>
    <w:rsid w:val="004E14AD"/>
    <w:rsid w:val="004E1CB7"/>
    <w:rsid w:val="004E33F4"/>
    <w:rsid w:val="004E3467"/>
    <w:rsid w:val="004E39CD"/>
    <w:rsid w:val="004E5AE9"/>
    <w:rsid w:val="004E609B"/>
    <w:rsid w:val="004F17AC"/>
    <w:rsid w:val="004F21B6"/>
    <w:rsid w:val="004F3218"/>
    <w:rsid w:val="004F44F6"/>
    <w:rsid w:val="004F669F"/>
    <w:rsid w:val="004F6F62"/>
    <w:rsid w:val="00501044"/>
    <w:rsid w:val="005028C1"/>
    <w:rsid w:val="00504561"/>
    <w:rsid w:val="00506A32"/>
    <w:rsid w:val="00506EDE"/>
    <w:rsid w:val="00510DAE"/>
    <w:rsid w:val="0051579D"/>
    <w:rsid w:val="00520195"/>
    <w:rsid w:val="0052062B"/>
    <w:rsid w:val="005206AB"/>
    <w:rsid w:val="00521D94"/>
    <w:rsid w:val="0052247E"/>
    <w:rsid w:val="005232E3"/>
    <w:rsid w:val="005241F0"/>
    <w:rsid w:val="00524311"/>
    <w:rsid w:val="00525173"/>
    <w:rsid w:val="00526388"/>
    <w:rsid w:val="005275C4"/>
    <w:rsid w:val="005276DF"/>
    <w:rsid w:val="005302AD"/>
    <w:rsid w:val="0053272D"/>
    <w:rsid w:val="00532AFB"/>
    <w:rsid w:val="00532CD7"/>
    <w:rsid w:val="00534113"/>
    <w:rsid w:val="00534523"/>
    <w:rsid w:val="00535D51"/>
    <w:rsid w:val="00545E66"/>
    <w:rsid w:val="00550ADC"/>
    <w:rsid w:val="00550D9B"/>
    <w:rsid w:val="005525CA"/>
    <w:rsid w:val="00552F76"/>
    <w:rsid w:val="00556D9C"/>
    <w:rsid w:val="00557099"/>
    <w:rsid w:val="00557DAC"/>
    <w:rsid w:val="00561CA6"/>
    <w:rsid w:val="00562BC7"/>
    <w:rsid w:val="0056334B"/>
    <w:rsid w:val="00564D7E"/>
    <w:rsid w:val="005664DA"/>
    <w:rsid w:val="00571CD2"/>
    <w:rsid w:val="00574037"/>
    <w:rsid w:val="00574306"/>
    <w:rsid w:val="00574F1F"/>
    <w:rsid w:val="00576A92"/>
    <w:rsid w:val="00580650"/>
    <w:rsid w:val="0058091D"/>
    <w:rsid w:val="00584634"/>
    <w:rsid w:val="00584873"/>
    <w:rsid w:val="0058574D"/>
    <w:rsid w:val="0059003C"/>
    <w:rsid w:val="00591C91"/>
    <w:rsid w:val="00593BD5"/>
    <w:rsid w:val="005948EF"/>
    <w:rsid w:val="005962CC"/>
    <w:rsid w:val="005A02C4"/>
    <w:rsid w:val="005A0A89"/>
    <w:rsid w:val="005A1286"/>
    <w:rsid w:val="005A1DA4"/>
    <w:rsid w:val="005A1ED0"/>
    <w:rsid w:val="005A24F3"/>
    <w:rsid w:val="005A5A3E"/>
    <w:rsid w:val="005A7D30"/>
    <w:rsid w:val="005A7E96"/>
    <w:rsid w:val="005B1DF1"/>
    <w:rsid w:val="005B67B3"/>
    <w:rsid w:val="005B7895"/>
    <w:rsid w:val="005B7ABF"/>
    <w:rsid w:val="005C042B"/>
    <w:rsid w:val="005C14F8"/>
    <w:rsid w:val="005C16F4"/>
    <w:rsid w:val="005C1C48"/>
    <w:rsid w:val="005C4896"/>
    <w:rsid w:val="005C742B"/>
    <w:rsid w:val="005D10B8"/>
    <w:rsid w:val="005D1B6E"/>
    <w:rsid w:val="005D462C"/>
    <w:rsid w:val="005D5010"/>
    <w:rsid w:val="005D7A3F"/>
    <w:rsid w:val="005E0960"/>
    <w:rsid w:val="005E0ABD"/>
    <w:rsid w:val="005E450E"/>
    <w:rsid w:val="005E4558"/>
    <w:rsid w:val="005E7C05"/>
    <w:rsid w:val="005F4324"/>
    <w:rsid w:val="005F49E4"/>
    <w:rsid w:val="005F4F17"/>
    <w:rsid w:val="005F5A66"/>
    <w:rsid w:val="005F6C6E"/>
    <w:rsid w:val="005F7AFA"/>
    <w:rsid w:val="006010D9"/>
    <w:rsid w:val="00603538"/>
    <w:rsid w:val="006071ED"/>
    <w:rsid w:val="00607392"/>
    <w:rsid w:val="0061282B"/>
    <w:rsid w:val="00615BE1"/>
    <w:rsid w:val="00616DFD"/>
    <w:rsid w:val="006177D0"/>
    <w:rsid w:val="00617821"/>
    <w:rsid w:val="006215A8"/>
    <w:rsid w:val="00623737"/>
    <w:rsid w:val="006237A3"/>
    <w:rsid w:val="00624AF3"/>
    <w:rsid w:val="006254A7"/>
    <w:rsid w:val="00627C18"/>
    <w:rsid w:val="00632B6A"/>
    <w:rsid w:val="006346A6"/>
    <w:rsid w:val="0063521C"/>
    <w:rsid w:val="00636D08"/>
    <w:rsid w:val="006403C8"/>
    <w:rsid w:val="006415D0"/>
    <w:rsid w:val="006427B4"/>
    <w:rsid w:val="00642D96"/>
    <w:rsid w:val="00642FC8"/>
    <w:rsid w:val="0064425A"/>
    <w:rsid w:val="00645F99"/>
    <w:rsid w:val="0064737B"/>
    <w:rsid w:val="00647AEE"/>
    <w:rsid w:val="00651653"/>
    <w:rsid w:val="006550C1"/>
    <w:rsid w:val="00656F5A"/>
    <w:rsid w:val="00660D06"/>
    <w:rsid w:val="00661D83"/>
    <w:rsid w:val="00662DED"/>
    <w:rsid w:val="00665F81"/>
    <w:rsid w:val="00666408"/>
    <w:rsid w:val="00667E99"/>
    <w:rsid w:val="00670009"/>
    <w:rsid w:val="00670847"/>
    <w:rsid w:val="006710C1"/>
    <w:rsid w:val="00673E42"/>
    <w:rsid w:val="00676230"/>
    <w:rsid w:val="0068283F"/>
    <w:rsid w:val="00685803"/>
    <w:rsid w:val="00687361"/>
    <w:rsid w:val="00690ADA"/>
    <w:rsid w:val="00690BDD"/>
    <w:rsid w:val="006929E3"/>
    <w:rsid w:val="00695570"/>
    <w:rsid w:val="00697D8B"/>
    <w:rsid w:val="006A3505"/>
    <w:rsid w:val="006A37D9"/>
    <w:rsid w:val="006A583B"/>
    <w:rsid w:val="006A73B5"/>
    <w:rsid w:val="006A7803"/>
    <w:rsid w:val="006B1A99"/>
    <w:rsid w:val="006B3A28"/>
    <w:rsid w:val="006B409D"/>
    <w:rsid w:val="006B74E9"/>
    <w:rsid w:val="006B7CD6"/>
    <w:rsid w:val="006C78BD"/>
    <w:rsid w:val="006C7BD1"/>
    <w:rsid w:val="006D04FB"/>
    <w:rsid w:val="006D07E9"/>
    <w:rsid w:val="006D1C95"/>
    <w:rsid w:val="006D3406"/>
    <w:rsid w:val="006D375F"/>
    <w:rsid w:val="006D4D40"/>
    <w:rsid w:val="006D6CC3"/>
    <w:rsid w:val="006E0282"/>
    <w:rsid w:val="006E2B98"/>
    <w:rsid w:val="006E4FB2"/>
    <w:rsid w:val="006E503C"/>
    <w:rsid w:val="006E5E0A"/>
    <w:rsid w:val="006E628C"/>
    <w:rsid w:val="006E6D0B"/>
    <w:rsid w:val="006F6522"/>
    <w:rsid w:val="006F6722"/>
    <w:rsid w:val="00703983"/>
    <w:rsid w:val="00707151"/>
    <w:rsid w:val="0071130B"/>
    <w:rsid w:val="007124FA"/>
    <w:rsid w:val="00713E8C"/>
    <w:rsid w:val="00714E16"/>
    <w:rsid w:val="00717656"/>
    <w:rsid w:val="007209DF"/>
    <w:rsid w:val="00720BC0"/>
    <w:rsid w:val="00720F7C"/>
    <w:rsid w:val="00721643"/>
    <w:rsid w:val="00723EB5"/>
    <w:rsid w:val="00723EE6"/>
    <w:rsid w:val="007242FE"/>
    <w:rsid w:val="007244CD"/>
    <w:rsid w:val="007249A6"/>
    <w:rsid w:val="0072642F"/>
    <w:rsid w:val="00730EC5"/>
    <w:rsid w:val="00732C7A"/>
    <w:rsid w:val="00733AFF"/>
    <w:rsid w:val="00736396"/>
    <w:rsid w:val="0073656A"/>
    <w:rsid w:val="00737F74"/>
    <w:rsid w:val="00740672"/>
    <w:rsid w:val="0075157E"/>
    <w:rsid w:val="00755AD5"/>
    <w:rsid w:val="00756996"/>
    <w:rsid w:val="00756D24"/>
    <w:rsid w:val="00765C89"/>
    <w:rsid w:val="007664D9"/>
    <w:rsid w:val="00766C3D"/>
    <w:rsid w:val="00767A33"/>
    <w:rsid w:val="007741AF"/>
    <w:rsid w:val="007771AD"/>
    <w:rsid w:val="0077743D"/>
    <w:rsid w:val="00777B5A"/>
    <w:rsid w:val="00777C84"/>
    <w:rsid w:val="007840AA"/>
    <w:rsid w:val="00787CC8"/>
    <w:rsid w:val="00787D80"/>
    <w:rsid w:val="0079054B"/>
    <w:rsid w:val="00793B03"/>
    <w:rsid w:val="00795A5A"/>
    <w:rsid w:val="00796034"/>
    <w:rsid w:val="00796688"/>
    <w:rsid w:val="007A05BF"/>
    <w:rsid w:val="007A35AF"/>
    <w:rsid w:val="007B1970"/>
    <w:rsid w:val="007B4161"/>
    <w:rsid w:val="007B42F6"/>
    <w:rsid w:val="007B4310"/>
    <w:rsid w:val="007B5F64"/>
    <w:rsid w:val="007B6660"/>
    <w:rsid w:val="007C5820"/>
    <w:rsid w:val="007C68C9"/>
    <w:rsid w:val="007C76BD"/>
    <w:rsid w:val="007D10EE"/>
    <w:rsid w:val="007D274C"/>
    <w:rsid w:val="007D479C"/>
    <w:rsid w:val="007D5C9D"/>
    <w:rsid w:val="007D6A34"/>
    <w:rsid w:val="007D75CB"/>
    <w:rsid w:val="007E3149"/>
    <w:rsid w:val="007E5972"/>
    <w:rsid w:val="007E68D0"/>
    <w:rsid w:val="007F1A50"/>
    <w:rsid w:val="007F5AAD"/>
    <w:rsid w:val="007F6403"/>
    <w:rsid w:val="00801740"/>
    <w:rsid w:val="0080210F"/>
    <w:rsid w:val="00805BE6"/>
    <w:rsid w:val="008103AD"/>
    <w:rsid w:val="00812FC8"/>
    <w:rsid w:val="008135B4"/>
    <w:rsid w:val="00813997"/>
    <w:rsid w:val="00815183"/>
    <w:rsid w:val="00816D36"/>
    <w:rsid w:val="0081737D"/>
    <w:rsid w:val="0082034F"/>
    <w:rsid w:val="008210C8"/>
    <w:rsid w:val="0082209E"/>
    <w:rsid w:val="00822FA5"/>
    <w:rsid w:val="0082770C"/>
    <w:rsid w:val="00830E22"/>
    <w:rsid w:val="00834E6B"/>
    <w:rsid w:val="00835CE3"/>
    <w:rsid w:val="00843972"/>
    <w:rsid w:val="008457DC"/>
    <w:rsid w:val="00845810"/>
    <w:rsid w:val="00845A5E"/>
    <w:rsid w:val="00845B47"/>
    <w:rsid w:val="00850CEE"/>
    <w:rsid w:val="008532FF"/>
    <w:rsid w:val="008548F1"/>
    <w:rsid w:val="00854A1E"/>
    <w:rsid w:val="00854C16"/>
    <w:rsid w:val="008567CB"/>
    <w:rsid w:val="00861149"/>
    <w:rsid w:val="0086128F"/>
    <w:rsid w:val="008620F0"/>
    <w:rsid w:val="00862626"/>
    <w:rsid w:val="00863DE4"/>
    <w:rsid w:val="00871AE4"/>
    <w:rsid w:val="00871DCE"/>
    <w:rsid w:val="0087499F"/>
    <w:rsid w:val="008757CE"/>
    <w:rsid w:val="00876E72"/>
    <w:rsid w:val="0087790A"/>
    <w:rsid w:val="008804A8"/>
    <w:rsid w:val="00881A3D"/>
    <w:rsid w:val="00881C7E"/>
    <w:rsid w:val="00893829"/>
    <w:rsid w:val="00896461"/>
    <w:rsid w:val="008966F8"/>
    <w:rsid w:val="00896B34"/>
    <w:rsid w:val="00897EC0"/>
    <w:rsid w:val="008A1E11"/>
    <w:rsid w:val="008A25B5"/>
    <w:rsid w:val="008A2AC3"/>
    <w:rsid w:val="008A2F33"/>
    <w:rsid w:val="008A67F3"/>
    <w:rsid w:val="008A7ECC"/>
    <w:rsid w:val="008B1A8E"/>
    <w:rsid w:val="008B2183"/>
    <w:rsid w:val="008B22A0"/>
    <w:rsid w:val="008B4377"/>
    <w:rsid w:val="008B5108"/>
    <w:rsid w:val="008B548D"/>
    <w:rsid w:val="008B5E6F"/>
    <w:rsid w:val="008B6991"/>
    <w:rsid w:val="008B793E"/>
    <w:rsid w:val="008C0126"/>
    <w:rsid w:val="008C07C6"/>
    <w:rsid w:val="008C1527"/>
    <w:rsid w:val="008C1BEE"/>
    <w:rsid w:val="008C2DDB"/>
    <w:rsid w:val="008C36B5"/>
    <w:rsid w:val="008C659B"/>
    <w:rsid w:val="008D0F23"/>
    <w:rsid w:val="008D472C"/>
    <w:rsid w:val="008D659E"/>
    <w:rsid w:val="008E0593"/>
    <w:rsid w:val="008E133C"/>
    <w:rsid w:val="008F0210"/>
    <w:rsid w:val="008F3845"/>
    <w:rsid w:val="008F3F20"/>
    <w:rsid w:val="008F3FEB"/>
    <w:rsid w:val="008F55B1"/>
    <w:rsid w:val="008F5EB6"/>
    <w:rsid w:val="008F602B"/>
    <w:rsid w:val="008F60C8"/>
    <w:rsid w:val="008F7A9D"/>
    <w:rsid w:val="008F7EF3"/>
    <w:rsid w:val="00905493"/>
    <w:rsid w:val="00907569"/>
    <w:rsid w:val="00907B4B"/>
    <w:rsid w:val="00907BC9"/>
    <w:rsid w:val="0091058F"/>
    <w:rsid w:val="00911A83"/>
    <w:rsid w:val="0091229C"/>
    <w:rsid w:val="00912349"/>
    <w:rsid w:val="00916F16"/>
    <w:rsid w:val="00917269"/>
    <w:rsid w:val="0092087D"/>
    <w:rsid w:val="009247F8"/>
    <w:rsid w:val="00924B83"/>
    <w:rsid w:val="009253F7"/>
    <w:rsid w:val="009257CB"/>
    <w:rsid w:val="00926D80"/>
    <w:rsid w:val="00927375"/>
    <w:rsid w:val="009345A9"/>
    <w:rsid w:val="00934FDB"/>
    <w:rsid w:val="00937007"/>
    <w:rsid w:val="00937E71"/>
    <w:rsid w:val="00941577"/>
    <w:rsid w:val="00942BC4"/>
    <w:rsid w:val="009468B6"/>
    <w:rsid w:val="00947FBA"/>
    <w:rsid w:val="0095070F"/>
    <w:rsid w:val="009523A3"/>
    <w:rsid w:val="009536FA"/>
    <w:rsid w:val="00954489"/>
    <w:rsid w:val="009545E9"/>
    <w:rsid w:val="00956CE2"/>
    <w:rsid w:val="00960A3C"/>
    <w:rsid w:val="00963140"/>
    <w:rsid w:val="00964AF5"/>
    <w:rsid w:val="00972D99"/>
    <w:rsid w:val="00977D9C"/>
    <w:rsid w:val="00980439"/>
    <w:rsid w:val="0098160C"/>
    <w:rsid w:val="009818D4"/>
    <w:rsid w:val="00985482"/>
    <w:rsid w:val="009875BF"/>
    <w:rsid w:val="0099210F"/>
    <w:rsid w:val="00992861"/>
    <w:rsid w:val="00997398"/>
    <w:rsid w:val="009A1515"/>
    <w:rsid w:val="009A5195"/>
    <w:rsid w:val="009A65C7"/>
    <w:rsid w:val="009A72CF"/>
    <w:rsid w:val="009A7511"/>
    <w:rsid w:val="009B000B"/>
    <w:rsid w:val="009B12E9"/>
    <w:rsid w:val="009B4B28"/>
    <w:rsid w:val="009B6193"/>
    <w:rsid w:val="009C4843"/>
    <w:rsid w:val="009C6A78"/>
    <w:rsid w:val="009D383D"/>
    <w:rsid w:val="009D6C0E"/>
    <w:rsid w:val="009E05E7"/>
    <w:rsid w:val="009E0D70"/>
    <w:rsid w:val="009F0F05"/>
    <w:rsid w:val="009F1136"/>
    <w:rsid w:val="009F5181"/>
    <w:rsid w:val="009F6412"/>
    <w:rsid w:val="009F7F4B"/>
    <w:rsid w:val="00A06582"/>
    <w:rsid w:val="00A0702A"/>
    <w:rsid w:val="00A115CD"/>
    <w:rsid w:val="00A12385"/>
    <w:rsid w:val="00A131F7"/>
    <w:rsid w:val="00A16343"/>
    <w:rsid w:val="00A20B30"/>
    <w:rsid w:val="00A22B64"/>
    <w:rsid w:val="00A22E71"/>
    <w:rsid w:val="00A24DD5"/>
    <w:rsid w:val="00A25F3A"/>
    <w:rsid w:val="00A2761C"/>
    <w:rsid w:val="00A306F8"/>
    <w:rsid w:val="00A30A34"/>
    <w:rsid w:val="00A31158"/>
    <w:rsid w:val="00A407F3"/>
    <w:rsid w:val="00A41065"/>
    <w:rsid w:val="00A426F2"/>
    <w:rsid w:val="00A472DE"/>
    <w:rsid w:val="00A52144"/>
    <w:rsid w:val="00A5282A"/>
    <w:rsid w:val="00A540B2"/>
    <w:rsid w:val="00A57B14"/>
    <w:rsid w:val="00A57BE1"/>
    <w:rsid w:val="00A65A4D"/>
    <w:rsid w:val="00A70B19"/>
    <w:rsid w:val="00A72BED"/>
    <w:rsid w:val="00A73350"/>
    <w:rsid w:val="00A73820"/>
    <w:rsid w:val="00A77FE4"/>
    <w:rsid w:val="00A805E3"/>
    <w:rsid w:val="00A832D0"/>
    <w:rsid w:val="00A835A9"/>
    <w:rsid w:val="00A836B9"/>
    <w:rsid w:val="00A83CAE"/>
    <w:rsid w:val="00A84AB9"/>
    <w:rsid w:val="00A86012"/>
    <w:rsid w:val="00A861EE"/>
    <w:rsid w:val="00A87795"/>
    <w:rsid w:val="00A909D8"/>
    <w:rsid w:val="00A94AB7"/>
    <w:rsid w:val="00AA0218"/>
    <w:rsid w:val="00AA2ACD"/>
    <w:rsid w:val="00AA3F46"/>
    <w:rsid w:val="00AA4B49"/>
    <w:rsid w:val="00AA6FEE"/>
    <w:rsid w:val="00AB0C41"/>
    <w:rsid w:val="00AB11CA"/>
    <w:rsid w:val="00AB4F31"/>
    <w:rsid w:val="00AB5FD1"/>
    <w:rsid w:val="00AB7E1A"/>
    <w:rsid w:val="00AC131D"/>
    <w:rsid w:val="00AC1BD0"/>
    <w:rsid w:val="00AC1DC6"/>
    <w:rsid w:val="00AC38B2"/>
    <w:rsid w:val="00AC3915"/>
    <w:rsid w:val="00AC3C04"/>
    <w:rsid w:val="00AC47E9"/>
    <w:rsid w:val="00AC4E86"/>
    <w:rsid w:val="00AC5DB1"/>
    <w:rsid w:val="00AC6E0C"/>
    <w:rsid w:val="00AD34EE"/>
    <w:rsid w:val="00AD41D1"/>
    <w:rsid w:val="00AD4555"/>
    <w:rsid w:val="00AD654D"/>
    <w:rsid w:val="00AD7308"/>
    <w:rsid w:val="00AD78EA"/>
    <w:rsid w:val="00AD798E"/>
    <w:rsid w:val="00AE3FD6"/>
    <w:rsid w:val="00AE4E31"/>
    <w:rsid w:val="00AF04CB"/>
    <w:rsid w:val="00AF06D0"/>
    <w:rsid w:val="00AF1323"/>
    <w:rsid w:val="00AF2133"/>
    <w:rsid w:val="00AF2DFF"/>
    <w:rsid w:val="00AF42C7"/>
    <w:rsid w:val="00AF5664"/>
    <w:rsid w:val="00AF5CEB"/>
    <w:rsid w:val="00AF7C6A"/>
    <w:rsid w:val="00B0003E"/>
    <w:rsid w:val="00B02BF9"/>
    <w:rsid w:val="00B044AC"/>
    <w:rsid w:val="00B06A1E"/>
    <w:rsid w:val="00B079D9"/>
    <w:rsid w:val="00B10764"/>
    <w:rsid w:val="00B1098C"/>
    <w:rsid w:val="00B12678"/>
    <w:rsid w:val="00B13568"/>
    <w:rsid w:val="00B13AEA"/>
    <w:rsid w:val="00B1574C"/>
    <w:rsid w:val="00B16AF5"/>
    <w:rsid w:val="00B170AC"/>
    <w:rsid w:val="00B2103A"/>
    <w:rsid w:val="00B220CB"/>
    <w:rsid w:val="00B23143"/>
    <w:rsid w:val="00B25831"/>
    <w:rsid w:val="00B33376"/>
    <w:rsid w:val="00B342FC"/>
    <w:rsid w:val="00B34BCD"/>
    <w:rsid w:val="00B378C7"/>
    <w:rsid w:val="00B378D2"/>
    <w:rsid w:val="00B37EBC"/>
    <w:rsid w:val="00B4014B"/>
    <w:rsid w:val="00B417DF"/>
    <w:rsid w:val="00B43A18"/>
    <w:rsid w:val="00B43C57"/>
    <w:rsid w:val="00B44E07"/>
    <w:rsid w:val="00B45DC6"/>
    <w:rsid w:val="00B46E1F"/>
    <w:rsid w:val="00B46EDF"/>
    <w:rsid w:val="00B47455"/>
    <w:rsid w:val="00B47900"/>
    <w:rsid w:val="00B47EFD"/>
    <w:rsid w:val="00B5116B"/>
    <w:rsid w:val="00B526B0"/>
    <w:rsid w:val="00B543CF"/>
    <w:rsid w:val="00B55404"/>
    <w:rsid w:val="00B557B5"/>
    <w:rsid w:val="00B558A8"/>
    <w:rsid w:val="00B60E0C"/>
    <w:rsid w:val="00B619ED"/>
    <w:rsid w:val="00B61DDD"/>
    <w:rsid w:val="00B63545"/>
    <w:rsid w:val="00B6534B"/>
    <w:rsid w:val="00B65E73"/>
    <w:rsid w:val="00B67C7E"/>
    <w:rsid w:val="00B71577"/>
    <w:rsid w:val="00B746F2"/>
    <w:rsid w:val="00B7519D"/>
    <w:rsid w:val="00B80C0A"/>
    <w:rsid w:val="00B82146"/>
    <w:rsid w:val="00B83142"/>
    <w:rsid w:val="00B85278"/>
    <w:rsid w:val="00B875C8"/>
    <w:rsid w:val="00B946CB"/>
    <w:rsid w:val="00B94A4E"/>
    <w:rsid w:val="00B94D10"/>
    <w:rsid w:val="00B95A46"/>
    <w:rsid w:val="00BA5BE3"/>
    <w:rsid w:val="00BA772E"/>
    <w:rsid w:val="00BB0724"/>
    <w:rsid w:val="00BB27CA"/>
    <w:rsid w:val="00BB2C30"/>
    <w:rsid w:val="00BB3BBC"/>
    <w:rsid w:val="00BB3D14"/>
    <w:rsid w:val="00BB473A"/>
    <w:rsid w:val="00BB4FB3"/>
    <w:rsid w:val="00BB58FA"/>
    <w:rsid w:val="00BB6AED"/>
    <w:rsid w:val="00BB6AFD"/>
    <w:rsid w:val="00BC09EB"/>
    <w:rsid w:val="00BC4CA8"/>
    <w:rsid w:val="00BC51C3"/>
    <w:rsid w:val="00BC6787"/>
    <w:rsid w:val="00BD02CA"/>
    <w:rsid w:val="00BD16FE"/>
    <w:rsid w:val="00BD59DC"/>
    <w:rsid w:val="00BD6395"/>
    <w:rsid w:val="00BD7858"/>
    <w:rsid w:val="00BE2CDA"/>
    <w:rsid w:val="00BE349B"/>
    <w:rsid w:val="00BE4452"/>
    <w:rsid w:val="00BE4E88"/>
    <w:rsid w:val="00BE5FAD"/>
    <w:rsid w:val="00BE69ED"/>
    <w:rsid w:val="00BE70A3"/>
    <w:rsid w:val="00C00BF4"/>
    <w:rsid w:val="00C01430"/>
    <w:rsid w:val="00C03CFF"/>
    <w:rsid w:val="00C05571"/>
    <w:rsid w:val="00C06322"/>
    <w:rsid w:val="00C10EE6"/>
    <w:rsid w:val="00C11DFD"/>
    <w:rsid w:val="00C20976"/>
    <w:rsid w:val="00C21497"/>
    <w:rsid w:val="00C223CA"/>
    <w:rsid w:val="00C23A29"/>
    <w:rsid w:val="00C24C14"/>
    <w:rsid w:val="00C317E6"/>
    <w:rsid w:val="00C33785"/>
    <w:rsid w:val="00C35588"/>
    <w:rsid w:val="00C36298"/>
    <w:rsid w:val="00C377DC"/>
    <w:rsid w:val="00C4318F"/>
    <w:rsid w:val="00C470CF"/>
    <w:rsid w:val="00C50CBF"/>
    <w:rsid w:val="00C51080"/>
    <w:rsid w:val="00C54F79"/>
    <w:rsid w:val="00C5649B"/>
    <w:rsid w:val="00C56BCF"/>
    <w:rsid w:val="00C57D9A"/>
    <w:rsid w:val="00C61221"/>
    <w:rsid w:val="00C63EA0"/>
    <w:rsid w:val="00C640EF"/>
    <w:rsid w:val="00C713C5"/>
    <w:rsid w:val="00C720F6"/>
    <w:rsid w:val="00C7216E"/>
    <w:rsid w:val="00C735E5"/>
    <w:rsid w:val="00C7413C"/>
    <w:rsid w:val="00C7477E"/>
    <w:rsid w:val="00C7481E"/>
    <w:rsid w:val="00C74837"/>
    <w:rsid w:val="00C75947"/>
    <w:rsid w:val="00C80727"/>
    <w:rsid w:val="00C82A6D"/>
    <w:rsid w:val="00C84EC6"/>
    <w:rsid w:val="00C852A7"/>
    <w:rsid w:val="00C867FC"/>
    <w:rsid w:val="00C90459"/>
    <w:rsid w:val="00C91506"/>
    <w:rsid w:val="00C95417"/>
    <w:rsid w:val="00C9614C"/>
    <w:rsid w:val="00CA1DEE"/>
    <w:rsid w:val="00CA47C6"/>
    <w:rsid w:val="00CA600E"/>
    <w:rsid w:val="00CB3E88"/>
    <w:rsid w:val="00CB427F"/>
    <w:rsid w:val="00CB4C2F"/>
    <w:rsid w:val="00CB6597"/>
    <w:rsid w:val="00CB6E45"/>
    <w:rsid w:val="00CC29FA"/>
    <w:rsid w:val="00CC32DC"/>
    <w:rsid w:val="00CC43C2"/>
    <w:rsid w:val="00CC4550"/>
    <w:rsid w:val="00CD2420"/>
    <w:rsid w:val="00CD3889"/>
    <w:rsid w:val="00CD3B29"/>
    <w:rsid w:val="00CD4390"/>
    <w:rsid w:val="00CD4E5C"/>
    <w:rsid w:val="00CD63E6"/>
    <w:rsid w:val="00CD7D14"/>
    <w:rsid w:val="00CE118C"/>
    <w:rsid w:val="00CE2F6E"/>
    <w:rsid w:val="00CE30B7"/>
    <w:rsid w:val="00CE4118"/>
    <w:rsid w:val="00CE59F0"/>
    <w:rsid w:val="00CE5BB3"/>
    <w:rsid w:val="00CE5BF6"/>
    <w:rsid w:val="00CF15A4"/>
    <w:rsid w:val="00CF3484"/>
    <w:rsid w:val="00CF34F4"/>
    <w:rsid w:val="00CF7145"/>
    <w:rsid w:val="00CF7E6C"/>
    <w:rsid w:val="00D04D9F"/>
    <w:rsid w:val="00D05A59"/>
    <w:rsid w:val="00D1071A"/>
    <w:rsid w:val="00D16F47"/>
    <w:rsid w:val="00D23132"/>
    <w:rsid w:val="00D23770"/>
    <w:rsid w:val="00D25741"/>
    <w:rsid w:val="00D27EF4"/>
    <w:rsid w:val="00D30E38"/>
    <w:rsid w:val="00D31121"/>
    <w:rsid w:val="00D31EF3"/>
    <w:rsid w:val="00D32E7D"/>
    <w:rsid w:val="00D33E2C"/>
    <w:rsid w:val="00D34DCA"/>
    <w:rsid w:val="00D3628A"/>
    <w:rsid w:val="00D36AF5"/>
    <w:rsid w:val="00D37349"/>
    <w:rsid w:val="00D40213"/>
    <w:rsid w:val="00D41287"/>
    <w:rsid w:val="00D41B8A"/>
    <w:rsid w:val="00D4210E"/>
    <w:rsid w:val="00D43EA3"/>
    <w:rsid w:val="00D43F92"/>
    <w:rsid w:val="00D504FE"/>
    <w:rsid w:val="00D50501"/>
    <w:rsid w:val="00D510E4"/>
    <w:rsid w:val="00D518FB"/>
    <w:rsid w:val="00D52258"/>
    <w:rsid w:val="00D529B9"/>
    <w:rsid w:val="00D52E86"/>
    <w:rsid w:val="00D53F87"/>
    <w:rsid w:val="00D602C6"/>
    <w:rsid w:val="00D619FE"/>
    <w:rsid w:val="00D62088"/>
    <w:rsid w:val="00D67709"/>
    <w:rsid w:val="00D70ABD"/>
    <w:rsid w:val="00D72B62"/>
    <w:rsid w:val="00D72D39"/>
    <w:rsid w:val="00D7392E"/>
    <w:rsid w:val="00D73AA1"/>
    <w:rsid w:val="00D742DF"/>
    <w:rsid w:val="00D77325"/>
    <w:rsid w:val="00D77430"/>
    <w:rsid w:val="00D77E63"/>
    <w:rsid w:val="00D81755"/>
    <w:rsid w:val="00D82A95"/>
    <w:rsid w:val="00D832FF"/>
    <w:rsid w:val="00D84809"/>
    <w:rsid w:val="00D90476"/>
    <w:rsid w:val="00D91F4B"/>
    <w:rsid w:val="00D924D1"/>
    <w:rsid w:val="00D94137"/>
    <w:rsid w:val="00D943B2"/>
    <w:rsid w:val="00D95313"/>
    <w:rsid w:val="00D978F3"/>
    <w:rsid w:val="00D97B6C"/>
    <w:rsid w:val="00DA2184"/>
    <w:rsid w:val="00DA2481"/>
    <w:rsid w:val="00DA54D4"/>
    <w:rsid w:val="00DA62CB"/>
    <w:rsid w:val="00DA7296"/>
    <w:rsid w:val="00DA7D19"/>
    <w:rsid w:val="00DB1BB5"/>
    <w:rsid w:val="00DB3A90"/>
    <w:rsid w:val="00DB3E85"/>
    <w:rsid w:val="00DB620A"/>
    <w:rsid w:val="00DD4465"/>
    <w:rsid w:val="00DE018E"/>
    <w:rsid w:val="00DE025E"/>
    <w:rsid w:val="00DE1210"/>
    <w:rsid w:val="00DE1D2F"/>
    <w:rsid w:val="00DF1938"/>
    <w:rsid w:val="00E00440"/>
    <w:rsid w:val="00E03D0D"/>
    <w:rsid w:val="00E04161"/>
    <w:rsid w:val="00E05D42"/>
    <w:rsid w:val="00E158B0"/>
    <w:rsid w:val="00E221A8"/>
    <w:rsid w:val="00E22751"/>
    <w:rsid w:val="00E22CB6"/>
    <w:rsid w:val="00E23447"/>
    <w:rsid w:val="00E24726"/>
    <w:rsid w:val="00E255D2"/>
    <w:rsid w:val="00E279C8"/>
    <w:rsid w:val="00E27F28"/>
    <w:rsid w:val="00E33FE4"/>
    <w:rsid w:val="00E35A72"/>
    <w:rsid w:val="00E37C6A"/>
    <w:rsid w:val="00E43362"/>
    <w:rsid w:val="00E4489A"/>
    <w:rsid w:val="00E46234"/>
    <w:rsid w:val="00E46E69"/>
    <w:rsid w:val="00E510CC"/>
    <w:rsid w:val="00E55206"/>
    <w:rsid w:val="00E5797E"/>
    <w:rsid w:val="00E609B3"/>
    <w:rsid w:val="00E61C68"/>
    <w:rsid w:val="00E625A0"/>
    <w:rsid w:val="00E62789"/>
    <w:rsid w:val="00E63287"/>
    <w:rsid w:val="00E65E9D"/>
    <w:rsid w:val="00E67B39"/>
    <w:rsid w:val="00E71080"/>
    <w:rsid w:val="00E73729"/>
    <w:rsid w:val="00E75272"/>
    <w:rsid w:val="00E75599"/>
    <w:rsid w:val="00E84B69"/>
    <w:rsid w:val="00E869E9"/>
    <w:rsid w:val="00E86A34"/>
    <w:rsid w:val="00E93570"/>
    <w:rsid w:val="00E9539D"/>
    <w:rsid w:val="00E95B30"/>
    <w:rsid w:val="00E96CE0"/>
    <w:rsid w:val="00EA298E"/>
    <w:rsid w:val="00EA4020"/>
    <w:rsid w:val="00EA47D9"/>
    <w:rsid w:val="00EA6E57"/>
    <w:rsid w:val="00EA6EFC"/>
    <w:rsid w:val="00EA701B"/>
    <w:rsid w:val="00EB17CF"/>
    <w:rsid w:val="00EB4B80"/>
    <w:rsid w:val="00EB6CDE"/>
    <w:rsid w:val="00EC05C0"/>
    <w:rsid w:val="00EC296E"/>
    <w:rsid w:val="00ED2E91"/>
    <w:rsid w:val="00ED6D59"/>
    <w:rsid w:val="00ED722E"/>
    <w:rsid w:val="00EE00C6"/>
    <w:rsid w:val="00EE0621"/>
    <w:rsid w:val="00EE351C"/>
    <w:rsid w:val="00EE4F32"/>
    <w:rsid w:val="00EF027A"/>
    <w:rsid w:val="00EF12AF"/>
    <w:rsid w:val="00EF5115"/>
    <w:rsid w:val="00EF771E"/>
    <w:rsid w:val="00F02045"/>
    <w:rsid w:val="00F03806"/>
    <w:rsid w:val="00F0659D"/>
    <w:rsid w:val="00F07C1A"/>
    <w:rsid w:val="00F1213F"/>
    <w:rsid w:val="00F122E2"/>
    <w:rsid w:val="00F13346"/>
    <w:rsid w:val="00F14F53"/>
    <w:rsid w:val="00F20225"/>
    <w:rsid w:val="00F2127E"/>
    <w:rsid w:val="00F253B3"/>
    <w:rsid w:val="00F26645"/>
    <w:rsid w:val="00F26AD9"/>
    <w:rsid w:val="00F31F3A"/>
    <w:rsid w:val="00F332CA"/>
    <w:rsid w:val="00F34976"/>
    <w:rsid w:val="00F35183"/>
    <w:rsid w:val="00F35DFD"/>
    <w:rsid w:val="00F379E8"/>
    <w:rsid w:val="00F4711A"/>
    <w:rsid w:val="00F532FA"/>
    <w:rsid w:val="00F53B0F"/>
    <w:rsid w:val="00F53F96"/>
    <w:rsid w:val="00F54000"/>
    <w:rsid w:val="00F554C7"/>
    <w:rsid w:val="00F56AB8"/>
    <w:rsid w:val="00F6259B"/>
    <w:rsid w:val="00F62CF1"/>
    <w:rsid w:val="00F63F69"/>
    <w:rsid w:val="00F6410F"/>
    <w:rsid w:val="00F64728"/>
    <w:rsid w:val="00F64AFA"/>
    <w:rsid w:val="00F64D78"/>
    <w:rsid w:val="00F72932"/>
    <w:rsid w:val="00F74EF6"/>
    <w:rsid w:val="00F773D1"/>
    <w:rsid w:val="00F822DF"/>
    <w:rsid w:val="00F82426"/>
    <w:rsid w:val="00F82632"/>
    <w:rsid w:val="00F82EE4"/>
    <w:rsid w:val="00F842E0"/>
    <w:rsid w:val="00F84947"/>
    <w:rsid w:val="00F85974"/>
    <w:rsid w:val="00F86C97"/>
    <w:rsid w:val="00F91B5E"/>
    <w:rsid w:val="00F925E6"/>
    <w:rsid w:val="00F92B25"/>
    <w:rsid w:val="00F94568"/>
    <w:rsid w:val="00F94D1A"/>
    <w:rsid w:val="00F95C6C"/>
    <w:rsid w:val="00F9708F"/>
    <w:rsid w:val="00F97358"/>
    <w:rsid w:val="00FA01C5"/>
    <w:rsid w:val="00FA380B"/>
    <w:rsid w:val="00FA39DC"/>
    <w:rsid w:val="00FA519A"/>
    <w:rsid w:val="00FA6C64"/>
    <w:rsid w:val="00FA73EC"/>
    <w:rsid w:val="00FB1EA2"/>
    <w:rsid w:val="00FB4215"/>
    <w:rsid w:val="00FB6593"/>
    <w:rsid w:val="00FB65A3"/>
    <w:rsid w:val="00FC104A"/>
    <w:rsid w:val="00FC36C6"/>
    <w:rsid w:val="00FC4613"/>
    <w:rsid w:val="00FC60ED"/>
    <w:rsid w:val="00FC6E22"/>
    <w:rsid w:val="00FC7353"/>
    <w:rsid w:val="00FD1312"/>
    <w:rsid w:val="00FE15B7"/>
    <w:rsid w:val="00FE2519"/>
    <w:rsid w:val="00FE54C8"/>
    <w:rsid w:val="00FE727C"/>
    <w:rsid w:val="00FF03DD"/>
    <w:rsid w:val="00FF1129"/>
    <w:rsid w:val="00FF20BF"/>
    <w:rsid w:val="00FF64AF"/>
    <w:rsid w:val="00FF77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9B7EE00-8813-41B9-B7E8-6F773B656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831"/>
    <w:pPr>
      <w:spacing w:after="240"/>
    </w:pPr>
    <w:rPr>
      <w:sz w:val="24"/>
      <w:lang w:val="en-GB" w:eastAsia="en-US"/>
    </w:rPr>
  </w:style>
  <w:style w:type="paragraph" w:styleId="Heading1">
    <w:name w:val="heading 1"/>
    <w:basedOn w:val="Normal"/>
    <w:next w:val="Normal"/>
    <w:qFormat/>
    <w:pPr>
      <w:keepNext/>
      <w:jc w:val="center"/>
      <w:outlineLvl w:val="0"/>
    </w:pPr>
    <w:rPr>
      <w:b/>
      <w:caps/>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b/>
      <w:i/>
    </w:rPr>
  </w:style>
  <w:style w:type="paragraph" w:styleId="Heading6">
    <w:name w:val="heading 6"/>
    <w:basedOn w:val="Normal"/>
    <w:next w:val="Normal"/>
    <w:qFormat/>
    <w:pPr>
      <w:keepNext/>
      <w:outlineLvl w:val="5"/>
    </w:pPr>
    <w:rPr>
      <w:b/>
      <w:caps/>
    </w:rPr>
  </w:style>
  <w:style w:type="paragraph" w:styleId="Heading7">
    <w:name w:val="heading 7"/>
    <w:basedOn w:val="Normal"/>
    <w:next w:val="Normal"/>
    <w:qFormat/>
    <w:pPr>
      <w:jc w:val="center"/>
      <w:outlineLvl w:val="6"/>
    </w:pPr>
    <w:rPr>
      <w:caps/>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A909D8"/>
    <w:rPr>
      <w:b/>
      <w:i/>
      <w:sz w:val="24"/>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A909D8"/>
    <w:rPr>
      <w:sz w:val="24"/>
      <w:lang w:val="en-GB" w:eastAsia="en-US"/>
    </w:rPr>
  </w:style>
  <w:style w:type="paragraph" w:styleId="Footer">
    <w:name w:val="footer"/>
    <w:basedOn w:val="Normal"/>
    <w:next w:val="Normal"/>
    <w:pPr>
      <w:tabs>
        <w:tab w:val="center" w:pos="4320"/>
        <w:tab w:val="right" w:pos="8640"/>
      </w:tabs>
      <w:spacing w:after="0"/>
    </w:pPr>
  </w:style>
  <w:style w:type="paragraph" w:customStyle="1" w:styleId="Rom1">
    <w:name w:val="Rom1"/>
    <w:basedOn w:val="Normal"/>
  </w:style>
  <w:style w:type="paragraph" w:customStyle="1" w:styleId="Rom2">
    <w:name w:val="Rom2"/>
    <w:basedOn w:val="Normal"/>
    <w:pPr>
      <w:numPr>
        <w:numId w:val="2"/>
      </w:numPr>
      <w:tabs>
        <w:tab w:val="clear" w:pos="2160"/>
      </w:tabs>
      <w:ind w:left="1702" w:hanging="284"/>
    </w:pPr>
  </w:style>
  <w:style w:type="paragraph" w:customStyle="1" w:styleId="ParaNo">
    <w:name w:val="ParaNo."/>
    <w:basedOn w:val="Normal"/>
    <w:pPr>
      <w:numPr>
        <w:numId w:val="1"/>
      </w:numPr>
      <w:tabs>
        <w:tab w:val="clear" w:pos="360"/>
        <w:tab w:val="left" w:pos="737"/>
      </w:tabs>
    </w:pPr>
    <w:rPr>
      <w:lang w:val="fr-CH"/>
    </w:rPr>
  </w:style>
  <w:style w:type="character" w:styleId="FootnoteReference">
    <w:name w:val="footnote reference"/>
    <w:aliases w:val="Footnote Reference/"/>
    <w:rPr>
      <w:b/>
      <w:sz w:val="24"/>
      <w:vertAlign w:val="superscript"/>
    </w:rPr>
  </w:style>
  <w:style w:type="paragraph" w:styleId="FootnoteText">
    <w:name w:val="footnote text"/>
    <w:basedOn w:val="Normal"/>
    <w:link w:val="FootnoteTextChar"/>
  </w:style>
  <w:style w:type="character" w:customStyle="1" w:styleId="FootnoteTextChar">
    <w:name w:val="Footnote Text Char"/>
    <w:link w:val="FootnoteText"/>
    <w:rsid w:val="00A909D8"/>
    <w:rPr>
      <w:sz w:val="24"/>
      <w:lang w:val="en-GB" w:eastAsia="en-US"/>
    </w:rPr>
  </w:style>
  <w:style w:type="character" w:styleId="PageNumber">
    <w:name w:val="page number"/>
    <w:basedOn w:val="DefaultParagraphFont"/>
  </w:style>
  <w:style w:type="paragraph" w:styleId="BodyTextIndent">
    <w:name w:val="Body Text Indent"/>
    <w:basedOn w:val="Normal"/>
    <w:next w:val="Normal"/>
    <w:rsid w:val="003A103A"/>
    <w:pPr>
      <w:ind w:left="567"/>
    </w:pPr>
  </w:style>
  <w:style w:type="paragraph" w:styleId="EndnoteText">
    <w:name w:val="endnote text"/>
    <w:basedOn w:val="Normal"/>
  </w:style>
  <w:style w:type="character" w:styleId="EndnoteReference">
    <w:name w:val="endnote reference"/>
    <w:rPr>
      <w:b/>
      <w:sz w:val="24"/>
      <w:vertAlign w:val="superscript"/>
    </w:rPr>
  </w:style>
  <w:style w:type="paragraph" w:customStyle="1" w:styleId="Bullet">
    <w:name w:val="Bullet"/>
    <w:basedOn w:val="Normal"/>
    <w:rsid w:val="003A103A"/>
    <w:pPr>
      <w:numPr>
        <w:numId w:val="3"/>
      </w:numPr>
    </w:pPr>
  </w:style>
  <w:style w:type="paragraph" w:customStyle="1" w:styleId="Dash">
    <w:name w:val="Dash"/>
    <w:basedOn w:val="Normal"/>
    <w:rsid w:val="003A103A"/>
    <w:pPr>
      <w:numPr>
        <w:numId w:val="4"/>
      </w:numPr>
      <w:adjustRightInd w:val="0"/>
      <w:snapToGrid w:val="0"/>
    </w:pPr>
  </w:style>
  <w:style w:type="paragraph" w:customStyle="1" w:styleId="N3">
    <w:name w:val="N3"/>
    <w:basedOn w:val="Normal"/>
    <w:rsid w:val="00E5797E"/>
    <w:pPr>
      <w:widowControl w:val="0"/>
      <w:tabs>
        <w:tab w:val="left" w:pos="170"/>
      </w:tabs>
      <w:overflowPunct w:val="0"/>
      <w:autoSpaceDE w:val="0"/>
      <w:autoSpaceDN w:val="0"/>
      <w:adjustRightInd w:val="0"/>
      <w:spacing w:after="0"/>
      <w:jc w:val="both"/>
      <w:textAlignment w:val="baseline"/>
    </w:pPr>
    <w:rPr>
      <w:rFonts w:ascii="Tms Rmn" w:hAnsi="Tms Rmn" w:cs="Tms Rmn"/>
      <w:snapToGrid w:val="0"/>
      <w:sz w:val="22"/>
      <w:szCs w:val="22"/>
      <w:lang w:val="fr-FR" w:eastAsia="de-DE"/>
    </w:rPr>
  </w:style>
  <w:style w:type="paragraph" w:styleId="BodyTextIndent2">
    <w:name w:val="Body Text Indent 2"/>
    <w:basedOn w:val="Normal"/>
    <w:rsid w:val="00615BE1"/>
    <w:pPr>
      <w:spacing w:after="120" w:line="480" w:lineRule="auto"/>
      <w:ind w:left="283"/>
    </w:pPr>
  </w:style>
  <w:style w:type="paragraph" w:styleId="BodyText">
    <w:name w:val="Body Text"/>
    <w:basedOn w:val="Normal"/>
    <w:rsid w:val="00615BE1"/>
    <w:pPr>
      <w:spacing w:after="120"/>
    </w:pPr>
  </w:style>
  <w:style w:type="paragraph" w:customStyle="1" w:styleId="Index">
    <w:name w:val="Index"/>
    <w:basedOn w:val="Normal"/>
    <w:rsid w:val="007B5F64"/>
    <w:pPr>
      <w:widowControl w:val="0"/>
      <w:suppressLineNumbers/>
      <w:suppressAutoHyphens/>
      <w:overflowPunct w:val="0"/>
      <w:autoSpaceDE w:val="0"/>
      <w:autoSpaceDN w:val="0"/>
      <w:adjustRightInd w:val="0"/>
      <w:spacing w:after="0"/>
      <w:jc w:val="both"/>
      <w:textAlignment w:val="baseline"/>
    </w:pPr>
    <w:rPr>
      <w:lang w:val="en-US"/>
    </w:rPr>
  </w:style>
  <w:style w:type="paragraph" w:customStyle="1" w:styleId="Style1">
    <w:name w:val="Style1"/>
    <w:basedOn w:val="Normal"/>
    <w:rsid w:val="00357FB2"/>
    <w:pPr>
      <w:numPr>
        <w:numId w:val="5"/>
      </w:numPr>
      <w:spacing w:after="0"/>
    </w:pPr>
    <w:rPr>
      <w:sz w:val="22"/>
      <w:szCs w:val="24"/>
    </w:rPr>
  </w:style>
  <w:style w:type="paragraph" w:styleId="BalloonText">
    <w:name w:val="Balloon Text"/>
    <w:basedOn w:val="Normal"/>
    <w:semiHidden/>
    <w:rsid w:val="00D504FE"/>
    <w:rPr>
      <w:rFonts w:ascii="Tahoma" w:hAnsi="Tahoma" w:cs="Tahoma"/>
      <w:sz w:val="16"/>
      <w:szCs w:val="16"/>
    </w:rPr>
  </w:style>
  <w:style w:type="table" w:styleId="TableGrid">
    <w:name w:val="Table Grid"/>
    <w:basedOn w:val="TableNormal"/>
    <w:uiPriority w:val="59"/>
    <w:rsid w:val="00070E56"/>
    <w:pPr>
      <w:tabs>
        <w:tab w:val="left" w:pos="425"/>
        <w:tab w:val="left" w:pos="851"/>
        <w:tab w:val="left" w:pos="1276"/>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rsid w:val="00070E56"/>
    <w:pPr>
      <w:tabs>
        <w:tab w:val="left" w:pos="425"/>
        <w:tab w:val="left" w:pos="851"/>
        <w:tab w:val="left" w:pos="1276"/>
      </w:tabs>
      <w:spacing w:after="0"/>
      <w:jc w:val="both"/>
    </w:pPr>
    <w:rPr>
      <w:rFonts w:ascii="Arial" w:hAnsi="Arial"/>
      <w:color w:val="000000"/>
      <w:sz w:val="20"/>
      <w:lang w:val="de-DE" w:eastAsia="de-DE"/>
    </w:rPr>
  </w:style>
  <w:style w:type="character" w:customStyle="1" w:styleId="CommentTextChar">
    <w:name w:val="Comment Text Char"/>
    <w:link w:val="CommentText"/>
    <w:rsid w:val="00070E56"/>
    <w:rPr>
      <w:rFonts w:ascii="Arial" w:hAnsi="Arial"/>
      <w:color w:val="000000"/>
      <w:lang w:val="de-DE" w:eastAsia="de-DE"/>
    </w:rPr>
  </w:style>
  <w:style w:type="character" w:styleId="CommentReference">
    <w:name w:val="annotation reference"/>
    <w:rsid w:val="00070E56"/>
    <w:rPr>
      <w:rFonts w:ascii="Arial" w:hAnsi="Arial"/>
      <w:sz w:val="16"/>
    </w:rPr>
  </w:style>
  <w:style w:type="paragraph" w:customStyle="1" w:styleId="NormaltextSpalte">
    <w:name w:val="Normaltext Spalte"/>
    <w:basedOn w:val="Normal"/>
    <w:rsid w:val="00070E56"/>
    <w:pPr>
      <w:tabs>
        <w:tab w:val="left" w:pos="425"/>
        <w:tab w:val="left" w:pos="851"/>
        <w:tab w:val="left" w:pos="1276"/>
      </w:tabs>
      <w:spacing w:before="180" w:after="0"/>
      <w:jc w:val="both"/>
    </w:pPr>
    <w:rPr>
      <w:rFonts w:ascii="Arial" w:hAnsi="Arial"/>
      <w:color w:val="000000"/>
      <w:sz w:val="18"/>
      <w:lang w:val="de-DE" w:eastAsia="de-DE"/>
    </w:rPr>
  </w:style>
  <w:style w:type="paragraph" w:customStyle="1" w:styleId="NormalListSpalte">
    <w:name w:val="Normal List Spalte"/>
    <w:basedOn w:val="Normal"/>
    <w:link w:val="NormalListSpalteChar"/>
    <w:rsid w:val="00070E56"/>
    <w:pPr>
      <w:tabs>
        <w:tab w:val="left" w:pos="215"/>
        <w:tab w:val="left" w:pos="425"/>
        <w:tab w:val="left" w:pos="851"/>
        <w:tab w:val="left" w:pos="1276"/>
      </w:tabs>
      <w:spacing w:before="60" w:after="0"/>
      <w:ind w:left="215" w:hanging="215"/>
      <w:jc w:val="both"/>
    </w:pPr>
    <w:rPr>
      <w:rFonts w:ascii="Arial" w:hAnsi="Arial"/>
      <w:color w:val="000000"/>
      <w:sz w:val="18"/>
      <w:lang w:val="de-DE" w:eastAsia="de-DE"/>
    </w:rPr>
  </w:style>
  <w:style w:type="character" w:customStyle="1" w:styleId="NormalListSpalteChar">
    <w:name w:val="Normal List Spalte Char"/>
    <w:basedOn w:val="NormalListChar"/>
    <w:link w:val="NormalListSpalte"/>
    <w:rsid w:val="00070E56"/>
    <w:rPr>
      <w:rFonts w:ascii="Arial" w:hAnsi="Arial"/>
      <w:color w:val="000000"/>
      <w:sz w:val="18"/>
      <w:lang w:val="de-DE" w:eastAsia="de-DE"/>
    </w:rPr>
  </w:style>
  <w:style w:type="character" w:customStyle="1" w:styleId="NormalListChar">
    <w:name w:val="Normal List Char"/>
    <w:link w:val="NormalList"/>
    <w:rsid w:val="00070E56"/>
    <w:rPr>
      <w:rFonts w:ascii="Arial" w:hAnsi="Arial"/>
      <w:color w:val="000000"/>
      <w:sz w:val="18"/>
      <w:lang w:val="de-DE" w:eastAsia="de-DE"/>
    </w:rPr>
  </w:style>
  <w:style w:type="paragraph" w:customStyle="1" w:styleId="NormalList">
    <w:name w:val="Normal List"/>
    <w:basedOn w:val="Normal"/>
    <w:link w:val="NormalListChar"/>
    <w:rsid w:val="00070E56"/>
    <w:pPr>
      <w:tabs>
        <w:tab w:val="left" w:pos="1400"/>
      </w:tabs>
      <w:spacing w:before="60" w:after="0"/>
      <w:ind w:left="1380" w:hanging="300"/>
      <w:jc w:val="both"/>
    </w:pPr>
    <w:rPr>
      <w:rFonts w:ascii="Arial" w:hAnsi="Arial"/>
      <w:color w:val="000000"/>
      <w:sz w:val="18"/>
      <w:lang w:val="de-DE" w:eastAsia="de-DE"/>
    </w:rPr>
  </w:style>
  <w:style w:type="paragraph" w:styleId="CommentSubject">
    <w:name w:val="annotation subject"/>
    <w:basedOn w:val="CommentText"/>
    <w:next w:val="CommentText"/>
    <w:link w:val="CommentSubjectChar"/>
    <w:rsid w:val="00070E56"/>
    <w:rPr>
      <w:b/>
      <w:bCs/>
    </w:rPr>
  </w:style>
  <w:style w:type="character" w:customStyle="1" w:styleId="CommentSubjectChar">
    <w:name w:val="Comment Subject Char"/>
    <w:link w:val="CommentSubject"/>
    <w:rsid w:val="00070E56"/>
    <w:rPr>
      <w:rFonts w:ascii="Arial" w:hAnsi="Arial"/>
      <w:b/>
      <w:bCs/>
      <w:color w:val="000000"/>
      <w:lang w:val="de-DE" w:eastAsia="de-DE"/>
    </w:rPr>
  </w:style>
  <w:style w:type="paragraph" w:customStyle="1" w:styleId="Randnummer">
    <w:name w:val="Randnummer"/>
    <w:basedOn w:val="Normal"/>
    <w:rsid w:val="00070E56"/>
    <w:pPr>
      <w:tabs>
        <w:tab w:val="left" w:pos="580"/>
        <w:tab w:val="left" w:pos="1100"/>
      </w:tabs>
      <w:spacing w:before="180" w:after="0"/>
      <w:ind w:left="1080" w:hanging="1080"/>
      <w:jc w:val="both"/>
    </w:pPr>
    <w:rPr>
      <w:rFonts w:ascii="Arial" w:hAnsi="Arial"/>
      <w:color w:val="000000"/>
      <w:sz w:val="18"/>
      <w:lang w:val="de-DE" w:eastAsia="de-DE"/>
    </w:rPr>
  </w:style>
  <w:style w:type="paragraph" w:customStyle="1" w:styleId="NormalBemerkung123">
    <w:name w:val="Normal Bemerkung123"/>
    <w:basedOn w:val="Normal"/>
    <w:rsid w:val="00070E56"/>
    <w:pPr>
      <w:tabs>
        <w:tab w:val="left" w:pos="1700"/>
        <w:tab w:val="left" w:pos="1980"/>
      </w:tabs>
      <w:spacing w:before="60" w:after="0"/>
      <w:ind w:left="1680" w:hanging="600"/>
      <w:jc w:val="both"/>
    </w:pPr>
    <w:rPr>
      <w:rFonts w:ascii="Arial" w:hAnsi="Arial"/>
      <w:color w:val="000000"/>
      <w:sz w:val="18"/>
      <w:lang w:val="de-DE" w:eastAsia="de-DE"/>
    </w:rPr>
  </w:style>
  <w:style w:type="paragraph" w:customStyle="1" w:styleId="NormalBemerkung">
    <w:name w:val="Normal Bemerkung"/>
    <w:basedOn w:val="Normal"/>
    <w:rsid w:val="00070E56"/>
    <w:pPr>
      <w:tabs>
        <w:tab w:val="left" w:pos="1700"/>
      </w:tabs>
      <w:spacing w:before="60" w:after="0"/>
      <w:ind w:left="1680" w:hanging="600"/>
      <w:jc w:val="both"/>
    </w:pPr>
    <w:rPr>
      <w:rFonts w:ascii="Arial" w:hAnsi="Arial"/>
      <w:color w:val="000000"/>
      <w:sz w:val="18"/>
      <w:lang w:val="de-DE" w:eastAsia="de-DE"/>
    </w:rPr>
  </w:style>
  <w:style w:type="paragraph" w:customStyle="1" w:styleId="TabelleAnhangVI">
    <w:name w:val="Tabelle Anhang VI"/>
    <w:rsid w:val="00070E56"/>
    <w:pPr>
      <w:keepLines/>
      <w:tabs>
        <w:tab w:val="right" w:pos="1191"/>
      </w:tabs>
      <w:spacing w:before="80" w:after="80" w:line="180" w:lineRule="atLeast"/>
    </w:pPr>
    <w:rPr>
      <w:rFonts w:ascii="Arial" w:hAnsi="Arial"/>
      <w:color w:val="000000"/>
      <w:sz w:val="18"/>
      <w:lang w:val="en-US"/>
    </w:rPr>
  </w:style>
  <w:style w:type="paragraph" w:customStyle="1" w:styleId="Normaltext">
    <w:name w:val="Normaltext"/>
    <w:basedOn w:val="Normal"/>
    <w:rsid w:val="00070E56"/>
    <w:pPr>
      <w:spacing w:before="180" w:after="0"/>
      <w:ind w:left="1080"/>
      <w:jc w:val="both"/>
    </w:pPr>
    <w:rPr>
      <w:rFonts w:ascii="Arial" w:hAnsi="Arial"/>
      <w:color w:val="000000"/>
      <w:sz w:val="18"/>
      <w:lang w:val="de-DE" w:eastAsia="de-DE"/>
    </w:rPr>
  </w:style>
  <w:style w:type="paragraph" w:customStyle="1" w:styleId="TabellenformatKlasse2">
    <w:name w:val="Tabellenformat Klasse 2"/>
    <w:basedOn w:val="Normal"/>
    <w:rsid w:val="00070E56"/>
    <w:pPr>
      <w:tabs>
        <w:tab w:val="left" w:pos="567"/>
      </w:tabs>
      <w:spacing w:after="0"/>
      <w:ind w:left="567" w:hanging="567"/>
    </w:pPr>
    <w:rPr>
      <w:rFonts w:ascii="Arial" w:hAnsi="Arial"/>
      <w:color w:val="000000"/>
      <w:sz w:val="18"/>
      <w:lang w:val="de-DE" w:eastAsia="de-DE"/>
    </w:rPr>
  </w:style>
  <w:style w:type="paragraph" w:customStyle="1" w:styleId="NormaltextSpalte0">
    <w:name w:val="Normaltext_Spalte"/>
    <w:basedOn w:val="Normal"/>
    <w:rsid w:val="00070E56"/>
    <w:pPr>
      <w:spacing w:before="180" w:after="0"/>
      <w:jc w:val="both"/>
    </w:pPr>
    <w:rPr>
      <w:rFonts w:ascii="Arial" w:hAnsi="Arial"/>
      <w:sz w:val="18"/>
      <w:lang w:val="de-DE" w:eastAsia="de-DE"/>
    </w:rPr>
  </w:style>
  <w:style w:type="paragraph" w:styleId="BodyText2">
    <w:name w:val="Body Text 2"/>
    <w:basedOn w:val="Normal"/>
    <w:link w:val="BodyText2Char"/>
    <w:rsid w:val="00070E56"/>
    <w:pPr>
      <w:tabs>
        <w:tab w:val="left" w:pos="425"/>
        <w:tab w:val="left" w:pos="851"/>
        <w:tab w:val="left" w:pos="1276"/>
      </w:tabs>
      <w:spacing w:after="120" w:line="480" w:lineRule="auto"/>
      <w:jc w:val="both"/>
    </w:pPr>
    <w:rPr>
      <w:rFonts w:ascii="Arial" w:hAnsi="Arial"/>
      <w:color w:val="000000"/>
      <w:sz w:val="22"/>
      <w:lang w:val="de-DE" w:eastAsia="de-DE"/>
    </w:rPr>
  </w:style>
  <w:style w:type="character" w:customStyle="1" w:styleId="BodyText2Char">
    <w:name w:val="Body Text 2 Char"/>
    <w:link w:val="BodyText2"/>
    <w:rsid w:val="00070E56"/>
    <w:rPr>
      <w:rFonts w:ascii="Arial" w:hAnsi="Arial"/>
      <w:color w:val="000000"/>
      <w:sz w:val="22"/>
      <w:lang w:val="de-DE" w:eastAsia="de-DE"/>
    </w:rPr>
  </w:style>
  <w:style w:type="paragraph" w:customStyle="1" w:styleId="Standardowy">
    <w:name w:val="Standardowy"/>
    <w:rsid w:val="00070E56"/>
    <w:rPr>
      <w:rFonts w:ascii="Arial" w:hAnsi="Arial"/>
      <w:snapToGrid w:val="0"/>
      <w:sz w:val="24"/>
      <w:lang w:val="en-GB" w:eastAsia="en-US"/>
    </w:rPr>
  </w:style>
  <w:style w:type="paragraph" w:customStyle="1" w:styleId="NumDocPara">
    <w:name w:val="Num©Doc Para"/>
    <w:basedOn w:val="Normal"/>
    <w:rsid w:val="00070E56"/>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pacing w:after="0"/>
    </w:pPr>
    <w:rPr>
      <w:snapToGrid w:val="0"/>
      <w:sz w:val="22"/>
      <w:lang w:val="en-US"/>
    </w:rPr>
  </w:style>
  <w:style w:type="paragraph" w:customStyle="1" w:styleId="TabelleAnhangVII">
    <w:name w:val="Tabelle Anhang VII"/>
    <w:basedOn w:val="Normal"/>
    <w:rsid w:val="00070E56"/>
    <w:pPr>
      <w:tabs>
        <w:tab w:val="left" w:pos="140"/>
      </w:tabs>
      <w:spacing w:after="0"/>
      <w:ind w:right="23"/>
    </w:pPr>
    <w:rPr>
      <w:rFonts w:ascii="Arial" w:hAnsi="Arial"/>
      <w:color w:val="000000"/>
      <w:sz w:val="18"/>
      <w:lang w:val="de-DE" w:eastAsia="de-DE"/>
    </w:rPr>
  </w:style>
  <w:style w:type="paragraph" w:styleId="BodyText3">
    <w:name w:val="Body Text 3"/>
    <w:basedOn w:val="Normal"/>
    <w:link w:val="BodyText3Char"/>
    <w:rsid w:val="00070E56"/>
    <w:pPr>
      <w:spacing w:after="120"/>
    </w:pPr>
    <w:rPr>
      <w:sz w:val="16"/>
      <w:szCs w:val="16"/>
    </w:rPr>
  </w:style>
  <w:style w:type="character" w:customStyle="1" w:styleId="BodyText3Char">
    <w:name w:val="Body Text 3 Char"/>
    <w:link w:val="BodyText3"/>
    <w:rsid w:val="00070E56"/>
    <w:rPr>
      <w:sz w:val="16"/>
      <w:szCs w:val="16"/>
      <w:lang w:val="en-GB" w:eastAsia="en-US"/>
    </w:rPr>
  </w:style>
  <w:style w:type="paragraph" w:customStyle="1" w:styleId="TabelleAnhangV">
    <w:name w:val="Tabelle Anhang V"/>
    <w:basedOn w:val="Normal"/>
    <w:rsid w:val="00070E56"/>
    <w:pPr>
      <w:tabs>
        <w:tab w:val="left" w:pos="140"/>
      </w:tabs>
      <w:spacing w:before="60" w:after="60"/>
      <w:ind w:right="20"/>
    </w:pPr>
    <w:rPr>
      <w:rFonts w:ascii="Arial" w:hAnsi="Arial"/>
      <w:color w:val="000000"/>
      <w:sz w:val="18"/>
      <w:lang w:val="de-DE" w:eastAsia="de-DE"/>
    </w:rPr>
  </w:style>
  <w:style w:type="paragraph" w:styleId="BodyTextIndent3">
    <w:name w:val="Body Text Indent 3"/>
    <w:basedOn w:val="Normal"/>
    <w:link w:val="BodyTextIndent3Char"/>
    <w:rsid w:val="00525173"/>
    <w:pPr>
      <w:spacing w:after="120"/>
      <w:ind w:left="283"/>
    </w:pPr>
    <w:rPr>
      <w:sz w:val="16"/>
      <w:szCs w:val="16"/>
    </w:rPr>
  </w:style>
  <w:style w:type="character" w:customStyle="1" w:styleId="BodyTextIndent3Char">
    <w:name w:val="Body Text Indent 3 Char"/>
    <w:link w:val="BodyTextIndent3"/>
    <w:rsid w:val="00525173"/>
    <w:rPr>
      <w:sz w:val="16"/>
      <w:szCs w:val="16"/>
      <w:lang w:val="en-GB" w:eastAsia="en-US"/>
    </w:rPr>
  </w:style>
  <w:style w:type="paragraph" w:customStyle="1" w:styleId="N20">
    <w:name w:val="N20"/>
    <w:basedOn w:val="Normal"/>
    <w:link w:val="N20Car"/>
    <w:rsid w:val="00525173"/>
    <w:pPr>
      <w:widowControl w:val="0"/>
      <w:spacing w:after="0"/>
      <w:ind w:left="1134"/>
      <w:jc w:val="both"/>
    </w:pPr>
    <w:rPr>
      <w:rFonts w:ascii="Arial" w:hAnsi="Arial"/>
      <w:color w:val="000000"/>
      <w:sz w:val="20"/>
      <w:szCs w:val="22"/>
      <w:lang w:val="de-DE" w:eastAsia="de-DE"/>
    </w:rPr>
  </w:style>
  <w:style w:type="character" w:customStyle="1" w:styleId="N20Car">
    <w:name w:val="N20 Car"/>
    <w:link w:val="N20"/>
    <w:rsid w:val="00525173"/>
    <w:rPr>
      <w:rFonts w:ascii="Arial" w:hAnsi="Arial" w:cs="Arial"/>
      <w:color w:val="000000"/>
      <w:szCs w:val="22"/>
      <w:lang w:val="de-DE" w:eastAsia="de-DE"/>
    </w:rPr>
  </w:style>
  <w:style w:type="paragraph" w:styleId="ListParagraph">
    <w:name w:val="List Paragraph"/>
    <w:basedOn w:val="Normal"/>
    <w:uiPriority w:val="34"/>
    <w:qFormat/>
    <w:rsid w:val="002E4C45"/>
    <w:pPr>
      <w:ind w:left="708"/>
    </w:pPr>
  </w:style>
  <w:style w:type="paragraph" w:customStyle="1" w:styleId="N5">
    <w:name w:val="N5"/>
    <w:basedOn w:val="Normal"/>
    <w:rsid w:val="004F21B6"/>
    <w:pPr>
      <w:widowControl w:val="0"/>
      <w:tabs>
        <w:tab w:val="left" w:pos="1134"/>
        <w:tab w:val="left" w:pos="1418"/>
      </w:tabs>
      <w:overflowPunct w:val="0"/>
      <w:autoSpaceDE w:val="0"/>
      <w:autoSpaceDN w:val="0"/>
      <w:adjustRightInd w:val="0"/>
      <w:spacing w:after="0"/>
      <w:ind w:left="1418" w:hanging="284"/>
      <w:jc w:val="both"/>
      <w:textAlignment w:val="baseline"/>
    </w:pPr>
    <w:rPr>
      <w:rFonts w:ascii="Arial" w:hAnsi="Arial"/>
      <w:sz w:val="20"/>
      <w:lang w:val="de-DE" w:eastAsia="nl-NL"/>
    </w:rPr>
  </w:style>
  <w:style w:type="paragraph" w:customStyle="1" w:styleId="Corpsdetexte21">
    <w:name w:val="Corps de texte 21"/>
    <w:basedOn w:val="Normal"/>
    <w:rsid w:val="004F21B6"/>
    <w:pPr>
      <w:widowControl w:val="0"/>
      <w:overflowPunct w:val="0"/>
      <w:autoSpaceDE w:val="0"/>
      <w:autoSpaceDN w:val="0"/>
      <w:adjustRightInd w:val="0"/>
      <w:spacing w:after="0" w:line="220" w:lineRule="exact"/>
      <w:ind w:left="1701" w:hanging="566"/>
      <w:jc w:val="both"/>
      <w:textAlignment w:val="baseline"/>
    </w:pPr>
    <w:rPr>
      <w:rFonts w:ascii="Arial" w:hAnsi="Arial"/>
      <w:sz w:val="20"/>
      <w:lang w:val="de-DE" w:eastAsia="nl-NL"/>
    </w:rPr>
  </w:style>
  <w:style w:type="paragraph" w:customStyle="1" w:styleId="Retraitcorpsdetexte31">
    <w:name w:val="Retrait corps de texte 31"/>
    <w:basedOn w:val="Normal"/>
    <w:rsid w:val="004F21B6"/>
    <w:pPr>
      <w:widowControl w:val="0"/>
      <w:overflowPunct w:val="0"/>
      <w:autoSpaceDE w:val="0"/>
      <w:autoSpaceDN w:val="0"/>
      <w:adjustRightInd w:val="0"/>
      <w:spacing w:after="120"/>
      <w:ind w:left="283" w:hanging="1134"/>
      <w:jc w:val="both"/>
      <w:textAlignment w:val="baseline"/>
    </w:pPr>
    <w:rPr>
      <w:rFonts w:ascii="Arial" w:hAnsi="Arial"/>
      <w:sz w:val="16"/>
      <w:lang w:val="en-US" w:eastAsia="nl-NL"/>
    </w:rPr>
  </w:style>
  <w:style w:type="paragraph" w:customStyle="1" w:styleId="SingleTxtG">
    <w:name w:val="_ Single Txt_G"/>
    <w:basedOn w:val="Normal"/>
    <w:qFormat/>
    <w:rsid w:val="007A05BF"/>
    <w:pPr>
      <w:suppressAutoHyphens/>
      <w:spacing w:after="120" w:line="240" w:lineRule="atLeast"/>
      <w:ind w:left="1134" w:right="1134"/>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615">
      <w:bodyDiv w:val="1"/>
      <w:marLeft w:val="0"/>
      <w:marRight w:val="0"/>
      <w:marTop w:val="0"/>
      <w:marBottom w:val="0"/>
      <w:divBdr>
        <w:top w:val="none" w:sz="0" w:space="0" w:color="auto"/>
        <w:left w:val="none" w:sz="0" w:space="0" w:color="auto"/>
        <w:bottom w:val="none" w:sz="0" w:space="0" w:color="auto"/>
        <w:right w:val="none" w:sz="0" w:space="0" w:color="auto"/>
      </w:divBdr>
    </w:div>
    <w:div w:id="81225659">
      <w:bodyDiv w:val="1"/>
      <w:marLeft w:val="0"/>
      <w:marRight w:val="0"/>
      <w:marTop w:val="0"/>
      <w:marBottom w:val="0"/>
      <w:divBdr>
        <w:top w:val="none" w:sz="0" w:space="0" w:color="auto"/>
        <w:left w:val="none" w:sz="0" w:space="0" w:color="auto"/>
        <w:bottom w:val="none" w:sz="0" w:space="0" w:color="auto"/>
        <w:right w:val="none" w:sz="0" w:space="0" w:color="auto"/>
      </w:divBdr>
    </w:div>
    <w:div w:id="182790585">
      <w:bodyDiv w:val="1"/>
      <w:marLeft w:val="0"/>
      <w:marRight w:val="0"/>
      <w:marTop w:val="0"/>
      <w:marBottom w:val="0"/>
      <w:divBdr>
        <w:top w:val="none" w:sz="0" w:space="0" w:color="auto"/>
        <w:left w:val="none" w:sz="0" w:space="0" w:color="auto"/>
        <w:bottom w:val="none" w:sz="0" w:space="0" w:color="auto"/>
        <w:right w:val="none" w:sz="0" w:space="0" w:color="auto"/>
      </w:divBdr>
    </w:div>
    <w:div w:id="428432805">
      <w:bodyDiv w:val="1"/>
      <w:marLeft w:val="0"/>
      <w:marRight w:val="0"/>
      <w:marTop w:val="0"/>
      <w:marBottom w:val="0"/>
      <w:divBdr>
        <w:top w:val="none" w:sz="0" w:space="0" w:color="auto"/>
        <w:left w:val="none" w:sz="0" w:space="0" w:color="auto"/>
        <w:bottom w:val="none" w:sz="0" w:space="0" w:color="auto"/>
        <w:right w:val="none" w:sz="0" w:space="0" w:color="auto"/>
      </w:divBdr>
    </w:div>
    <w:div w:id="572858803">
      <w:bodyDiv w:val="1"/>
      <w:marLeft w:val="0"/>
      <w:marRight w:val="0"/>
      <w:marTop w:val="0"/>
      <w:marBottom w:val="0"/>
      <w:divBdr>
        <w:top w:val="none" w:sz="0" w:space="0" w:color="auto"/>
        <w:left w:val="none" w:sz="0" w:space="0" w:color="auto"/>
        <w:bottom w:val="none" w:sz="0" w:space="0" w:color="auto"/>
        <w:right w:val="none" w:sz="0" w:space="0" w:color="auto"/>
      </w:divBdr>
    </w:div>
    <w:div w:id="681392814">
      <w:bodyDiv w:val="1"/>
      <w:marLeft w:val="0"/>
      <w:marRight w:val="0"/>
      <w:marTop w:val="0"/>
      <w:marBottom w:val="0"/>
      <w:divBdr>
        <w:top w:val="none" w:sz="0" w:space="0" w:color="auto"/>
        <w:left w:val="none" w:sz="0" w:space="0" w:color="auto"/>
        <w:bottom w:val="none" w:sz="0" w:space="0" w:color="auto"/>
        <w:right w:val="none" w:sz="0" w:space="0" w:color="auto"/>
      </w:divBdr>
    </w:div>
    <w:div w:id="776291569">
      <w:bodyDiv w:val="1"/>
      <w:marLeft w:val="0"/>
      <w:marRight w:val="0"/>
      <w:marTop w:val="0"/>
      <w:marBottom w:val="0"/>
      <w:divBdr>
        <w:top w:val="none" w:sz="0" w:space="0" w:color="auto"/>
        <w:left w:val="none" w:sz="0" w:space="0" w:color="auto"/>
        <w:bottom w:val="none" w:sz="0" w:space="0" w:color="auto"/>
        <w:right w:val="none" w:sz="0" w:space="0" w:color="auto"/>
      </w:divBdr>
    </w:div>
    <w:div w:id="836266154">
      <w:bodyDiv w:val="1"/>
      <w:marLeft w:val="0"/>
      <w:marRight w:val="0"/>
      <w:marTop w:val="0"/>
      <w:marBottom w:val="0"/>
      <w:divBdr>
        <w:top w:val="none" w:sz="0" w:space="0" w:color="auto"/>
        <w:left w:val="none" w:sz="0" w:space="0" w:color="auto"/>
        <w:bottom w:val="none" w:sz="0" w:space="0" w:color="auto"/>
        <w:right w:val="none" w:sz="0" w:space="0" w:color="auto"/>
      </w:divBdr>
    </w:div>
    <w:div w:id="837843433">
      <w:bodyDiv w:val="1"/>
      <w:marLeft w:val="0"/>
      <w:marRight w:val="0"/>
      <w:marTop w:val="0"/>
      <w:marBottom w:val="0"/>
      <w:divBdr>
        <w:top w:val="none" w:sz="0" w:space="0" w:color="auto"/>
        <w:left w:val="none" w:sz="0" w:space="0" w:color="auto"/>
        <w:bottom w:val="none" w:sz="0" w:space="0" w:color="auto"/>
        <w:right w:val="none" w:sz="0" w:space="0" w:color="auto"/>
      </w:divBdr>
    </w:div>
    <w:div w:id="951862287">
      <w:bodyDiv w:val="1"/>
      <w:marLeft w:val="0"/>
      <w:marRight w:val="0"/>
      <w:marTop w:val="0"/>
      <w:marBottom w:val="0"/>
      <w:divBdr>
        <w:top w:val="none" w:sz="0" w:space="0" w:color="auto"/>
        <w:left w:val="none" w:sz="0" w:space="0" w:color="auto"/>
        <w:bottom w:val="none" w:sz="0" w:space="0" w:color="auto"/>
        <w:right w:val="none" w:sz="0" w:space="0" w:color="auto"/>
      </w:divBdr>
    </w:div>
    <w:div w:id="972712209">
      <w:bodyDiv w:val="1"/>
      <w:marLeft w:val="0"/>
      <w:marRight w:val="0"/>
      <w:marTop w:val="0"/>
      <w:marBottom w:val="0"/>
      <w:divBdr>
        <w:top w:val="none" w:sz="0" w:space="0" w:color="auto"/>
        <w:left w:val="none" w:sz="0" w:space="0" w:color="auto"/>
        <w:bottom w:val="none" w:sz="0" w:space="0" w:color="auto"/>
        <w:right w:val="none" w:sz="0" w:space="0" w:color="auto"/>
      </w:divBdr>
    </w:div>
    <w:div w:id="1245146462">
      <w:bodyDiv w:val="1"/>
      <w:marLeft w:val="0"/>
      <w:marRight w:val="0"/>
      <w:marTop w:val="0"/>
      <w:marBottom w:val="0"/>
      <w:divBdr>
        <w:top w:val="none" w:sz="0" w:space="0" w:color="auto"/>
        <w:left w:val="none" w:sz="0" w:space="0" w:color="auto"/>
        <w:bottom w:val="none" w:sz="0" w:space="0" w:color="auto"/>
        <w:right w:val="none" w:sz="0" w:space="0" w:color="auto"/>
      </w:divBdr>
    </w:div>
    <w:div w:id="1557623318">
      <w:bodyDiv w:val="1"/>
      <w:marLeft w:val="0"/>
      <w:marRight w:val="0"/>
      <w:marTop w:val="0"/>
      <w:marBottom w:val="0"/>
      <w:divBdr>
        <w:top w:val="none" w:sz="0" w:space="0" w:color="auto"/>
        <w:left w:val="none" w:sz="0" w:space="0" w:color="auto"/>
        <w:bottom w:val="none" w:sz="0" w:space="0" w:color="auto"/>
        <w:right w:val="none" w:sz="0" w:space="0" w:color="auto"/>
      </w:divBdr>
    </w:div>
    <w:div w:id="1587108414">
      <w:bodyDiv w:val="1"/>
      <w:marLeft w:val="0"/>
      <w:marRight w:val="0"/>
      <w:marTop w:val="0"/>
      <w:marBottom w:val="0"/>
      <w:divBdr>
        <w:top w:val="none" w:sz="0" w:space="0" w:color="auto"/>
        <w:left w:val="none" w:sz="0" w:space="0" w:color="auto"/>
        <w:bottom w:val="none" w:sz="0" w:space="0" w:color="auto"/>
        <w:right w:val="none" w:sz="0" w:space="0" w:color="auto"/>
      </w:divBdr>
    </w:div>
    <w:div w:id="1636644709">
      <w:bodyDiv w:val="1"/>
      <w:marLeft w:val="0"/>
      <w:marRight w:val="0"/>
      <w:marTop w:val="0"/>
      <w:marBottom w:val="0"/>
      <w:divBdr>
        <w:top w:val="none" w:sz="0" w:space="0" w:color="auto"/>
        <w:left w:val="none" w:sz="0" w:space="0" w:color="auto"/>
        <w:bottom w:val="none" w:sz="0" w:space="0" w:color="auto"/>
        <w:right w:val="none" w:sz="0" w:space="0" w:color="auto"/>
      </w:divBdr>
    </w:div>
    <w:div w:id="1682052750">
      <w:bodyDiv w:val="1"/>
      <w:marLeft w:val="0"/>
      <w:marRight w:val="0"/>
      <w:marTop w:val="0"/>
      <w:marBottom w:val="0"/>
      <w:divBdr>
        <w:top w:val="none" w:sz="0" w:space="0" w:color="auto"/>
        <w:left w:val="none" w:sz="0" w:space="0" w:color="auto"/>
        <w:bottom w:val="none" w:sz="0" w:space="0" w:color="auto"/>
        <w:right w:val="none" w:sz="0" w:space="0" w:color="auto"/>
      </w:divBdr>
    </w:div>
    <w:div w:id="1953322816">
      <w:bodyDiv w:val="1"/>
      <w:marLeft w:val="0"/>
      <w:marRight w:val="0"/>
      <w:marTop w:val="0"/>
      <w:marBottom w:val="0"/>
      <w:divBdr>
        <w:top w:val="none" w:sz="0" w:space="0" w:color="auto"/>
        <w:left w:val="none" w:sz="0" w:space="0" w:color="auto"/>
        <w:bottom w:val="none" w:sz="0" w:space="0" w:color="auto"/>
        <w:right w:val="none" w:sz="0" w:space="0" w:color="auto"/>
      </w:divBdr>
    </w:div>
    <w:div w:id="2082483881">
      <w:bodyDiv w:val="1"/>
      <w:marLeft w:val="0"/>
      <w:marRight w:val="0"/>
      <w:marTop w:val="0"/>
      <w:marBottom w:val="0"/>
      <w:divBdr>
        <w:top w:val="none" w:sz="0" w:space="0" w:color="auto"/>
        <w:left w:val="none" w:sz="0" w:space="0" w:color="auto"/>
        <w:bottom w:val="none" w:sz="0" w:space="0" w:color="auto"/>
        <w:right w:val="none" w:sz="0" w:space="0" w:color="auto"/>
      </w:divBdr>
    </w:div>
    <w:div w:id="2106807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261D1-2748-4C8E-A605-E759BA76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2002</Words>
  <Characters>11416</Characters>
  <Application>Microsoft Office Word</Application>
  <DocSecurity>0</DocSecurity>
  <Lines>95</Lines>
  <Paragraphs>26</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Bericht über die 4. Sitzung der Informellen Arbeitsgruppe „Stoffe“ am 13. Oktober 2011 in Braunschweig</vt:lpstr>
      <vt:lpstr>Bericht über die 4. Sitzung der Informellen Arbeitsgruppe „Stoffe“ am 13. Oktober 2011 in Braunschweig</vt:lpstr>
      <vt:lpstr>Bericht über die 4. Sitzung der Informellen Arbeitsgruppe „Stoffe“ am 13. Oktober 2011 in Braunschweig</vt:lpstr>
    </vt:vector>
  </TitlesOfParts>
  <Company>ECE-ISU</Company>
  <LinksUpToDate>false</LinksUpToDate>
  <CharactersWithSpaces>13392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über die 4. Sitzung der Informellen Arbeitsgruppe „Stoffe“ am 13. Oktober 2011 in Braunschweig</dc:title>
  <dc:creator>D</dc:creator>
  <cp:lastModifiedBy>Marie-Claude Collet</cp:lastModifiedBy>
  <cp:revision>2</cp:revision>
  <cp:lastPrinted>2017-11-10T16:10:00Z</cp:lastPrinted>
  <dcterms:created xsi:type="dcterms:W3CDTF">2017-11-10T16:10:00Z</dcterms:created>
  <dcterms:modified xsi:type="dcterms:W3CDTF">2017-11-10T16:10:00Z</dcterms:modified>
  <cp:category>20-4(b)</cp:category>
</cp:coreProperties>
</file>