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6E4A8" w14:textId="77777777" w:rsidR="00152473" w:rsidRDefault="00B3602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75EEB0FB" w14:textId="77777777" w:rsidR="00152473" w:rsidRDefault="00B3602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10896FA" w14:textId="77777777" w:rsidR="00152473" w:rsidRDefault="00B3602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2194D029" w14:textId="77777777" w:rsidR="00152473" w:rsidRDefault="00B3602D">
      <w:pPr>
        <w:rPr>
          <w:b/>
        </w:rPr>
      </w:pPr>
      <w:r>
        <w:rPr>
          <w:b/>
        </w:rPr>
        <w:t>Joint Meeting of the RID Committee of Experts and the</w:t>
      </w:r>
    </w:p>
    <w:p w14:paraId="6502787A" w14:textId="10C3C16C" w:rsidR="00152473" w:rsidRDefault="00B3602D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38B5">
        <w:rPr>
          <w:b/>
        </w:rPr>
        <w:t>2</w:t>
      </w:r>
      <w:r w:rsidR="00521F1D">
        <w:rPr>
          <w:b/>
        </w:rPr>
        <w:t>6</w:t>
      </w:r>
      <w:r w:rsidR="002976EF">
        <w:rPr>
          <w:b/>
        </w:rPr>
        <w:t>.</w:t>
      </w:r>
      <w:r w:rsidR="00904BF4" w:rsidRPr="00DD14BE">
        <w:rPr>
          <w:b/>
        </w:rPr>
        <w:t xml:space="preserve"> September</w:t>
      </w:r>
      <w:r w:rsidRPr="00DD14BE">
        <w:rPr>
          <w:b/>
        </w:rPr>
        <w:t xml:space="preserve"> 2017</w:t>
      </w:r>
    </w:p>
    <w:p w14:paraId="2AD4DA61" w14:textId="77777777" w:rsidR="00152473" w:rsidRDefault="00B3602D">
      <w:r>
        <w:t>Geneva, 19–29 September 2017</w:t>
      </w:r>
    </w:p>
    <w:p w14:paraId="42CA90F5" w14:textId="77777777" w:rsidR="00152473" w:rsidRDefault="00B3602D">
      <w:r>
        <w:t xml:space="preserve">Item </w:t>
      </w:r>
      <w:proofErr w:type="gramStart"/>
      <w:r w:rsidR="00904BF4">
        <w:t>4</w:t>
      </w:r>
      <w:proofErr w:type="gramEnd"/>
      <w:r>
        <w:t xml:space="preserve"> of the provisional agenda</w:t>
      </w:r>
    </w:p>
    <w:p w14:paraId="7027D90C" w14:textId="77777777" w:rsidR="00E610C2" w:rsidRPr="00E610C2" w:rsidRDefault="00E610C2" w:rsidP="00E610C2">
      <w:pPr>
        <w:pStyle w:val="SingleTxtG"/>
        <w:spacing w:after="0" w:line="216" w:lineRule="auto"/>
        <w:ind w:left="0"/>
        <w:jc w:val="left"/>
        <w:rPr>
          <w:b/>
        </w:rPr>
      </w:pPr>
      <w:r w:rsidRPr="00E610C2">
        <w:rPr>
          <w:b/>
        </w:rPr>
        <w:t xml:space="preserve">Harmonization with the United Nations </w:t>
      </w:r>
    </w:p>
    <w:p w14:paraId="43BE9D97" w14:textId="77777777" w:rsidR="00152473" w:rsidRPr="00E610C2" w:rsidRDefault="00904BF4" w:rsidP="00E610C2">
      <w:pPr>
        <w:rPr>
          <w:b/>
        </w:rPr>
      </w:pPr>
      <w:r>
        <w:rPr>
          <w:b/>
        </w:rPr>
        <w:t>R</w:t>
      </w:r>
      <w:r w:rsidR="00E610C2" w:rsidRPr="00E610C2">
        <w:rPr>
          <w:b/>
        </w:rPr>
        <w:t>ecommendations on t</w:t>
      </w:r>
      <w:r w:rsidR="00E610C2">
        <w:rPr>
          <w:b/>
        </w:rPr>
        <w:t>he Transport of Dangerous Goods</w:t>
      </w:r>
    </w:p>
    <w:p w14:paraId="02B089FE" w14:textId="77777777" w:rsidR="001E44B6" w:rsidRDefault="00B3602D" w:rsidP="001E44B6">
      <w:pPr>
        <w:pStyle w:val="HChG"/>
        <w:rPr>
          <w:sz w:val="20"/>
        </w:rPr>
      </w:pPr>
      <w:r>
        <w:tab/>
      </w:r>
      <w:r>
        <w:tab/>
      </w:r>
      <w:r w:rsidR="00AC6409">
        <w:t>Amendment to SP 392</w:t>
      </w:r>
      <w:r w:rsidR="007C38B5">
        <w:t>/SP660</w:t>
      </w:r>
      <w:r w:rsidR="001E44B6">
        <w:t xml:space="preserve">: comment on </w:t>
      </w:r>
      <w:r w:rsidR="007C38B5">
        <w:br/>
        <w:t xml:space="preserve">INF.27 on </w:t>
      </w:r>
      <w:r w:rsidR="001E44B6">
        <w:t>ECE/TRANS/WP.15/AC.1/2017/26/Add.1</w:t>
      </w:r>
    </w:p>
    <w:p w14:paraId="49AA8A79" w14:textId="77777777" w:rsidR="00E610C2" w:rsidRDefault="001E44B6" w:rsidP="00DD14BE">
      <w:pPr>
        <w:pStyle w:val="H1G"/>
      </w:pPr>
      <w:r>
        <w:rPr>
          <w:sz w:val="20"/>
        </w:rPr>
        <w:tab/>
      </w:r>
      <w:r>
        <w:rPr>
          <w:sz w:val="20"/>
        </w:rPr>
        <w:tab/>
      </w:r>
      <w:r>
        <w:t>T</w:t>
      </w:r>
      <w:r w:rsidR="00904BF4">
        <w:t>ransmitted by the Government of Germany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1E44B6" w14:paraId="4343461D" w14:textId="77777777" w:rsidTr="00D0791D">
        <w:trPr>
          <w:trHeight w:val="682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8F1C73" w14:textId="77777777" w:rsidR="001E44B6" w:rsidRDefault="001E44B6" w:rsidP="00D0791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Summary</w:t>
            </w:r>
          </w:p>
        </w:tc>
      </w:tr>
      <w:tr w:rsidR="001E44B6" w:rsidRPr="00BC2288" w14:paraId="74DDBFD9" w14:textId="77777777" w:rsidTr="00D0791D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59451" w14:textId="77777777" w:rsidR="001E44B6" w:rsidRPr="00BC2288" w:rsidRDefault="001E44B6" w:rsidP="00AC6409">
            <w:pPr>
              <w:pStyle w:val="SingleTxtG"/>
              <w:spacing w:after="60"/>
              <w:ind w:left="3359" w:hanging="2280"/>
            </w:pPr>
            <w:r w:rsidRPr="00BC2288">
              <w:rPr>
                <w:b/>
              </w:rPr>
              <w:t>Executive summary:</w:t>
            </w:r>
            <w:r w:rsidRPr="00BC2288">
              <w:tab/>
            </w:r>
            <w:r w:rsidR="00904BF4">
              <w:t xml:space="preserve">There is a need to </w:t>
            </w:r>
            <w:r w:rsidR="0022753C">
              <w:t>use</w:t>
            </w:r>
            <w:r w:rsidR="00904BF4">
              <w:t xml:space="preserve"> </w:t>
            </w:r>
            <w:r w:rsidR="0022753C">
              <w:t xml:space="preserve">the new </w:t>
            </w:r>
            <w:r w:rsidRPr="00904BF4">
              <w:t xml:space="preserve">special provision </w:t>
            </w:r>
            <w:r w:rsidR="0022753C">
              <w:t xml:space="preserve">392 </w:t>
            </w:r>
            <w:r w:rsidR="007567E0">
              <w:t xml:space="preserve">or another SP with an equal meaning </w:t>
            </w:r>
            <w:r w:rsidR="0022753C">
              <w:t>with further gases</w:t>
            </w:r>
            <w:r w:rsidR="000671F5">
              <w:t xml:space="preserve"> for test and stabilisation reasons </w:t>
            </w:r>
            <w:r w:rsidR="00241A54">
              <w:t>that are non-flammable and non-toxic</w:t>
            </w:r>
            <w:r w:rsidR="00901E27">
              <w:t xml:space="preserve"> (Group A or O gases)</w:t>
            </w:r>
            <w:r w:rsidR="00241A54">
              <w:t>.</w:t>
            </w:r>
          </w:p>
          <w:p w14:paraId="3077895F" w14:textId="77777777" w:rsidR="00AC6409" w:rsidRPr="00BC2288" w:rsidRDefault="00AC6409" w:rsidP="00AC6409">
            <w:pPr>
              <w:pStyle w:val="SingleTxtG"/>
              <w:spacing w:after="60"/>
              <w:ind w:left="3359" w:hanging="2280"/>
            </w:pPr>
          </w:p>
        </w:tc>
      </w:tr>
      <w:tr w:rsidR="001E44B6" w:rsidRPr="00BC2288" w14:paraId="362B6ABE" w14:textId="77777777" w:rsidTr="00D0791D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5ECD4" w14:textId="77777777" w:rsidR="001E44B6" w:rsidRPr="00BC2288" w:rsidRDefault="001E44B6" w:rsidP="007C38B5">
            <w:pPr>
              <w:pStyle w:val="SingleTxtG"/>
              <w:spacing w:after="60"/>
              <w:ind w:left="3359" w:hanging="2280"/>
              <w:jc w:val="left"/>
              <w:rPr>
                <w:lang w:val="en-US"/>
              </w:rPr>
            </w:pPr>
            <w:r w:rsidRPr="00BC2288">
              <w:rPr>
                <w:b/>
              </w:rPr>
              <w:t>Action to be taken:</w:t>
            </w:r>
            <w:r w:rsidRPr="00BC2288">
              <w:tab/>
            </w:r>
            <w:r w:rsidR="007C38B5">
              <w:t xml:space="preserve">Further use of SP 660 for gases not covered by </w:t>
            </w:r>
            <w:r w:rsidRPr="00BC2288">
              <w:t>SP</w:t>
            </w:r>
            <w:r w:rsidR="00AC6409" w:rsidRPr="00BC2288">
              <w:t>392</w:t>
            </w:r>
            <w:r w:rsidRPr="00BC2288">
              <w:t xml:space="preserve"> of document ECE/TRANS/WP.15/AC.1/2017/26/Add.1</w:t>
            </w:r>
          </w:p>
        </w:tc>
      </w:tr>
      <w:tr w:rsidR="001E44B6" w:rsidRPr="00BC2288" w14:paraId="42AA2284" w14:textId="77777777" w:rsidTr="00D0791D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9E4" w14:textId="77777777" w:rsidR="001E44B6" w:rsidRPr="00BC2288" w:rsidRDefault="001E44B6" w:rsidP="00D0791D">
            <w:pPr>
              <w:pStyle w:val="SingleTxtG"/>
              <w:spacing w:after="60"/>
              <w:ind w:left="2552" w:hanging="2268"/>
              <w:rPr>
                <w:b/>
              </w:rPr>
            </w:pPr>
          </w:p>
        </w:tc>
      </w:tr>
    </w:tbl>
    <w:p w14:paraId="13FAEEC2" w14:textId="77777777" w:rsidR="001E44B6" w:rsidRPr="00BC2288" w:rsidRDefault="00E610C2" w:rsidP="001E44B6">
      <w:pPr>
        <w:pStyle w:val="HChG"/>
        <w:rPr>
          <w:szCs w:val="28"/>
          <w:lang w:val="en-US"/>
        </w:rPr>
      </w:pPr>
      <w:r w:rsidRPr="00BC2288">
        <w:tab/>
      </w:r>
      <w:r w:rsidRPr="00BC2288">
        <w:tab/>
      </w:r>
      <w:r w:rsidR="001E44B6" w:rsidRPr="00BC2288">
        <w:rPr>
          <w:szCs w:val="28"/>
          <w:lang w:val="en-US"/>
        </w:rPr>
        <w:t>Introduction</w:t>
      </w:r>
    </w:p>
    <w:p w14:paraId="1CA642EC" w14:textId="77777777" w:rsidR="00C340C7" w:rsidRPr="00BC2288" w:rsidRDefault="00C340C7" w:rsidP="00DD14BE">
      <w:pPr>
        <w:pStyle w:val="SingleTxtG"/>
        <w:rPr>
          <w:lang w:val="en-US" w:eastAsia="en-GB"/>
        </w:rPr>
      </w:pPr>
      <w:r w:rsidRPr="00BC2288">
        <w:rPr>
          <w:lang w:val="en-US" w:eastAsia="en-GB"/>
        </w:rPr>
        <w:t xml:space="preserve">SP </w:t>
      </w:r>
      <w:r w:rsidR="00BF4B32" w:rsidRPr="00BC2288">
        <w:rPr>
          <w:lang w:val="en-US" w:eastAsia="en-GB"/>
        </w:rPr>
        <w:t>392</w:t>
      </w:r>
      <w:r w:rsidRPr="00BC2288">
        <w:rPr>
          <w:lang w:val="en-US" w:eastAsia="en-GB"/>
        </w:rPr>
        <w:t xml:space="preserve"> </w:t>
      </w:r>
      <w:r w:rsidR="00D606C5">
        <w:rPr>
          <w:lang w:val="en-US" w:eastAsia="en-GB"/>
        </w:rPr>
        <w:t>and the current SP 660 are</w:t>
      </w:r>
      <w:r w:rsidRPr="00BC2288">
        <w:rPr>
          <w:lang w:val="en-US" w:eastAsia="en-GB"/>
        </w:rPr>
        <w:t xml:space="preserve"> only applicable to </w:t>
      </w:r>
      <w:r w:rsidR="00904BF4">
        <w:rPr>
          <w:lang w:val="en-US" w:eastAsia="en-GB"/>
        </w:rPr>
        <w:t>carry</w:t>
      </w:r>
      <w:r w:rsidRPr="00BC2288">
        <w:rPr>
          <w:lang w:val="en-US" w:eastAsia="en-GB"/>
        </w:rPr>
        <w:t xml:space="preserve"> </w:t>
      </w:r>
      <w:r w:rsidR="00622DEB" w:rsidRPr="00622DEB">
        <w:rPr>
          <w:lang w:val="en-US" w:eastAsia="en-GB"/>
        </w:rPr>
        <w:t xml:space="preserve">fuel gas containment systems designed and approved to </w:t>
      </w:r>
      <w:proofErr w:type="gramStart"/>
      <w:r w:rsidR="00622DEB" w:rsidRPr="00622DEB">
        <w:rPr>
          <w:lang w:val="en-US" w:eastAsia="en-GB"/>
        </w:rPr>
        <w:t>be fitted</w:t>
      </w:r>
      <w:proofErr w:type="gramEnd"/>
      <w:r w:rsidR="00622DEB" w:rsidRPr="00622DEB">
        <w:rPr>
          <w:lang w:val="en-US" w:eastAsia="en-GB"/>
        </w:rPr>
        <w:t xml:space="preserve"> in motor vehicles</w:t>
      </w:r>
      <w:r w:rsidR="00904BF4">
        <w:rPr>
          <w:lang w:val="en-US" w:eastAsia="en-GB"/>
        </w:rPr>
        <w:t xml:space="preserve"> containing </w:t>
      </w:r>
      <w:r w:rsidR="00442AD8">
        <w:rPr>
          <w:lang w:val="en-US" w:eastAsia="en-GB"/>
        </w:rPr>
        <w:t>flammable gases</w:t>
      </w:r>
      <w:r w:rsidRPr="00BC2288">
        <w:rPr>
          <w:lang w:val="en-US" w:eastAsia="en-GB"/>
        </w:rPr>
        <w:t xml:space="preserve"> </w:t>
      </w:r>
      <w:r w:rsidR="00442AD8">
        <w:rPr>
          <w:lang w:val="en-US" w:eastAsia="en-GB"/>
        </w:rPr>
        <w:t>of</w:t>
      </w:r>
      <w:r w:rsidR="00442AD8" w:rsidRPr="00442AD8">
        <w:rPr>
          <w:lang w:val="en-US" w:eastAsia="en-GB"/>
        </w:rPr>
        <w:t xml:space="preserve"> UN Nos. 1011, 1049, 1075, 1954, 1965, 1969</w:t>
      </w:r>
      <w:r w:rsidR="00442AD8">
        <w:rPr>
          <w:lang w:val="en-US" w:eastAsia="en-GB"/>
        </w:rPr>
        <w:t>, 1971, 1972, 1978.</w:t>
      </w:r>
    </w:p>
    <w:p w14:paraId="31622549" w14:textId="77777777" w:rsidR="00C340C7" w:rsidRPr="00241A54" w:rsidRDefault="00C340C7" w:rsidP="00DD14BE">
      <w:pPr>
        <w:pStyle w:val="SingleTxtG"/>
        <w:rPr>
          <w:lang w:val="en-US" w:eastAsia="en-GB"/>
        </w:rPr>
      </w:pPr>
      <w:r w:rsidRPr="00BC2288">
        <w:rPr>
          <w:lang w:val="en-US" w:eastAsia="en-GB"/>
        </w:rPr>
        <w:t>The d</w:t>
      </w:r>
      <w:r w:rsidR="00622DEB">
        <w:rPr>
          <w:lang w:val="en-US" w:eastAsia="en-GB"/>
        </w:rPr>
        <w:t xml:space="preserve">elivery of new, unused </w:t>
      </w:r>
      <w:r w:rsidR="00622DEB" w:rsidRPr="00622DEB">
        <w:rPr>
          <w:lang w:val="en-US" w:eastAsia="en-GB"/>
        </w:rPr>
        <w:t xml:space="preserve">fuel gas containment systems </w:t>
      </w:r>
      <w:r w:rsidRPr="00BC2288">
        <w:rPr>
          <w:lang w:val="en-US" w:eastAsia="en-GB"/>
        </w:rPr>
        <w:t xml:space="preserve">by the </w:t>
      </w:r>
      <w:r w:rsidR="00904BF4">
        <w:rPr>
          <w:lang w:val="en-US" w:eastAsia="en-GB"/>
        </w:rPr>
        <w:t>manufacturer</w:t>
      </w:r>
      <w:r w:rsidR="00241A54">
        <w:rPr>
          <w:lang w:val="en-US" w:eastAsia="en-GB"/>
        </w:rPr>
        <w:t xml:space="preserve"> however </w:t>
      </w:r>
      <w:r w:rsidRPr="00BC2288">
        <w:rPr>
          <w:lang w:val="en-US" w:eastAsia="en-GB"/>
        </w:rPr>
        <w:t xml:space="preserve">is </w:t>
      </w:r>
      <w:r w:rsidR="00904BF4">
        <w:rPr>
          <w:lang w:val="en-US" w:eastAsia="en-GB"/>
        </w:rPr>
        <w:t xml:space="preserve">sometimes </w:t>
      </w:r>
      <w:r w:rsidRPr="00BC2288">
        <w:rPr>
          <w:lang w:val="en-US" w:eastAsia="en-GB"/>
        </w:rPr>
        <w:t>carried out containing</w:t>
      </w:r>
      <w:r w:rsidR="00442AD8">
        <w:rPr>
          <w:lang w:val="en-US" w:eastAsia="en-GB"/>
        </w:rPr>
        <w:t xml:space="preserve"> </w:t>
      </w:r>
      <w:r w:rsidR="00750BD4" w:rsidRPr="00BC2288">
        <w:rPr>
          <w:lang w:val="en-US" w:eastAsia="en-GB"/>
        </w:rPr>
        <w:t>flammable</w:t>
      </w:r>
      <w:r w:rsidR="00241A54">
        <w:rPr>
          <w:lang w:val="en-US" w:eastAsia="en-GB"/>
        </w:rPr>
        <w:t xml:space="preserve"> gases (when filled with the actual gas for propulsion) </w:t>
      </w:r>
      <w:r w:rsidR="00241A54">
        <w:rPr>
          <w:b/>
          <w:lang w:val="en-US" w:eastAsia="en-GB"/>
        </w:rPr>
        <w:t>or</w:t>
      </w:r>
      <w:r w:rsidR="00750BD4" w:rsidRPr="00BC2288">
        <w:rPr>
          <w:b/>
          <w:lang w:val="en-US" w:eastAsia="en-GB"/>
        </w:rPr>
        <w:t xml:space="preserve"> </w:t>
      </w:r>
      <w:r w:rsidR="00241A54" w:rsidRPr="00241A54">
        <w:rPr>
          <w:lang w:val="en-US" w:eastAsia="en-GB"/>
        </w:rPr>
        <w:t>containing</w:t>
      </w:r>
      <w:r w:rsidR="00241A54">
        <w:rPr>
          <w:b/>
          <w:lang w:val="en-US" w:eastAsia="en-GB"/>
        </w:rPr>
        <w:t xml:space="preserve"> </w:t>
      </w:r>
      <w:r w:rsidR="00241A54">
        <w:rPr>
          <w:lang w:val="en-US" w:eastAsia="en-GB"/>
        </w:rPr>
        <w:t>test gases or gases for stabilizing the tank</w:t>
      </w:r>
      <w:r w:rsidR="000671F5">
        <w:rPr>
          <w:lang w:val="en-US" w:eastAsia="en-GB"/>
        </w:rPr>
        <w:t>s</w:t>
      </w:r>
      <w:r w:rsidR="00241A54">
        <w:rPr>
          <w:lang w:val="en-US" w:eastAsia="en-GB"/>
        </w:rPr>
        <w:t xml:space="preserve"> or </w:t>
      </w:r>
      <w:r w:rsidR="00241A54" w:rsidRPr="00241A54">
        <w:rPr>
          <w:lang w:val="en-US" w:eastAsia="en-GB"/>
        </w:rPr>
        <w:t>mixtures thereof</w:t>
      </w:r>
      <w:r w:rsidR="000671F5" w:rsidRPr="000671F5">
        <w:rPr>
          <w:lang w:val="en-US" w:eastAsia="en-GB"/>
        </w:rPr>
        <w:t xml:space="preserve"> </w:t>
      </w:r>
      <w:r w:rsidR="000671F5">
        <w:rPr>
          <w:lang w:val="en-US" w:eastAsia="en-GB"/>
        </w:rPr>
        <w:t>(Group A and O only)</w:t>
      </w:r>
      <w:r w:rsidR="00241A54">
        <w:rPr>
          <w:lang w:val="en-US" w:eastAsia="en-GB"/>
        </w:rPr>
        <w:t>.</w:t>
      </w:r>
      <w:r w:rsidR="00241A54" w:rsidRPr="00241A54">
        <w:rPr>
          <w:lang w:val="en-US" w:eastAsia="en-GB"/>
        </w:rPr>
        <w:t xml:space="preserve"> </w:t>
      </w:r>
      <w:r w:rsidR="00241A54">
        <w:rPr>
          <w:lang w:val="en-US" w:eastAsia="en-GB"/>
        </w:rPr>
        <w:t xml:space="preserve">One Example is a mixture of </w:t>
      </w:r>
      <w:r w:rsidR="00241A54" w:rsidRPr="00241A54">
        <w:t>10% He/</w:t>
      </w:r>
      <w:proofErr w:type="gramStart"/>
      <w:r w:rsidR="00241A54" w:rsidRPr="00241A54">
        <w:t>90%</w:t>
      </w:r>
      <w:proofErr w:type="gramEnd"/>
      <w:r w:rsidR="00241A54" w:rsidRPr="00241A54">
        <w:t xml:space="preserve"> </w:t>
      </w:r>
      <w:proofErr w:type="spellStart"/>
      <w:r w:rsidR="00241A54" w:rsidRPr="00241A54">
        <w:t>N</w:t>
      </w:r>
      <w:proofErr w:type="spellEnd"/>
      <w:r w:rsidR="00241A54" w:rsidRPr="00241A54">
        <w:rPr>
          <w:position w:val="-8"/>
          <w:vertAlign w:val="subscript"/>
        </w:rPr>
        <w:t>2</w:t>
      </w:r>
      <w:r w:rsidR="00241A54">
        <w:t>, being classified as UN</w:t>
      </w:r>
      <w:r w:rsidR="00241A54" w:rsidRPr="00241A54">
        <w:t xml:space="preserve">1956 compressed Gases </w:t>
      </w:r>
      <w:proofErr w:type="spellStart"/>
      <w:r w:rsidR="00241A54" w:rsidRPr="00241A54">
        <w:t>n.o.s</w:t>
      </w:r>
      <w:proofErr w:type="spellEnd"/>
      <w:r w:rsidR="00241A54" w:rsidRPr="00241A54">
        <w:t>. (</w:t>
      </w:r>
      <w:r w:rsidR="00241A54">
        <w:t>Helium, Nitrogen</w:t>
      </w:r>
      <w:r w:rsidR="00241A54" w:rsidRPr="00241A54">
        <w:t>).</w:t>
      </w:r>
      <w:r w:rsidR="00241A54">
        <w:t xml:space="preserve"> </w:t>
      </w:r>
    </w:p>
    <w:p w14:paraId="1D3D3B49" w14:textId="252ED9AD" w:rsidR="007A45F4" w:rsidRDefault="00C340C7" w:rsidP="00DD14BE">
      <w:pPr>
        <w:pStyle w:val="SingleTxtG"/>
      </w:pPr>
      <w:proofErr w:type="gramStart"/>
      <w:r w:rsidRPr="00BC2288">
        <w:rPr>
          <w:lang w:val="en-US" w:eastAsia="en-GB"/>
        </w:rPr>
        <w:t xml:space="preserve">Currently it is not possible to </w:t>
      </w:r>
      <w:r w:rsidR="00622DEB">
        <w:rPr>
          <w:lang w:val="en-US" w:eastAsia="en-GB"/>
        </w:rPr>
        <w:t>carry such</w:t>
      </w:r>
      <w:r w:rsidR="0022753C">
        <w:rPr>
          <w:lang w:val="en-US" w:eastAsia="en-GB"/>
        </w:rPr>
        <w:t xml:space="preserve"> </w:t>
      </w:r>
      <w:r w:rsidR="0022753C" w:rsidRPr="0022753C">
        <w:rPr>
          <w:lang w:val="en-US" w:eastAsia="en-GB"/>
        </w:rPr>
        <w:t xml:space="preserve">fuel gas containment </w:t>
      </w:r>
      <w:r w:rsidR="0022753C">
        <w:rPr>
          <w:lang w:val="en-US" w:eastAsia="en-GB"/>
        </w:rPr>
        <w:t xml:space="preserve">systems </w:t>
      </w:r>
      <w:r w:rsidRPr="00BC2288">
        <w:rPr>
          <w:lang w:val="en-US" w:eastAsia="en-GB"/>
        </w:rPr>
        <w:t xml:space="preserve">containing </w:t>
      </w:r>
      <w:r w:rsidR="00442AD8">
        <w:rPr>
          <w:lang w:val="en-US" w:eastAsia="en-GB"/>
        </w:rPr>
        <w:t xml:space="preserve">mixtures or </w:t>
      </w:r>
      <w:r w:rsidRPr="00BC2288">
        <w:rPr>
          <w:lang w:val="en-US" w:eastAsia="en-GB"/>
        </w:rPr>
        <w:t>gases</w:t>
      </w:r>
      <w:r w:rsidR="00622DEB">
        <w:rPr>
          <w:lang w:val="en-US" w:eastAsia="en-GB"/>
        </w:rPr>
        <w:t xml:space="preserve"> of Groups A and O</w:t>
      </w:r>
      <w:r w:rsidR="00241A54">
        <w:rPr>
          <w:lang w:val="en-US" w:eastAsia="en-GB"/>
        </w:rPr>
        <w:t>,</w:t>
      </w:r>
      <w:r w:rsidRPr="00BC2288">
        <w:rPr>
          <w:lang w:val="en-US" w:eastAsia="en-GB"/>
        </w:rPr>
        <w:t xml:space="preserve"> </w:t>
      </w:r>
      <w:r w:rsidR="00904BF4">
        <w:rPr>
          <w:lang w:val="en-US" w:eastAsia="en-GB"/>
        </w:rPr>
        <w:t>if the</w:t>
      </w:r>
      <w:r w:rsidRPr="00BC2288">
        <w:rPr>
          <w:lang w:val="en-US" w:eastAsia="en-GB"/>
        </w:rPr>
        <w:t xml:space="preserve"> pressure </w:t>
      </w:r>
      <w:r w:rsidR="00904BF4">
        <w:rPr>
          <w:lang w:val="en-US" w:eastAsia="en-GB"/>
        </w:rPr>
        <w:t>of the</w:t>
      </w:r>
      <w:r w:rsidR="00622DEB">
        <w:rPr>
          <w:lang w:val="en-US" w:eastAsia="en-GB"/>
        </w:rPr>
        <w:t xml:space="preserve"> gas in the receptacle</w:t>
      </w:r>
      <w:r w:rsidR="00904BF4">
        <w:rPr>
          <w:lang w:val="en-US" w:eastAsia="en-GB"/>
        </w:rPr>
        <w:t xml:space="preserve"> </w:t>
      </w:r>
      <w:r w:rsidR="00622DEB">
        <w:rPr>
          <w:lang w:val="en-US" w:eastAsia="en-GB"/>
        </w:rPr>
        <w:t>does exceed 201kPa (2,01bar)</w:t>
      </w:r>
      <w:r w:rsidRPr="00BC2288">
        <w:rPr>
          <w:lang w:val="en-US" w:eastAsia="en-GB"/>
        </w:rPr>
        <w:t xml:space="preserve">, because SP </w:t>
      </w:r>
      <w:r w:rsidR="00BF4B32" w:rsidRPr="00BC2288">
        <w:rPr>
          <w:lang w:val="en-US" w:eastAsia="en-GB"/>
        </w:rPr>
        <w:t>392</w:t>
      </w:r>
      <w:r w:rsidRPr="00BC2288">
        <w:rPr>
          <w:lang w:val="en-US" w:eastAsia="en-GB"/>
        </w:rPr>
        <w:t xml:space="preserve"> </w:t>
      </w:r>
      <w:r w:rsidR="00D606C5">
        <w:rPr>
          <w:lang w:val="en-US" w:eastAsia="en-GB"/>
        </w:rPr>
        <w:t xml:space="preserve">is </w:t>
      </w:r>
      <w:r w:rsidR="00106F25">
        <w:rPr>
          <w:lang w:val="en-US" w:eastAsia="en-GB"/>
        </w:rPr>
        <w:t xml:space="preserve">only </w:t>
      </w:r>
      <w:r w:rsidR="00B179FB">
        <w:rPr>
          <w:lang w:val="en-US" w:eastAsia="en-GB"/>
        </w:rPr>
        <w:t xml:space="preserve">applicable </w:t>
      </w:r>
      <w:r w:rsidR="00A04E5D">
        <w:rPr>
          <w:lang w:val="en-US" w:eastAsia="en-GB"/>
        </w:rPr>
        <w:t>(</w:t>
      </w:r>
      <w:r w:rsidR="00D606C5">
        <w:rPr>
          <w:lang w:val="en-US" w:eastAsia="en-GB"/>
        </w:rPr>
        <w:t>and the SP 660 was</w:t>
      </w:r>
      <w:r w:rsidRPr="00BC2288">
        <w:rPr>
          <w:lang w:val="en-US" w:eastAsia="en-GB"/>
        </w:rPr>
        <w:t xml:space="preserve"> only</w:t>
      </w:r>
      <w:r w:rsidR="00442AD8">
        <w:rPr>
          <w:lang w:val="en-US" w:eastAsia="en-GB"/>
        </w:rPr>
        <w:t xml:space="preserve"> applicable</w:t>
      </w:r>
      <w:r w:rsidR="00A04E5D">
        <w:rPr>
          <w:lang w:val="en-US" w:eastAsia="en-GB"/>
        </w:rPr>
        <w:t>)</w:t>
      </w:r>
      <w:r w:rsidR="00442AD8">
        <w:rPr>
          <w:lang w:val="en-US" w:eastAsia="en-GB"/>
        </w:rPr>
        <w:t xml:space="preserve"> to flammable gases </w:t>
      </w:r>
      <w:r w:rsidRPr="00BC2288">
        <w:rPr>
          <w:lang w:val="en-US" w:eastAsia="en-GB"/>
        </w:rPr>
        <w:t xml:space="preserve">(referred to ADR table 3.2, column 6) </w:t>
      </w:r>
      <w:r w:rsidR="00442AD8">
        <w:rPr>
          <w:lang w:val="en-US" w:eastAsia="en-GB"/>
        </w:rPr>
        <w:t>and 1.1.3.2 c)</w:t>
      </w:r>
      <w:r w:rsidR="0022753C">
        <w:rPr>
          <w:lang w:val="en-US" w:eastAsia="en-GB"/>
        </w:rPr>
        <w:t xml:space="preserve"> is not relevant.</w:t>
      </w:r>
      <w:proofErr w:type="gramEnd"/>
      <w:r w:rsidR="007A45F4" w:rsidRPr="007A45F4">
        <w:t xml:space="preserve"> </w:t>
      </w:r>
    </w:p>
    <w:p w14:paraId="51182A39" w14:textId="77777777" w:rsidR="00C340C7" w:rsidRPr="003050B9" w:rsidRDefault="00DD14BE" w:rsidP="00DD14BE">
      <w:pPr>
        <w:pStyle w:val="HChG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3050B9" w:rsidRPr="003050B9">
        <w:rPr>
          <w:lang w:val="en-US" w:eastAsia="en-GB"/>
        </w:rPr>
        <w:t>Justification</w:t>
      </w:r>
    </w:p>
    <w:p w14:paraId="7846F431" w14:textId="457B0730" w:rsidR="00D606C5" w:rsidRDefault="007A45F4" w:rsidP="002034A1">
      <w:pPr>
        <w:suppressAutoHyphens w:val="0"/>
        <w:autoSpaceDE w:val="0"/>
        <w:autoSpaceDN w:val="0"/>
        <w:adjustRightInd w:val="0"/>
        <w:spacing w:after="160" w:line="240" w:lineRule="auto"/>
        <w:ind w:left="1134" w:right="1133"/>
        <w:jc w:val="both"/>
        <w:rPr>
          <w:lang w:val="en-US"/>
        </w:rPr>
      </w:pPr>
      <w:r w:rsidRPr="00DD14BE">
        <w:rPr>
          <w:rStyle w:val="SingleTxtGChar"/>
        </w:rPr>
        <w:t>Because these gases are less dangerous compared to flammable gases, w</w:t>
      </w:r>
      <w:r w:rsidR="00BF4B32" w:rsidRPr="00DD14BE">
        <w:rPr>
          <w:rStyle w:val="SingleTxtGChar"/>
        </w:rPr>
        <w:t xml:space="preserve">e think </w:t>
      </w:r>
      <w:r w:rsidR="00D606C5">
        <w:rPr>
          <w:rStyle w:val="SingleTxtGChar"/>
        </w:rPr>
        <w:t xml:space="preserve">the transport of gases in </w:t>
      </w:r>
      <w:r w:rsidR="00D606C5" w:rsidRPr="00622DEB">
        <w:rPr>
          <w:lang w:val="en-US" w:eastAsia="en-GB"/>
        </w:rPr>
        <w:t xml:space="preserve">fuel gas containment systems </w:t>
      </w:r>
      <w:r w:rsidR="00D606C5">
        <w:rPr>
          <w:lang w:val="en-US" w:eastAsia="en-GB"/>
        </w:rPr>
        <w:t>regulated in SP 392</w:t>
      </w:r>
      <w:r w:rsidR="00D606C5">
        <w:rPr>
          <w:rStyle w:val="SingleTxtGChar"/>
        </w:rPr>
        <w:t xml:space="preserve"> </w:t>
      </w:r>
      <w:r w:rsidR="00C340C7" w:rsidRPr="00DD14BE">
        <w:rPr>
          <w:rStyle w:val="SingleTxtGChar"/>
        </w:rPr>
        <w:t xml:space="preserve">should be </w:t>
      </w:r>
      <w:r w:rsidR="00D606C5">
        <w:rPr>
          <w:rStyle w:val="SingleTxtGChar"/>
        </w:rPr>
        <w:t xml:space="preserve">extended to </w:t>
      </w:r>
      <w:r w:rsidR="00C340C7" w:rsidRPr="00DD14BE">
        <w:rPr>
          <w:rStyle w:val="SingleTxtGChar"/>
        </w:rPr>
        <w:t>non</w:t>
      </w:r>
      <w:r w:rsidR="00901E27" w:rsidRPr="00DD14BE">
        <w:rPr>
          <w:rStyle w:val="SingleTxtGChar"/>
        </w:rPr>
        <w:t>-</w:t>
      </w:r>
      <w:r w:rsidR="00C340C7" w:rsidRPr="00DD14BE">
        <w:rPr>
          <w:rStyle w:val="SingleTxtGChar"/>
        </w:rPr>
        <w:t>flammable, non</w:t>
      </w:r>
      <w:r w:rsidR="00901E27" w:rsidRPr="00DD14BE">
        <w:rPr>
          <w:rStyle w:val="SingleTxtGChar"/>
        </w:rPr>
        <w:t>-</w:t>
      </w:r>
      <w:r w:rsidR="00C340C7" w:rsidRPr="00DD14BE">
        <w:rPr>
          <w:rStyle w:val="SingleTxtGChar"/>
        </w:rPr>
        <w:t xml:space="preserve">toxic test </w:t>
      </w:r>
      <w:r w:rsidR="00346154" w:rsidRPr="00DD14BE">
        <w:rPr>
          <w:rStyle w:val="SingleTxtGChar"/>
        </w:rPr>
        <w:t xml:space="preserve">and stabilization </w:t>
      </w:r>
      <w:r w:rsidR="00C340C7" w:rsidRPr="00DD14BE">
        <w:rPr>
          <w:rStyle w:val="SingleTxtGChar"/>
        </w:rPr>
        <w:t>gases</w:t>
      </w:r>
      <w:r w:rsidR="00EE3B23" w:rsidRPr="00DD14BE">
        <w:rPr>
          <w:rStyle w:val="SingleTxtGChar"/>
        </w:rPr>
        <w:t xml:space="preserve"> (gases </w:t>
      </w:r>
      <w:r w:rsidR="00901E27" w:rsidRPr="00DD14BE">
        <w:rPr>
          <w:rStyle w:val="SingleTxtGChar"/>
        </w:rPr>
        <w:t xml:space="preserve">of group </w:t>
      </w:r>
      <w:r w:rsidR="00EE3B23" w:rsidRPr="00DD14BE">
        <w:rPr>
          <w:rStyle w:val="SingleTxtGChar"/>
        </w:rPr>
        <w:t>A and O</w:t>
      </w:r>
      <w:r w:rsidR="006B020C" w:rsidRPr="00DD14BE">
        <w:rPr>
          <w:rStyle w:val="SingleTxtGChar"/>
        </w:rPr>
        <w:t xml:space="preserve"> only</w:t>
      </w:r>
      <w:r w:rsidR="00EE3B23" w:rsidRPr="00DD14BE">
        <w:rPr>
          <w:rStyle w:val="SingleTxtGChar"/>
        </w:rPr>
        <w:t>)</w:t>
      </w:r>
      <w:r w:rsidRPr="00DD14BE">
        <w:rPr>
          <w:rStyle w:val="SingleTxtGChar"/>
        </w:rPr>
        <w:t xml:space="preserve"> and mixtures thereof</w:t>
      </w:r>
      <w:r w:rsidR="00BF4B32" w:rsidRPr="00DD14BE">
        <w:rPr>
          <w:rStyle w:val="SingleTxtGChar"/>
        </w:rPr>
        <w:t>.</w:t>
      </w:r>
      <w:r w:rsidR="00EE3B23" w:rsidRPr="00DD14BE">
        <w:rPr>
          <w:rStyle w:val="SingleTxtGChar"/>
        </w:rPr>
        <w:t xml:space="preserve"> The </w:t>
      </w:r>
      <w:proofErr w:type="gramStart"/>
      <w:r w:rsidR="00D606C5" w:rsidRPr="00622DEB">
        <w:rPr>
          <w:lang w:val="en-US" w:eastAsia="en-GB"/>
        </w:rPr>
        <w:t>fuel gas containment systems</w:t>
      </w:r>
      <w:proofErr w:type="gramEnd"/>
      <w:r w:rsidR="00D606C5" w:rsidRPr="00622DEB">
        <w:rPr>
          <w:lang w:val="en-US" w:eastAsia="en-GB"/>
        </w:rPr>
        <w:t xml:space="preserve"> </w:t>
      </w:r>
      <w:r w:rsidR="00EE3B23" w:rsidRPr="00DD14BE">
        <w:rPr>
          <w:rStyle w:val="SingleTxtGChar"/>
        </w:rPr>
        <w:t xml:space="preserve">are proven in accordance with the requirements of regulations at a max. </w:t>
      </w:r>
      <w:proofErr w:type="gramStart"/>
      <w:r w:rsidR="00D606C5">
        <w:rPr>
          <w:rStyle w:val="SingleTxtGChar"/>
        </w:rPr>
        <w:t>nominal</w:t>
      </w:r>
      <w:proofErr w:type="gramEnd"/>
      <w:r w:rsidR="00D606C5">
        <w:rPr>
          <w:rStyle w:val="SingleTxtGChar"/>
        </w:rPr>
        <w:t xml:space="preserve"> working </w:t>
      </w:r>
      <w:r w:rsidR="00EE3B23" w:rsidRPr="00DD14BE">
        <w:rPr>
          <w:rStyle w:val="SingleTxtGChar"/>
        </w:rPr>
        <w:t>pressure &gt; 200 bar.</w:t>
      </w:r>
      <w:r w:rsidR="00C340C7" w:rsidRPr="00DD14BE">
        <w:rPr>
          <w:rStyle w:val="SingleTxtGChar"/>
        </w:rPr>
        <w:t xml:space="preserve"> For this reason, the gas tanks are also suitable for non</w:t>
      </w:r>
      <w:r w:rsidR="00241A54" w:rsidRPr="00DD14BE">
        <w:rPr>
          <w:rStyle w:val="SingleTxtGChar"/>
        </w:rPr>
        <w:t>-</w:t>
      </w:r>
      <w:r w:rsidR="00C340C7" w:rsidRPr="00DD14BE">
        <w:rPr>
          <w:rStyle w:val="SingleTxtGChar"/>
        </w:rPr>
        <w:t>flammable, non</w:t>
      </w:r>
      <w:r w:rsidR="00241A54" w:rsidRPr="00DD14BE">
        <w:rPr>
          <w:rStyle w:val="SingleTxtGChar"/>
        </w:rPr>
        <w:t>-</w:t>
      </w:r>
      <w:r w:rsidR="00C340C7" w:rsidRPr="00DD14BE">
        <w:rPr>
          <w:rStyle w:val="SingleTxtGChar"/>
        </w:rPr>
        <w:t>toxic test gases</w:t>
      </w:r>
      <w:r w:rsidR="00241A54" w:rsidRPr="00DD14BE">
        <w:rPr>
          <w:rStyle w:val="SingleTxtGChar"/>
        </w:rPr>
        <w:t xml:space="preserve"> or mixtures thereof</w:t>
      </w:r>
      <w:r w:rsidR="00C340C7" w:rsidRPr="00DD14BE">
        <w:rPr>
          <w:rStyle w:val="SingleTxtGChar"/>
        </w:rPr>
        <w:t xml:space="preserve"> </w:t>
      </w:r>
      <w:r w:rsidR="00D76691" w:rsidRPr="00DD14BE">
        <w:rPr>
          <w:rStyle w:val="SingleTxtGChar"/>
        </w:rPr>
        <w:t xml:space="preserve">with a lower pressure </w:t>
      </w:r>
      <w:r w:rsidR="00C340C7" w:rsidRPr="00DD14BE">
        <w:rPr>
          <w:rStyle w:val="SingleTxtGChar"/>
        </w:rPr>
        <w:t xml:space="preserve">of </w:t>
      </w:r>
      <w:r w:rsidR="00D76691" w:rsidRPr="00DD14BE">
        <w:rPr>
          <w:rStyle w:val="SingleTxtGChar"/>
        </w:rPr>
        <w:t xml:space="preserve">usually </w:t>
      </w:r>
      <w:r w:rsidR="00C340C7" w:rsidRPr="00DD14BE">
        <w:rPr>
          <w:rStyle w:val="SingleTxtGChar"/>
        </w:rPr>
        <w:t>10 bar</w:t>
      </w:r>
      <w:r w:rsidR="00C340C7" w:rsidRPr="00BC2288">
        <w:rPr>
          <w:color w:val="000000"/>
          <w:lang w:val="en-US" w:eastAsia="en-GB"/>
        </w:rPr>
        <w:t>.</w:t>
      </w:r>
      <w:r w:rsidR="002034A1">
        <w:rPr>
          <w:color w:val="000000"/>
          <w:lang w:val="en-US" w:eastAsia="en-GB"/>
        </w:rPr>
        <w:tab/>
      </w:r>
      <w:r w:rsidR="00C340C7" w:rsidRPr="00BF4B32">
        <w:rPr>
          <w:color w:val="000000"/>
          <w:lang w:val="en-US" w:eastAsia="en-GB"/>
        </w:rPr>
        <w:br/>
      </w:r>
      <w:bookmarkStart w:id="0" w:name="_GoBack"/>
      <w:bookmarkEnd w:id="0"/>
      <w:r w:rsidR="00D606C5">
        <w:rPr>
          <w:lang w:val="en-US"/>
        </w:rPr>
        <w:lastRenderedPageBreak/>
        <w:t>Since the Joint</w:t>
      </w:r>
      <w:r w:rsidR="00EF4296">
        <w:rPr>
          <w:lang w:val="en-US"/>
        </w:rPr>
        <w:t xml:space="preserve"> meeting expressed its concerns on </w:t>
      </w:r>
      <w:r w:rsidR="00FA3A15">
        <w:rPr>
          <w:lang w:val="en-US"/>
        </w:rPr>
        <w:t xml:space="preserve">a possible </w:t>
      </w:r>
      <w:r w:rsidR="00EF4296">
        <w:rPr>
          <w:lang w:val="en-US"/>
        </w:rPr>
        <w:t xml:space="preserve">deviation of the SP 392, which </w:t>
      </w:r>
      <w:proofErr w:type="gramStart"/>
      <w:r w:rsidR="00FA3A15">
        <w:rPr>
          <w:lang w:val="en-US"/>
        </w:rPr>
        <w:t>was</w:t>
      </w:r>
      <w:r w:rsidR="00EF4296">
        <w:rPr>
          <w:lang w:val="en-US"/>
        </w:rPr>
        <w:t xml:space="preserve"> created</w:t>
      </w:r>
      <w:proofErr w:type="gramEnd"/>
      <w:r w:rsidR="00EF4296">
        <w:rPr>
          <w:lang w:val="en-US"/>
        </w:rPr>
        <w:t xml:space="preserve"> by the UN </w:t>
      </w:r>
      <w:proofErr w:type="spellStart"/>
      <w:r w:rsidR="00EF4296">
        <w:rPr>
          <w:lang w:val="en-US"/>
        </w:rPr>
        <w:t>SubCom</w:t>
      </w:r>
      <w:proofErr w:type="spellEnd"/>
      <w:r w:rsidR="00EF4296">
        <w:rPr>
          <w:lang w:val="en-US"/>
        </w:rPr>
        <w:t xml:space="preserve"> of ETDG, Germany follows the proposal to keep the SP 660 for purposes not being covered by SP 392. Following this</w:t>
      </w:r>
      <w:r w:rsidR="00FA3A15">
        <w:rPr>
          <w:lang w:val="en-US"/>
        </w:rPr>
        <w:t>,</w:t>
      </w:r>
      <w:r w:rsidR="00EF4296">
        <w:rPr>
          <w:lang w:val="en-US"/>
        </w:rPr>
        <w:t xml:space="preserve"> </w:t>
      </w:r>
      <w:r w:rsidR="00FA3A15">
        <w:rPr>
          <w:lang w:val="en-US"/>
        </w:rPr>
        <w:t xml:space="preserve">Germany </w:t>
      </w:r>
      <w:r w:rsidR="00EF4296">
        <w:rPr>
          <w:lang w:val="en-US"/>
        </w:rPr>
        <w:t>propose</w:t>
      </w:r>
      <w:r w:rsidR="00FA3A15">
        <w:rPr>
          <w:lang w:val="en-US"/>
        </w:rPr>
        <w:t>s</w:t>
      </w:r>
      <w:r w:rsidR="00EF4296">
        <w:rPr>
          <w:lang w:val="en-US"/>
        </w:rPr>
        <w:t xml:space="preserve"> to keep the SP 660 with the following wording.</w:t>
      </w:r>
      <w:r w:rsidR="00D606C5">
        <w:rPr>
          <w:lang w:val="en-US"/>
        </w:rPr>
        <w:t xml:space="preserve"> </w:t>
      </w:r>
    </w:p>
    <w:p w14:paraId="5512F170" w14:textId="77777777" w:rsidR="001E44B6" w:rsidRDefault="001E44B6" w:rsidP="00DD14BE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Proposal</w:t>
      </w:r>
      <w:r w:rsidR="00901E27">
        <w:rPr>
          <w:lang w:val="en-US"/>
        </w:rPr>
        <w:t xml:space="preserve"> </w:t>
      </w:r>
    </w:p>
    <w:p w14:paraId="52C5366B" w14:textId="77777777" w:rsidR="00CA68AD" w:rsidRDefault="00CA68AD" w:rsidP="00CA68AD">
      <w:pPr>
        <w:pStyle w:val="SingleTxtG"/>
      </w:pPr>
      <w:r>
        <w:t>Substitute the text of the current SP 660 by</w:t>
      </w:r>
    </w:p>
    <w:p w14:paraId="72C593D0" w14:textId="23767679" w:rsidR="00CA68AD" w:rsidRDefault="00CA68AD" w:rsidP="00CA68AD">
      <w:pPr>
        <w:pStyle w:val="SingleTxtG"/>
      </w:pPr>
      <w:proofErr w:type="gramStart"/>
      <w:r>
        <w:t>“660</w:t>
      </w:r>
      <w:r w:rsidRPr="00AA128D">
        <w:t xml:space="preserve"> </w:t>
      </w:r>
      <w:r w:rsidRPr="00AA128D">
        <w:tab/>
      </w:r>
      <w:r w:rsidR="00B15561" w:rsidRPr="00AA128D">
        <w:t>For the carriage of fuel gas containment systems designed and approved to be fitted in motor vehicles containing this gas the provisions of sub-section 4.1.4.1 and Chapter 6.2 of RID/ADR need not be applied when carried for disposal, recycling, repair, inspection, maintenance or from where they are manufactured to a vehicle assembly plant, provided the conditions</w:t>
      </w:r>
      <w:r w:rsidR="00F62AD7">
        <w:t xml:space="preserve"> </w:t>
      </w:r>
      <w:r w:rsidR="00437911">
        <w:t xml:space="preserve">described in </w:t>
      </w:r>
      <w:r>
        <w:t xml:space="preserve">SP 392 </w:t>
      </w:r>
      <w:r w:rsidR="00F62AD7">
        <w:t xml:space="preserve">are </w:t>
      </w:r>
      <w:r w:rsidR="009B17DF">
        <w:t>met</w:t>
      </w:r>
      <w:r w:rsidR="00A96E39">
        <w:t>.</w:t>
      </w:r>
      <w:proofErr w:type="gramEnd"/>
      <w:r w:rsidR="00A96E39">
        <w:t xml:space="preserve"> This is also </w:t>
      </w:r>
      <w:r w:rsidR="009A0E46">
        <w:t xml:space="preserve">applies </w:t>
      </w:r>
      <w:r w:rsidR="00A96E39">
        <w:t xml:space="preserve">for mixtures of gases </w:t>
      </w:r>
      <w:r w:rsidR="009A0E46">
        <w:t>subject  to</w:t>
      </w:r>
      <w:r w:rsidR="00A96E39">
        <w:t xml:space="preserve"> SP 392 and gases of group A </w:t>
      </w:r>
      <w:r w:rsidR="009A0E46">
        <w:t>subject to</w:t>
      </w:r>
      <w:r w:rsidR="00A96E39">
        <w:t xml:space="preserve"> this</w:t>
      </w:r>
      <w:r w:rsidR="00BD50D0">
        <w:t xml:space="preserve"> SP</w:t>
      </w:r>
      <w:r w:rsidR="009A0E46">
        <w:t>.</w:t>
      </w:r>
      <w:r w:rsidR="00E64547">
        <w:t>”</w:t>
      </w:r>
      <w:r w:rsidR="00F23B11">
        <w:t xml:space="preserve"> </w:t>
      </w:r>
    </w:p>
    <w:p w14:paraId="20C496D0" w14:textId="3CA1D2F0" w:rsidR="00CA68AD" w:rsidRDefault="00CA68AD" w:rsidP="00CA68AD">
      <w:pPr>
        <w:pStyle w:val="SingleTxtG"/>
      </w:pPr>
      <w:r w:rsidRPr="009A0E46">
        <w:t>For UN Nos. 1002, 1006, 1013, 1046, 1056, 1058, 1065, 1066, 1070, 1072, 1080, 1952, 1956, 2036, 2073, 2451, 3070, 3156, 3157, 3163, 3297, 3298, 3299, (all gases of Group A and O or mixtures thereof) in the classification Code</w:t>
      </w:r>
      <w:r w:rsidRPr="00DD14BE">
        <w:t xml:space="preserve"> insert “</w:t>
      </w:r>
      <w:r>
        <w:t>660</w:t>
      </w:r>
      <w:r w:rsidRPr="00DD14BE">
        <w:t>”</w:t>
      </w:r>
      <w:r w:rsidR="00437911">
        <w:t xml:space="preserve"> </w:t>
      </w:r>
      <w:r w:rsidR="00437911" w:rsidRPr="00DD14BE">
        <w:t>in column (6)</w:t>
      </w:r>
      <w:r w:rsidR="00437911">
        <w:t>.</w:t>
      </w:r>
    </w:p>
    <w:p w14:paraId="54988E44" w14:textId="77777777" w:rsidR="00DD14BE" w:rsidRPr="00DC2858" w:rsidRDefault="00DD14BE" w:rsidP="00DD14B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sectPr w:rsidR="00DD14BE" w:rsidRPr="00DC2858" w:rsidSect="00C34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701" w:right="1134" w:bottom="993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9A749" w14:textId="77777777" w:rsidR="00483682" w:rsidRDefault="00483682">
      <w:pPr>
        <w:spacing w:line="240" w:lineRule="auto"/>
      </w:pPr>
      <w:r>
        <w:separator/>
      </w:r>
    </w:p>
  </w:endnote>
  <w:endnote w:type="continuationSeparator" w:id="0">
    <w:p w14:paraId="1386DACE" w14:textId="77777777" w:rsidR="00483682" w:rsidRDefault="00483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33226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A0603" w14:textId="2842D508" w:rsidR="00E023B1" w:rsidRPr="00E023B1" w:rsidRDefault="00D668B3">
        <w:pPr>
          <w:pStyle w:val="Footer"/>
          <w:rPr>
            <w:sz w:val="18"/>
            <w:szCs w:val="18"/>
          </w:rPr>
        </w:pPr>
        <w:r w:rsidRPr="00BE3581">
          <w:rPr>
            <w:b/>
            <w:sz w:val="18"/>
            <w:szCs w:val="18"/>
          </w:rPr>
          <w:fldChar w:fldCharType="begin"/>
        </w:r>
        <w:r w:rsidR="00E023B1" w:rsidRPr="00BE3581">
          <w:rPr>
            <w:b/>
            <w:sz w:val="18"/>
            <w:szCs w:val="18"/>
          </w:rPr>
          <w:instrText xml:space="preserve"> PAGE   \* MERGEFORMAT </w:instrText>
        </w:r>
        <w:r w:rsidRPr="00BE3581">
          <w:rPr>
            <w:b/>
            <w:sz w:val="18"/>
            <w:szCs w:val="18"/>
          </w:rPr>
          <w:fldChar w:fldCharType="separate"/>
        </w:r>
        <w:r w:rsidR="008623CA">
          <w:rPr>
            <w:b/>
            <w:noProof/>
            <w:sz w:val="18"/>
            <w:szCs w:val="18"/>
          </w:rPr>
          <w:t>2</w:t>
        </w:r>
        <w:r w:rsidRPr="00BE358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1164359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DA8A9" w14:textId="77777777" w:rsidR="00E023B1" w:rsidRPr="00E023B1" w:rsidRDefault="00D668B3">
        <w:pPr>
          <w:pStyle w:val="Footer"/>
          <w:jc w:val="right"/>
          <w:rPr>
            <w:b/>
            <w:sz w:val="18"/>
            <w:szCs w:val="18"/>
          </w:rPr>
        </w:pPr>
        <w:r w:rsidRPr="00E023B1">
          <w:rPr>
            <w:b/>
            <w:sz w:val="18"/>
            <w:szCs w:val="18"/>
          </w:rPr>
          <w:fldChar w:fldCharType="begin"/>
        </w:r>
        <w:r w:rsidR="00E023B1" w:rsidRPr="00E023B1">
          <w:rPr>
            <w:b/>
            <w:sz w:val="18"/>
            <w:szCs w:val="18"/>
          </w:rPr>
          <w:instrText xml:space="preserve"> PAGE   \* MERGEFORMAT </w:instrText>
        </w:r>
        <w:r w:rsidRPr="00E023B1">
          <w:rPr>
            <w:b/>
            <w:sz w:val="18"/>
            <w:szCs w:val="18"/>
          </w:rPr>
          <w:fldChar w:fldCharType="separate"/>
        </w:r>
        <w:r w:rsidR="00437911">
          <w:rPr>
            <w:b/>
            <w:noProof/>
            <w:sz w:val="18"/>
            <w:szCs w:val="18"/>
          </w:rPr>
          <w:t>3</w:t>
        </w:r>
        <w:r w:rsidRPr="00E023B1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22E22" w14:textId="77777777" w:rsidR="00483682" w:rsidRDefault="00483682">
      <w:r>
        <w:separator/>
      </w:r>
    </w:p>
  </w:footnote>
  <w:footnote w:type="continuationSeparator" w:id="0">
    <w:p w14:paraId="0C1674D7" w14:textId="77777777" w:rsidR="00483682" w:rsidRDefault="0048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9025" w14:textId="059CA1A2" w:rsidR="00E023B1" w:rsidRPr="00E023B1" w:rsidRDefault="001E44B6" w:rsidP="00E023B1">
    <w:pPr>
      <w:pStyle w:val="Header"/>
      <w:pBdr>
        <w:bottom w:val="single" w:sz="4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INF.</w:t>
    </w:r>
    <w:r w:rsidR="008623CA">
      <w:rPr>
        <w:b/>
        <w:sz w:val="18"/>
        <w:szCs w:val="18"/>
      </w:rPr>
      <w:t>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5CD5" w14:textId="77777777" w:rsidR="00E023B1" w:rsidRPr="00E023B1" w:rsidRDefault="001E44B6" w:rsidP="00E023B1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b/>
        <w:sz w:val="18"/>
        <w:szCs w:val="18"/>
      </w:rPr>
      <w:t>INF.16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444F" w14:textId="43174549" w:rsidR="00E023B1" w:rsidRPr="00E023B1" w:rsidRDefault="00E023B1" w:rsidP="00E023B1">
    <w:pPr>
      <w:pStyle w:val="Header"/>
      <w:pBdr>
        <w:bottom w:val="single" w:sz="4" w:space="1" w:color="auto"/>
      </w:pBdr>
      <w:jc w:val="right"/>
      <w:rPr>
        <w:b/>
        <w:sz w:val="28"/>
        <w:szCs w:val="28"/>
      </w:rPr>
    </w:pPr>
    <w:r w:rsidRPr="00E023B1">
      <w:rPr>
        <w:b/>
        <w:sz w:val="28"/>
        <w:szCs w:val="28"/>
      </w:rPr>
      <w:t>INF.</w:t>
    </w:r>
    <w:r w:rsidR="008623CA">
      <w:rPr>
        <w:b/>
        <w:sz w:val="28"/>
        <w:szCs w:val="28"/>
      </w:rPr>
      <w:t>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</w:lvl>
    <w:lvl w:ilvl="3" w:tplc="100C000F" w:tentative="1">
      <w:start w:val="1"/>
      <w:numFmt w:val="decimal"/>
      <w:lvlText w:val="%4."/>
      <w:lvlJc w:val="left"/>
      <w:pPr>
        <w:ind w:left="3797" w:hanging="360"/>
      </w:p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</w:lvl>
    <w:lvl w:ilvl="6" w:tplc="100C000F" w:tentative="1">
      <w:start w:val="1"/>
      <w:numFmt w:val="decimal"/>
      <w:lvlText w:val="%7."/>
      <w:lvlJc w:val="left"/>
      <w:pPr>
        <w:ind w:left="5957" w:hanging="360"/>
      </w:p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6A022096"/>
    <w:multiLevelType w:val="hybridMultilevel"/>
    <w:tmpl w:val="47A28D8C"/>
    <w:lvl w:ilvl="0" w:tplc="C284F9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73"/>
    <w:rsid w:val="0006230C"/>
    <w:rsid w:val="00065872"/>
    <w:rsid w:val="000671F5"/>
    <w:rsid w:val="000706EE"/>
    <w:rsid w:val="00077E9A"/>
    <w:rsid w:val="000B4AE8"/>
    <w:rsid w:val="00106F25"/>
    <w:rsid w:val="00121296"/>
    <w:rsid w:val="00152473"/>
    <w:rsid w:val="001A1E62"/>
    <w:rsid w:val="001B3246"/>
    <w:rsid w:val="001D39C9"/>
    <w:rsid w:val="001E44B6"/>
    <w:rsid w:val="002034A1"/>
    <w:rsid w:val="0022753C"/>
    <w:rsid w:val="00233A5A"/>
    <w:rsid w:val="00241A54"/>
    <w:rsid w:val="002976EF"/>
    <w:rsid w:val="002D4DB9"/>
    <w:rsid w:val="003050B9"/>
    <w:rsid w:val="00346154"/>
    <w:rsid w:val="00361661"/>
    <w:rsid w:val="003E5DDB"/>
    <w:rsid w:val="00437911"/>
    <w:rsid w:val="00442AD8"/>
    <w:rsid w:val="0046040B"/>
    <w:rsid w:val="00472224"/>
    <w:rsid w:val="00483682"/>
    <w:rsid w:val="0048513F"/>
    <w:rsid w:val="004C4BF9"/>
    <w:rsid w:val="00520D96"/>
    <w:rsid w:val="00521F1D"/>
    <w:rsid w:val="0052765A"/>
    <w:rsid w:val="00545911"/>
    <w:rsid w:val="00582C34"/>
    <w:rsid w:val="005A249B"/>
    <w:rsid w:val="005D11AC"/>
    <w:rsid w:val="00617467"/>
    <w:rsid w:val="00622DEB"/>
    <w:rsid w:val="00677416"/>
    <w:rsid w:val="006B020C"/>
    <w:rsid w:val="006C4935"/>
    <w:rsid w:val="00716D12"/>
    <w:rsid w:val="00744093"/>
    <w:rsid w:val="00750BD4"/>
    <w:rsid w:val="007567E0"/>
    <w:rsid w:val="00774666"/>
    <w:rsid w:val="007A45F4"/>
    <w:rsid w:val="007C38B5"/>
    <w:rsid w:val="007C735B"/>
    <w:rsid w:val="008623CA"/>
    <w:rsid w:val="00877F4B"/>
    <w:rsid w:val="008A49FA"/>
    <w:rsid w:val="008B1779"/>
    <w:rsid w:val="008C640D"/>
    <w:rsid w:val="00901E27"/>
    <w:rsid w:val="00904BF4"/>
    <w:rsid w:val="00925903"/>
    <w:rsid w:val="009A0E46"/>
    <w:rsid w:val="009B17DF"/>
    <w:rsid w:val="009C2A89"/>
    <w:rsid w:val="009F0BA5"/>
    <w:rsid w:val="009F287F"/>
    <w:rsid w:val="00A04E5D"/>
    <w:rsid w:val="00A0681F"/>
    <w:rsid w:val="00A2660A"/>
    <w:rsid w:val="00A454CA"/>
    <w:rsid w:val="00A96E39"/>
    <w:rsid w:val="00AC6409"/>
    <w:rsid w:val="00AE261B"/>
    <w:rsid w:val="00AE705C"/>
    <w:rsid w:val="00B15561"/>
    <w:rsid w:val="00B179FB"/>
    <w:rsid w:val="00B2774E"/>
    <w:rsid w:val="00B3602D"/>
    <w:rsid w:val="00B75A27"/>
    <w:rsid w:val="00BC2288"/>
    <w:rsid w:val="00BC4262"/>
    <w:rsid w:val="00BD50D0"/>
    <w:rsid w:val="00BE3581"/>
    <w:rsid w:val="00BF0DC4"/>
    <w:rsid w:val="00BF4B32"/>
    <w:rsid w:val="00C32222"/>
    <w:rsid w:val="00C340C7"/>
    <w:rsid w:val="00CA68AD"/>
    <w:rsid w:val="00D606C5"/>
    <w:rsid w:val="00D668B3"/>
    <w:rsid w:val="00D76691"/>
    <w:rsid w:val="00D81880"/>
    <w:rsid w:val="00D924DC"/>
    <w:rsid w:val="00DC1883"/>
    <w:rsid w:val="00DC5F68"/>
    <w:rsid w:val="00DD14BE"/>
    <w:rsid w:val="00E023B1"/>
    <w:rsid w:val="00E610C2"/>
    <w:rsid w:val="00E64547"/>
    <w:rsid w:val="00E92929"/>
    <w:rsid w:val="00EE3B23"/>
    <w:rsid w:val="00EF22DA"/>
    <w:rsid w:val="00EF4296"/>
    <w:rsid w:val="00F133F9"/>
    <w:rsid w:val="00F15D20"/>
    <w:rsid w:val="00F23B11"/>
    <w:rsid w:val="00F255C5"/>
    <w:rsid w:val="00F62AD7"/>
    <w:rsid w:val="00FA3A15"/>
    <w:rsid w:val="00FB6F68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C48A6"/>
  <w15:docId w15:val="{8EEC8227-C083-4791-B31C-57500731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ED7A2A"/>
    <w:pPr>
      <w:widowControl w:val="0"/>
      <w:outlineLvl w:val="0"/>
    </w:pPr>
  </w:style>
  <w:style w:type="paragraph" w:customStyle="1" w:styleId="Titre2">
    <w:name w:val="Titre 2"/>
    <w:basedOn w:val="Normal"/>
    <w:next w:val="Normal"/>
    <w:qFormat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pPr>
      <w:spacing w:line="240" w:lineRule="auto"/>
      <w:outlineLvl w:val="8"/>
    </w:pPr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uiPriority w:val="99"/>
    <w:qFormat/>
    <w:rsid w:val="007B6BA5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Pr>
      <w:sz w:val="6"/>
    </w:rPr>
  </w:style>
  <w:style w:type="character" w:styleId="LineNumber">
    <w:name w:val="line number"/>
    <w:semiHidden/>
    <w:qFormat/>
    <w:rPr>
      <w:sz w:val="14"/>
    </w:rPr>
  </w:style>
  <w:style w:type="character" w:customStyle="1" w:styleId="Accentuation">
    <w:name w:val="Accentuation"/>
    <w:qFormat/>
    <w:rsid w:val="008A6C4F"/>
    <w:rPr>
      <w:i/>
      <w:iCs/>
    </w:rPr>
  </w:style>
  <w:style w:type="character" w:styleId="FollowedHyperlink">
    <w:name w:val="FollowedHyperlink"/>
    <w:semiHidden/>
    <w:qFormat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semiHidden/>
    <w:rsid w:val="008A6C4F"/>
    <w:rPr>
      <w:color w:val="0000FF"/>
      <w:u w:val="singl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qFormat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HeaderChar">
    <w:name w:val="Header Char"/>
    <w:link w:val="En-tte"/>
    <w:uiPriority w:val="99"/>
    <w:qFormat/>
    <w:rsid w:val="0022321E"/>
    <w:rPr>
      <w:b/>
      <w:sz w:val="18"/>
      <w:lang w:eastAsia="en-US"/>
    </w:rPr>
  </w:style>
  <w:style w:type="character" w:customStyle="1" w:styleId="FootnoteTextChar">
    <w:name w:val="Footnote Text Char"/>
    <w:link w:val="FootnoteText"/>
    <w:uiPriority w:val="99"/>
    <w:qFormat/>
    <w:rsid w:val="00A12E50"/>
    <w:rPr>
      <w:sz w:val="18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 w:val="0"/>
      <w:i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i w:val="0"/>
      <w:sz w:val="20"/>
      <w:szCs w:val="20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0"/>
    </w:rPr>
  </w:style>
  <w:style w:type="character" w:customStyle="1" w:styleId="ListLabel23">
    <w:name w:val="ListLabel 23"/>
    <w:qFormat/>
    <w:rPr>
      <w:rFonts w:cs="Times New Roman"/>
      <w:b w:val="0"/>
      <w:i w:val="0"/>
      <w:sz w:val="20"/>
    </w:rPr>
  </w:style>
  <w:style w:type="character" w:customStyle="1" w:styleId="ListLabel24">
    <w:name w:val="ListLabel 24"/>
    <w:qFormat/>
    <w:rPr>
      <w:rFonts w:cs="Times New Roman"/>
      <w:b w:val="0"/>
      <w:i w:val="0"/>
      <w:sz w:val="20"/>
    </w:rPr>
  </w:style>
  <w:style w:type="character" w:customStyle="1" w:styleId="ListLabel25">
    <w:name w:val="ListLabel 25"/>
    <w:qFormat/>
    <w:rPr>
      <w:rFonts w:cs="Times New Roman"/>
      <w:b w:val="0"/>
      <w:i w:val="0"/>
      <w:sz w:val="20"/>
    </w:rPr>
  </w:style>
  <w:style w:type="character" w:customStyle="1" w:styleId="ListLabel26">
    <w:name w:val="ListLabel 26"/>
    <w:qFormat/>
    <w:rPr>
      <w:rFonts w:cs="Times New Roman"/>
      <w:b w:val="0"/>
      <w:i w:val="0"/>
      <w:sz w:val="20"/>
    </w:rPr>
  </w:style>
  <w:style w:type="character" w:customStyle="1" w:styleId="ListLabel27">
    <w:name w:val="ListLabel 27"/>
    <w:qFormat/>
    <w:rPr>
      <w:rFonts w:cs="Times New Roman"/>
      <w:b w:val="0"/>
      <w:i w:val="0"/>
      <w:sz w:val="20"/>
    </w:rPr>
  </w:style>
  <w:style w:type="character" w:customStyle="1" w:styleId="ListLabel28">
    <w:name w:val="ListLabel 28"/>
    <w:qFormat/>
    <w:rPr>
      <w:rFonts w:cs="Times New Roman"/>
      <w:b w:val="0"/>
      <w:i w:val="0"/>
      <w:sz w:val="20"/>
    </w:rPr>
  </w:style>
  <w:style w:type="character" w:customStyle="1" w:styleId="ListLabel29">
    <w:name w:val="ListLabel 29"/>
    <w:qFormat/>
    <w:rPr>
      <w:rFonts w:cs="Times New Roman"/>
      <w:b w:val="0"/>
      <w:i w:val="0"/>
      <w:sz w:val="20"/>
    </w:rPr>
  </w:style>
  <w:style w:type="character" w:customStyle="1" w:styleId="ListLabel30">
    <w:name w:val="ListLabel 30"/>
    <w:qFormat/>
    <w:rPr>
      <w:rFonts w:cs="Times New Roman"/>
      <w:b w:val="0"/>
      <w:i w:val="0"/>
      <w:sz w:val="20"/>
    </w:rPr>
  </w:style>
  <w:style w:type="character" w:customStyle="1" w:styleId="ListLabel31">
    <w:name w:val="ListLabel 31"/>
    <w:qFormat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</w:rPr>
  </w:style>
  <w:style w:type="character" w:customStyle="1" w:styleId="ListLabel33">
    <w:name w:val="ListLabel 33"/>
    <w:qFormat/>
    <w:rPr>
      <w:rFonts w:cs="Times New Roman"/>
      <w:b w:val="0"/>
      <w:i w:val="0"/>
      <w:sz w:val="20"/>
    </w:rPr>
  </w:style>
  <w:style w:type="character" w:customStyle="1" w:styleId="ListLabel34">
    <w:name w:val="ListLabel 34"/>
    <w:qFormat/>
    <w:rPr>
      <w:rFonts w:cs="Times New Roman"/>
      <w:b w:val="0"/>
      <w:i w:val="0"/>
      <w:sz w:val="20"/>
    </w:rPr>
  </w:style>
  <w:style w:type="character" w:customStyle="1" w:styleId="ListLabel35">
    <w:name w:val="ListLabel 35"/>
    <w:qFormat/>
    <w:rPr>
      <w:rFonts w:cs="Times New Roman"/>
      <w:b w:val="0"/>
      <w:i w:val="0"/>
      <w:sz w:val="20"/>
    </w:rPr>
  </w:style>
  <w:style w:type="character" w:customStyle="1" w:styleId="ListLabel36">
    <w:name w:val="ListLabel 36"/>
    <w:qFormat/>
    <w:rPr>
      <w:rFonts w:cs="Times New Roman"/>
      <w:b w:val="0"/>
      <w:i w:val="0"/>
      <w:sz w:val="2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  <w:sz w:val="16"/>
      <w:szCs w:val="16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semiHidden/>
  </w:style>
  <w:style w:type="paragraph" w:customStyle="1" w:styleId="Liste1">
    <w:name w:val="Liste1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qFormat/>
    <w:pPr>
      <w:widowControl w:val="0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Pr>
      <w:rFonts w:cs="Courier New"/>
    </w:rPr>
  </w:style>
  <w:style w:type="paragraph" w:customStyle="1" w:styleId="Retraitdecorpsdetexte">
    <w:name w:val="Retrait de corps de texte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qFormat/>
    <w:pPr>
      <w:ind w:left="1440" w:right="1440"/>
    </w:p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7B6BA5"/>
  </w:style>
  <w:style w:type="paragraph" w:styleId="CommentText">
    <w:name w:val="annotation text"/>
    <w:basedOn w:val="Normal"/>
    <w:link w:val="CommentTextChar"/>
    <w:semiHidden/>
    <w:qFormat/>
  </w:style>
  <w:style w:type="paragraph" w:customStyle="1" w:styleId="Bullet2G">
    <w:name w:val="_Bullet 2_G"/>
    <w:basedOn w:val="Normal"/>
    <w:qFormat/>
    <w:rsid w:val="003C2CC4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8878DE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link w:val="HeaderChar"/>
    <w:uiPriority w:val="99"/>
    <w:rsid w:val="00050F6B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qFormat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qFormat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016E63"/>
    <w:rPr>
      <w:color w:val="000000"/>
      <w:sz w:val="24"/>
      <w:szCs w:val="24"/>
    </w:rPr>
  </w:style>
  <w:style w:type="paragraph" w:customStyle="1" w:styleId="Notedebasdepage">
    <w:name w:val="Note de bas de page"/>
    <w:basedOn w:val="Normal"/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B17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79"/>
    <w:rPr>
      <w:lang w:eastAsia="en-US"/>
    </w:rPr>
  </w:style>
  <w:style w:type="paragraph" w:styleId="NoSpacing">
    <w:name w:val="No Spacing"/>
    <w:uiPriority w:val="1"/>
    <w:qFormat/>
    <w:rsid w:val="00E610C2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styleId="Hyperlink">
    <w:name w:val="Hyperlink"/>
    <w:uiPriority w:val="99"/>
    <w:semiHidden/>
    <w:rsid w:val="001E44B6"/>
    <w:rPr>
      <w:rFonts w:cs="Times New Roman"/>
      <w:color w:val="auto"/>
      <w:u w:val="none"/>
    </w:rPr>
  </w:style>
  <w:style w:type="character" w:customStyle="1" w:styleId="SingleTxtGZchnZchn">
    <w:name w:val="_ Single Txt_G Zchn Zchn"/>
    <w:rsid w:val="00AC64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2A89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C2A8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C2A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12CD-5ADC-4746-9449-3068F4BB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3032</Characters>
  <Application>Microsoft Office Word</Application>
  <DocSecurity>0</DocSecurity>
  <Lines>94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2017-09-26T10:08:00Z</cp:lastPrinted>
  <dcterms:created xsi:type="dcterms:W3CDTF">2017-09-26T10:06:00Z</dcterms:created>
  <dcterms:modified xsi:type="dcterms:W3CDTF">2017-09-26T10:08:00Z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