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62680E" w14:paraId="49916307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71BE8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66E9E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E8D58" w14:textId="7AE6851F" w:rsidR="00B56E9C" w:rsidRPr="0062680E" w:rsidRDefault="00CD57D2" w:rsidP="008C0F4E">
            <w:pPr>
              <w:suppressAutoHyphens w:val="0"/>
              <w:spacing w:after="20"/>
              <w:jc w:val="right"/>
              <w:rPr>
                <w:b/>
                <w:sz w:val="24"/>
                <w:szCs w:val="24"/>
                <w:highlight w:val="yellow"/>
              </w:rPr>
            </w:pPr>
            <w:r w:rsidRPr="008C0F4E">
              <w:rPr>
                <w:b/>
                <w:sz w:val="24"/>
                <w:szCs w:val="24"/>
              </w:rPr>
              <w:t>INF.</w:t>
            </w:r>
            <w:r w:rsidR="008C0F4E">
              <w:rPr>
                <w:b/>
                <w:sz w:val="24"/>
                <w:szCs w:val="24"/>
              </w:rPr>
              <w:t>12</w:t>
            </w:r>
          </w:p>
        </w:tc>
      </w:tr>
    </w:tbl>
    <w:p w14:paraId="6990D95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4EE9141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F4762B8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0A333A3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5D81B270" w14:textId="11E743AE" w:rsidR="008C0F4E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375146">
        <w:rPr>
          <w:b/>
        </w:rPr>
        <w:tab/>
      </w:r>
      <w:r w:rsidR="00375146">
        <w:rPr>
          <w:b/>
        </w:rPr>
        <w:tab/>
      </w:r>
      <w:r w:rsidR="00375146">
        <w:rPr>
          <w:b/>
        </w:rPr>
        <w:tab/>
      </w:r>
      <w:r w:rsidR="00375146">
        <w:rPr>
          <w:b/>
        </w:rPr>
        <w:tab/>
      </w:r>
      <w:r w:rsidR="00375146">
        <w:rPr>
          <w:b/>
        </w:rPr>
        <w:tab/>
        <w:t>23 August 2017</w:t>
      </w:r>
      <w:bookmarkStart w:id="0" w:name="_GoBack"/>
      <w:bookmarkEnd w:id="0"/>
    </w:p>
    <w:p w14:paraId="7E600D9E" w14:textId="77777777" w:rsidR="009D2A5B" w:rsidRDefault="005501AB" w:rsidP="008C0F4E">
      <w:pPr>
        <w:spacing w:before="120"/>
      </w:pPr>
      <w:r>
        <w:t>Geneva</w:t>
      </w:r>
      <w:r w:rsidR="00BB7CD1">
        <w:t xml:space="preserve">, </w:t>
      </w:r>
      <w:r w:rsidR="00D65303">
        <w:t>1</w:t>
      </w:r>
      <w:r>
        <w:t>9</w:t>
      </w:r>
      <w:r w:rsidR="003B311A">
        <w:t>-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A47A60">
        <w:t>7</w:t>
      </w:r>
    </w:p>
    <w:p w14:paraId="45F75870" w14:textId="2502FE60" w:rsidR="00AE4840" w:rsidRPr="00A55B4D" w:rsidRDefault="00AE4840" w:rsidP="00AE4840">
      <w:r w:rsidRPr="00A55B4D">
        <w:t xml:space="preserve">Item </w:t>
      </w:r>
      <w:r w:rsidR="005A14F3">
        <w:t>4</w:t>
      </w:r>
      <w:r w:rsidR="005501AB">
        <w:t xml:space="preserve"> </w:t>
      </w:r>
      <w:r w:rsidRPr="00A55B4D">
        <w:t>of the provisional agenda</w:t>
      </w:r>
    </w:p>
    <w:p w14:paraId="7F3E70AA" w14:textId="2F1AD937" w:rsidR="00ED7EE7" w:rsidRPr="005A14F3" w:rsidRDefault="005A14F3" w:rsidP="00AE4840">
      <w:pPr>
        <w:rPr>
          <w:b/>
        </w:rPr>
      </w:pPr>
      <w:r w:rsidRPr="005A14F3">
        <w:rPr>
          <w:b/>
          <w:bCs/>
        </w:rPr>
        <w:t xml:space="preserve">Harmonisation with the UN Recommendations </w:t>
      </w:r>
      <w:r>
        <w:rPr>
          <w:b/>
          <w:bCs/>
        </w:rPr>
        <w:br/>
      </w:r>
      <w:r w:rsidRPr="005A14F3">
        <w:rPr>
          <w:b/>
          <w:bCs/>
        </w:rPr>
        <w:t>on the Transport of Dangerous Goods</w:t>
      </w:r>
    </w:p>
    <w:p w14:paraId="4AA3746C" w14:textId="67D5CE27" w:rsidR="00D35469" w:rsidRPr="003F1111" w:rsidRDefault="008C0F4E" w:rsidP="008C0F4E">
      <w:pPr>
        <w:pStyle w:val="HChG"/>
      </w:pPr>
      <w:r>
        <w:tab/>
      </w:r>
      <w:r>
        <w:tab/>
      </w:r>
      <w:r w:rsidR="00D35469" w:rsidRPr="003F1111">
        <w:t>Further amendment to provision 2.2.51.2.2 for fertilizers</w:t>
      </w:r>
    </w:p>
    <w:p w14:paraId="259532E0" w14:textId="6446BDB1" w:rsidR="005A14F3" w:rsidRDefault="00D95C8A" w:rsidP="00D95C8A">
      <w:pPr>
        <w:pStyle w:val="H1G"/>
      </w:pPr>
      <w:r>
        <w:tab/>
      </w:r>
      <w:r>
        <w:tab/>
      </w:r>
      <w:r w:rsidRPr="009C74F9">
        <w:t xml:space="preserve">Transmitted by the </w:t>
      </w:r>
      <w:r>
        <w:t xml:space="preserve">Government of </w:t>
      </w:r>
      <w:r w:rsidR="00D35469">
        <w:t>Sweden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5A14F3" w:rsidRPr="00835C1F" w14:paraId="28B7D210" w14:textId="77777777" w:rsidTr="005A14F3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57F9E44A" w14:textId="77777777" w:rsidR="005A14F3" w:rsidRPr="00E62341" w:rsidRDefault="005A14F3" w:rsidP="00E441CC">
            <w:pPr>
              <w:tabs>
                <w:tab w:val="left" w:pos="255"/>
              </w:tabs>
              <w:suppressAutoHyphens w:val="0"/>
              <w:spacing w:before="120" w:after="120"/>
              <w:rPr>
                <w:rFonts w:eastAsia="Arial"/>
                <w:sz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5A14F3" w:rsidRPr="00E62341" w14:paraId="0A5737AB" w14:textId="77777777" w:rsidTr="005A14F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2F0267DC" w14:textId="0E34C381" w:rsidR="005A14F3" w:rsidRPr="00D35469" w:rsidRDefault="005A14F3" w:rsidP="00D35469">
            <w:pPr>
              <w:pStyle w:val="SingleTxtG"/>
              <w:ind w:left="3402" w:hanging="2268"/>
              <w:rPr>
                <w:b/>
                <w:szCs w:val="22"/>
                <w:lang w:val="en-GB"/>
              </w:rPr>
            </w:pPr>
            <w:r w:rsidRPr="00835C1F">
              <w:rPr>
                <w:b/>
                <w:szCs w:val="22"/>
                <w:lang w:val="en-GB"/>
              </w:rPr>
              <w:t>Executive</w:t>
            </w:r>
            <w:r w:rsidRPr="00E62341">
              <w:rPr>
                <w:b/>
                <w:szCs w:val="22"/>
              </w:rPr>
              <w:t xml:space="preserve">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D35469" w:rsidRPr="00D35469">
              <w:rPr>
                <w:lang w:val="en-GB"/>
              </w:rPr>
              <w:t>Further amendments to provision 2.2.51.2.2</w:t>
            </w:r>
            <w:r w:rsidR="00D35469">
              <w:rPr>
                <w:lang w:val="en-GB"/>
              </w:rPr>
              <w:t>, thirteenth indent, in order to align it with the United Nations Model Regulations while keeping the current level of safety</w:t>
            </w:r>
          </w:p>
        </w:tc>
      </w:tr>
      <w:tr w:rsidR="005A14F3" w:rsidRPr="00E62341" w14:paraId="35F8186A" w14:textId="77777777" w:rsidTr="005A14F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EFF5F4E" w14:textId="193CDEBE" w:rsidR="005A14F3" w:rsidRPr="00E62341" w:rsidRDefault="005A14F3" w:rsidP="00D35469">
            <w:pPr>
              <w:pStyle w:val="SingleTxtG"/>
              <w:ind w:left="0"/>
              <w:rPr>
                <w:rFonts w:eastAsia="Arial"/>
              </w:rPr>
            </w:pPr>
          </w:p>
        </w:tc>
      </w:tr>
      <w:tr w:rsidR="005A14F3" w:rsidRPr="00E132FB" w14:paraId="2A2629CF" w14:textId="77777777" w:rsidTr="005A14F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5"/>
            </w:tblGrid>
            <w:tr w:rsidR="00D35469" w:rsidRPr="00D35469" w14:paraId="2D5BEA04" w14:textId="77777777">
              <w:trPr>
                <w:trHeight w:val="269"/>
              </w:trPr>
              <w:tc>
                <w:tcPr>
                  <w:tcW w:w="0" w:type="auto"/>
                </w:tcPr>
                <w:p w14:paraId="70D8199F" w14:textId="1052A2D6" w:rsidR="00D35469" w:rsidRPr="00D35469" w:rsidRDefault="005A14F3" w:rsidP="008C0F4E">
                  <w:pPr>
                    <w:pStyle w:val="SingleTxtG"/>
                    <w:ind w:left="3402" w:hanging="2268"/>
                    <w:rPr>
                      <w:lang w:val="en-GB"/>
                    </w:rPr>
                  </w:pPr>
                  <w:r w:rsidRPr="00E62341">
                    <w:rPr>
                      <w:rFonts w:eastAsia="Arial"/>
                      <w:b/>
                    </w:rPr>
                    <w:t>Reference document</w:t>
                  </w:r>
                  <w:r w:rsidRPr="00E62341">
                    <w:rPr>
                      <w:rFonts w:eastAsia="Arial"/>
                    </w:rPr>
                    <w:t>:</w:t>
                  </w:r>
                  <w:r w:rsidRPr="00E62341">
                    <w:rPr>
                      <w:rFonts w:eastAsia="Arial"/>
                    </w:rPr>
                    <w:tab/>
                  </w:r>
                  <w:r w:rsidR="00D35469" w:rsidRPr="00D35469">
                    <w:rPr>
                      <w:lang w:val="en-GB"/>
                    </w:rPr>
                    <w:t>ECE/TRANS/WP.15/AC.1/2017/35</w:t>
                  </w:r>
                </w:p>
              </w:tc>
            </w:tr>
          </w:tbl>
          <w:p w14:paraId="09CD75A0" w14:textId="2FA6E9CE" w:rsidR="005A14F3" w:rsidRPr="00E132FB" w:rsidRDefault="005A14F3" w:rsidP="00E441CC">
            <w:pPr>
              <w:pStyle w:val="SingleTxtG"/>
              <w:ind w:left="3402" w:hanging="2268"/>
              <w:jc w:val="left"/>
            </w:pPr>
          </w:p>
        </w:tc>
      </w:tr>
      <w:tr w:rsidR="005A14F3" w:rsidRPr="00E62341" w14:paraId="53825CC9" w14:textId="77777777" w:rsidTr="005A14F3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151EA3E6" w14:textId="77777777" w:rsidR="005A14F3" w:rsidRPr="00E62341" w:rsidRDefault="005A14F3" w:rsidP="00E441CC">
            <w:pPr>
              <w:suppressAutoHyphens w:val="0"/>
              <w:rPr>
                <w:rFonts w:eastAsia="Arial"/>
              </w:rPr>
            </w:pPr>
          </w:p>
        </w:tc>
      </w:tr>
    </w:tbl>
    <w:p w14:paraId="4215264B" w14:textId="7D1C7D46" w:rsidR="005A14F3" w:rsidRPr="00E02FE8" w:rsidRDefault="005A14F3" w:rsidP="005A14F3">
      <w:pPr>
        <w:pStyle w:val="HChG"/>
      </w:pPr>
      <w:r>
        <w:tab/>
      </w:r>
      <w:r>
        <w:tab/>
        <w:t>Introduction</w:t>
      </w:r>
    </w:p>
    <w:p w14:paraId="14EC6AAA" w14:textId="53A2AC80" w:rsidR="00D35469" w:rsidRDefault="00D35469" w:rsidP="00D35469">
      <w:pPr>
        <w:pStyle w:val="SingleTxtG"/>
      </w:pPr>
      <w:r>
        <w:t>1.</w:t>
      </w:r>
      <w:r>
        <w:tab/>
        <w:t>In</w:t>
      </w:r>
      <w:r w:rsidRPr="00835C1F">
        <w:rPr>
          <w:lang w:val="en-GB"/>
        </w:rPr>
        <w:t xml:space="preserve"> working</w:t>
      </w:r>
      <w:r>
        <w:t xml:space="preserve"> document 35</w:t>
      </w:r>
      <w:r w:rsidRPr="00D35469">
        <w:rPr>
          <w:lang w:val="en-GB"/>
        </w:rPr>
        <w:t xml:space="preserve"> (ECE</w:t>
      </w:r>
      <w:r>
        <w:rPr>
          <w:lang w:val="en-GB"/>
        </w:rPr>
        <w:t>/TRANS/WP.15/AC.1/2017/35) from Sweden,</w:t>
      </w:r>
      <w:r>
        <w:t xml:space="preserve"> it is explained in detail how to transcribe provision 2.2.51.2.2, thirteenth indent, of the RIDADR//ADN to the newly introduced classification scheme for ammonium nitrate (AN) based fertilizers in the UN Model Regulations. Sweden has</w:t>
      </w:r>
      <w:r w:rsidRPr="00D35469">
        <w:rPr>
          <w:lang w:val="en-GB"/>
        </w:rPr>
        <w:t xml:space="preserve"> however</w:t>
      </w:r>
      <w:r>
        <w:t xml:space="preserve"> overlooked one detail regarding </w:t>
      </w:r>
      <w:r w:rsidR="00835C1F">
        <w:t>compound fertilizers of high AN-</w:t>
      </w:r>
      <w:r>
        <w:t>content, which can easily be adjusted by a small amendment of the proposal in working document</w:t>
      </w:r>
      <w:r w:rsidRPr="00D35469">
        <w:rPr>
          <w:lang w:val="en-GB"/>
        </w:rPr>
        <w:t xml:space="preserve"> 35</w:t>
      </w:r>
      <w:r>
        <w:t>.</w:t>
      </w:r>
    </w:p>
    <w:p w14:paraId="6175BC8F" w14:textId="232FB62D" w:rsidR="005A14F3" w:rsidRDefault="00D35469" w:rsidP="00D35469">
      <w:pPr>
        <w:pStyle w:val="SingleTxtG"/>
      </w:pPr>
      <w:r>
        <w:t>2.</w:t>
      </w:r>
      <w:r>
        <w:tab/>
        <w:t xml:space="preserve">In paragraph 7 of working document 35 there is a table showing the by </w:t>
      </w:r>
      <w:r w:rsidR="00835C1F" w:rsidRPr="00835C1F">
        <w:rPr>
          <w:lang w:val="en-GB"/>
        </w:rPr>
        <w:t xml:space="preserve">current </w:t>
      </w:r>
      <w:r>
        <w:t>provision 2.2.51.2.2 affected fertilizer compositions</w:t>
      </w:r>
      <w:r w:rsidR="00835C1F" w:rsidRPr="00835C1F">
        <w:rPr>
          <w:lang w:val="en-GB"/>
        </w:rPr>
        <w:t>,</w:t>
      </w:r>
      <w:r>
        <w:t xml:space="preserve"> and which </w:t>
      </w:r>
      <w:r w:rsidR="0062680E" w:rsidRPr="0062680E">
        <w:rPr>
          <w:lang w:val="en-GB"/>
        </w:rPr>
        <w:t xml:space="preserve">exit </w:t>
      </w:r>
      <w:r>
        <w:t>boxes</w:t>
      </w:r>
      <w:r w:rsidR="0062680E">
        <w:t xml:space="preserve"> they correspond to in the flow</w:t>
      </w:r>
      <w:r>
        <w:t xml:space="preserve">chart </w:t>
      </w:r>
      <w:r w:rsidR="00835C1F">
        <w:rPr>
          <w:lang w:val="en-GB"/>
        </w:rPr>
        <w:t>for AN-based fertilizers</w:t>
      </w:r>
      <w:r w:rsidR="00835C1F" w:rsidRPr="00835C1F">
        <w:rPr>
          <w:lang w:val="en-GB"/>
        </w:rPr>
        <w:t xml:space="preserve"> in</w:t>
      </w:r>
      <w:r>
        <w:t xml:space="preserve"> Section 39 of the UN Manual. The first part of entry (b) of this table shows tha</w:t>
      </w:r>
      <w:r w:rsidR="0062680E">
        <w:t xml:space="preserve">t fertilizer compositions with more than 70% but less than 90% AN and more than </w:t>
      </w:r>
      <w:r>
        <w:t xml:space="preserve">0.4% total combustible materials exceed the values of SP 307 and therefore </w:t>
      </w:r>
      <w:r w:rsidR="00835C1F">
        <w:rPr>
          <w:lang w:val="en-GB"/>
        </w:rPr>
        <w:t>are no</w:t>
      </w:r>
      <w:r w:rsidR="00835C1F" w:rsidRPr="00835C1F">
        <w:rPr>
          <w:lang w:val="en-GB"/>
        </w:rPr>
        <w:t>t allowed to be</w:t>
      </w:r>
      <w:r w:rsidR="00835C1F">
        <w:t xml:space="preserve"> transported as</w:t>
      </w:r>
      <w:r>
        <w:t xml:space="preserve"> Class 5.1</w:t>
      </w:r>
      <w:r w:rsidR="00835C1F" w:rsidRPr="00835C1F">
        <w:rPr>
          <w:lang w:val="en-GB"/>
        </w:rPr>
        <w:t xml:space="preserve"> materials</w:t>
      </w:r>
      <w:r w:rsidR="00835C1F">
        <w:rPr>
          <w:lang w:val="en-GB"/>
        </w:rPr>
        <w:t xml:space="preserve"> </w:t>
      </w:r>
      <w:r w:rsidR="0062680E">
        <w:rPr>
          <w:lang w:val="en-GB"/>
        </w:rPr>
        <w:t>(“</w:t>
      </w:r>
      <w:r w:rsidR="00835C1F" w:rsidRPr="00835C1F">
        <w:rPr>
          <w:lang w:val="en-GB"/>
        </w:rPr>
        <w:t>except under the conditions applicable to Class 1”</w:t>
      </w:r>
      <w:r w:rsidR="0062680E">
        <w:rPr>
          <w:lang w:val="en-GB"/>
        </w:rPr>
        <w:t>)</w:t>
      </w:r>
      <w:r>
        <w:t xml:space="preserve">. It is concluded that this corresponds to </w:t>
      </w:r>
      <w:r w:rsidR="0062680E" w:rsidRPr="0062680E">
        <w:rPr>
          <w:lang w:val="en-GB"/>
        </w:rPr>
        <w:t xml:space="preserve">fertilizer compositions ending up in </w:t>
      </w:r>
      <w:r>
        <w:t>exit box 31 in the flow chart.</w:t>
      </w:r>
    </w:p>
    <w:p w14:paraId="1C32E060" w14:textId="3E893C75" w:rsidR="00D35469" w:rsidRDefault="008C0F4E" w:rsidP="008C0F4E">
      <w:pPr>
        <w:pStyle w:val="HChG"/>
      </w:pPr>
      <w:r>
        <w:tab/>
      </w:r>
      <w:r>
        <w:tab/>
      </w:r>
      <w:r w:rsidR="00D35469" w:rsidRPr="00835C1F">
        <w:t>Problem</w:t>
      </w:r>
    </w:p>
    <w:p w14:paraId="69587455" w14:textId="0215DC6B" w:rsidR="00D35469" w:rsidRDefault="00D35469" w:rsidP="00D35469">
      <w:pPr>
        <w:pStyle w:val="SingleTxtG"/>
        <w:rPr>
          <w:lang w:val="en-GB"/>
        </w:rPr>
      </w:pPr>
      <w:r w:rsidRPr="00D35469">
        <w:rPr>
          <w:lang w:val="en-GB"/>
        </w:rPr>
        <w:t>3.</w:t>
      </w:r>
      <w:r w:rsidRPr="00D35469">
        <w:rPr>
          <w:lang w:val="en-GB"/>
        </w:rPr>
        <w:tab/>
        <w:t xml:space="preserve">However, exit box 31 </w:t>
      </w:r>
      <w:r w:rsidR="0062680E">
        <w:rPr>
          <w:lang w:val="en-GB"/>
        </w:rPr>
        <w:t>is only a possible exit box for</w:t>
      </w:r>
      <w:r w:rsidRPr="00D35469">
        <w:rPr>
          <w:lang w:val="en-GB"/>
        </w:rPr>
        <w:t xml:space="preserve"> non-compound fertilizers</w:t>
      </w:r>
      <w:r w:rsidR="00835C1F">
        <w:rPr>
          <w:lang w:val="en-GB"/>
        </w:rPr>
        <w:t>,</w:t>
      </w:r>
      <w:r w:rsidRPr="00D35469">
        <w:rPr>
          <w:lang w:val="en-GB"/>
        </w:rPr>
        <w:t xml:space="preserve"> since by </w:t>
      </w:r>
      <w:r w:rsidR="00835C1F">
        <w:rPr>
          <w:lang w:val="en-GB"/>
        </w:rPr>
        <w:t>means</w:t>
      </w:r>
      <w:r w:rsidR="0062680E">
        <w:rPr>
          <w:lang w:val="en-GB"/>
        </w:rPr>
        <w:t xml:space="preserve"> of box 12 of the flow</w:t>
      </w:r>
      <w:r w:rsidRPr="00D35469">
        <w:rPr>
          <w:lang w:val="en-GB"/>
        </w:rPr>
        <w:t xml:space="preserve">chart compound fertilizers </w:t>
      </w:r>
      <w:r w:rsidR="0062680E">
        <w:rPr>
          <w:lang w:val="en-GB"/>
        </w:rPr>
        <w:t xml:space="preserve">with less than 90% </w:t>
      </w:r>
      <w:proofErr w:type="gramStart"/>
      <w:r w:rsidR="0062680E">
        <w:rPr>
          <w:lang w:val="en-GB"/>
        </w:rPr>
        <w:t xml:space="preserve">AN </w:t>
      </w:r>
      <w:r w:rsidRPr="00D35469">
        <w:rPr>
          <w:lang w:val="en-GB"/>
        </w:rPr>
        <w:t>are</w:t>
      </w:r>
      <w:proofErr w:type="gramEnd"/>
      <w:r w:rsidRPr="00D35469">
        <w:rPr>
          <w:lang w:val="en-GB"/>
        </w:rPr>
        <w:t xml:space="preserve"> directed into a branch of their own. For compound fertilizers, the exit box corresponding to exit box </w:t>
      </w:r>
      <w:r w:rsidRPr="00D35469">
        <w:rPr>
          <w:lang w:val="en-GB"/>
        </w:rPr>
        <w:lastRenderedPageBreak/>
        <w:t>31 is exit box 15</w:t>
      </w:r>
      <w:r>
        <w:rPr>
          <w:lang w:val="en-GB"/>
        </w:rPr>
        <w:t>, which is</w:t>
      </w:r>
      <w:r w:rsidRPr="00D35469">
        <w:rPr>
          <w:lang w:val="en-GB"/>
        </w:rPr>
        <w:t xml:space="preserve"> where compound fertilizers with more than 70% but less than 90% AN end up if they contain more than 0.4% combustibles. Clearly these compositions are also comprised by </w:t>
      </w:r>
      <w:r>
        <w:rPr>
          <w:lang w:val="en-GB"/>
        </w:rPr>
        <w:t xml:space="preserve">current </w:t>
      </w:r>
      <w:r w:rsidRPr="00D35469">
        <w:rPr>
          <w:lang w:val="en-GB"/>
        </w:rPr>
        <w:t>provision 2.2.51.2.2, since they are fertilizer</w:t>
      </w:r>
      <w:r w:rsidR="00835C1F">
        <w:rPr>
          <w:lang w:val="en-GB"/>
        </w:rPr>
        <w:t xml:space="preserve"> compositions</w:t>
      </w:r>
      <w:r w:rsidRPr="00D35469">
        <w:rPr>
          <w:lang w:val="en-GB"/>
        </w:rPr>
        <w:t xml:space="preserve"> that exceed the value specified for combustible materials </w:t>
      </w:r>
      <w:r w:rsidR="0062680E">
        <w:rPr>
          <w:lang w:val="en-GB"/>
        </w:rPr>
        <w:t>in SP307</w:t>
      </w:r>
      <w:r w:rsidRPr="00D35469">
        <w:rPr>
          <w:lang w:val="en-GB"/>
        </w:rPr>
        <w:t>.</w:t>
      </w:r>
    </w:p>
    <w:p w14:paraId="164D2BB0" w14:textId="68479BAA" w:rsidR="00D35469" w:rsidRPr="00D35469" w:rsidRDefault="008C0F4E" w:rsidP="008C0F4E">
      <w:pPr>
        <w:pStyle w:val="HChG"/>
      </w:pPr>
      <w:r>
        <w:tab/>
      </w:r>
      <w:r>
        <w:tab/>
      </w:r>
      <w:r w:rsidR="00D35469" w:rsidRPr="00D35469">
        <w:t>Proposal</w:t>
      </w:r>
    </w:p>
    <w:p w14:paraId="4E281600" w14:textId="6C164B1F" w:rsidR="00D35469" w:rsidRPr="00835C1F" w:rsidRDefault="00D35469" w:rsidP="00D35469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D35469">
        <w:rPr>
          <w:lang w:val="en-GB"/>
        </w:rPr>
        <w:t>For the a</w:t>
      </w:r>
      <w:r>
        <w:rPr>
          <w:lang w:val="en-GB"/>
        </w:rPr>
        <w:t xml:space="preserve">bove reason it is </w:t>
      </w:r>
      <w:r w:rsidR="0062680E">
        <w:rPr>
          <w:lang w:val="en-GB"/>
        </w:rPr>
        <w:t>suggested</w:t>
      </w:r>
      <w:r w:rsidR="00835C1F">
        <w:t xml:space="preserve"> to </w:t>
      </w:r>
      <w:r w:rsidR="00835C1F" w:rsidRPr="00835C1F">
        <w:rPr>
          <w:lang w:val="en-GB"/>
        </w:rPr>
        <w:t>transfer</w:t>
      </w:r>
      <w:r w:rsidR="00835C1F">
        <w:t xml:space="preserve"> exit b</w:t>
      </w:r>
      <w:r w:rsidRPr="00D35469">
        <w:t xml:space="preserve">ox 15 </w:t>
      </w:r>
      <w:r w:rsidR="00835C1F" w:rsidRPr="00835C1F">
        <w:rPr>
          <w:lang w:val="en-GB"/>
        </w:rPr>
        <w:t xml:space="preserve">from the </w:t>
      </w:r>
      <w:r w:rsidR="00835C1F">
        <w:rPr>
          <w:lang w:val="en-GB"/>
        </w:rPr>
        <w:t xml:space="preserve">second to the first indent </w:t>
      </w:r>
      <w:r w:rsidRPr="00D35469">
        <w:t>of the proposed text in paragraph 11 of working document 35</w:t>
      </w:r>
      <w:r w:rsidR="00835C1F">
        <w:t xml:space="preserve">. </w:t>
      </w:r>
      <w:r w:rsidR="00835C1F" w:rsidRPr="00835C1F">
        <w:rPr>
          <w:lang w:val="en-GB"/>
        </w:rPr>
        <w:t xml:space="preserve">The text would then be amended as follows, where text </w:t>
      </w:r>
      <w:r w:rsidR="00835C1F">
        <w:rPr>
          <w:lang w:val="en-GB"/>
        </w:rPr>
        <w:t xml:space="preserve">to be added </w:t>
      </w:r>
      <w:r w:rsidR="00835C1F" w:rsidRPr="00835C1F">
        <w:rPr>
          <w:lang w:val="en-GB"/>
        </w:rPr>
        <w:t xml:space="preserve">is in bold underline and </w:t>
      </w:r>
      <w:r w:rsidR="00835C1F">
        <w:rPr>
          <w:lang w:val="en-GB"/>
        </w:rPr>
        <w:t>text to be removed in bold strike-through:</w:t>
      </w:r>
    </w:p>
    <w:p w14:paraId="72E0D78A" w14:textId="0501E764" w:rsidR="00D35469" w:rsidRPr="008C0F4E" w:rsidRDefault="008C0F4E" w:rsidP="008C0F4E">
      <w:pPr>
        <w:pStyle w:val="SingleTxtG"/>
        <w:numPr>
          <w:ilvl w:val="0"/>
          <w:numId w:val="13"/>
        </w:numPr>
        <w:tabs>
          <w:tab w:val="clear" w:pos="1494"/>
        </w:tabs>
      </w:pPr>
      <w:r>
        <w:rPr>
          <w:i/>
          <w:iCs/>
        </w:rPr>
        <w:t>-</w:t>
      </w:r>
      <w:r>
        <w:rPr>
          <w:i/>
          <w:iCs/>
        </w:rPr>
        <w:tab/>
      </w:r>
      <w:r w:rsidR="00D35469" w:rsidRPr="00D35469">
        <w:rPr>
          <w:i/>
          <w:iCs/>
        </w:rPr>
        <w:t xml:space="preserve">ammonium nitrate based fertilizers with compositions that lead to exit boxes 4, 6, 8, </w:t>
      </w:r>
      <w:r w:rsidR="00D35469" w:rsidRPr="00D35469">
        <w:rPr>
          <w:b/>
          <w:i/>
          <w:iCs/>
          <w:u w:val="single"/>
        </w:rPr>
        <w:t>15,</w:t>
      </w:r>
      <w:r w:rsidR="00D35469" w:rsidRPr="00D35469">
        <w:rPr>
          <w:i/>
          <w:iCs/>
        </w:rPr>
        <w:t xml:space="preserve"> 31, or 33 of the flowchart of paragraph 39.5.1 of the Manual of Tests and Criteria, Part III, Section 39, unless they have been assigned a suitable UN number in Class 1; </w:t>
      </w:r>
    </w:p>
    <w:p w14:paraId="36B9BC4C" w14:textId="2F48ABB4" w:rsidR="00D35469" w:rsidRPr="00D35469" w:rsidRDefault="008C0F4E" w:rsidP="00D35469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-</w:t>
      </w:r>
      <w:r>
        <w:rPr>
          <w:i/>
          <w:iCs/>
        </w:rPr>
        <w:tab/>
      </w:r>
      <w:r w:rsidR="00D35469" w:rsidRPr="00D35469">
        <w:rPr>
          <w:i/>
          <w:iCs/>
        </w:rPr>
        <w:t xml:space="preserve">ammonium nitrate based fertilizers with compositions that lead to exit boxes </w:t>
      </w:r>
      <w:r w:rsidR="00D35469" w:rsidRPr="00835C1F">
        <w:rPr>
          <w:b/>
          <w:i/>
          <w:iCs/>
          <w:strike/>
        </w:rPr>
        <w:t>15,</w:t>
      </w:r>
      <w:r w:rsidR="00D35469" w:rsidRPr="00D35469">
        <w:rPr>
          <w:b/>
          <w:i/>
          <w:iCs/>
        </w:rPr>
        <w:t xml:space="preserve"> </w:t>
      </w:r>
      <w:r w:rsidR="00D35469" w:rsidRPr="00D35469">
        <w:rPr>
          <w:i/>
          <w:iCs/>
        </w:rPr>
        <w:t>20, 23 or 39 of the flowchart of paragraph 39.5.1 of the Manual of Tests and Criteria, Part III, Section 39, unless they have been assigned a suitable UN number in Class 1 or, provided that the suitability for carriage has been demonstrated and that this has been approved by the competent authority, in Class 5.1 other than UN No. 2067;</w:t>
      </w:r>
    </w:p>
    <w:p w14:paraId="0E79907F" w14:textId="5B205CD5" w:rsidR="00D35469" w:rsidRPr="00D35469" w:rsidRDefault="00D35469" w:rsidP="00D35469">
      <w:pPr>
        <w:pStyle w:val="SingleTxtG"/>
        <w:rPr>
          <w:iCs/>
        </w:rPr>
      </w:pPr>
      <w:r w:rsidRPr="00D35469">
        <w:rPr>
          <w:iCs/>
        </w:rPr>
        <w:t>5.</w:t>
      </w:r>
      <w:r w:rsidRPr="00D35469">
        <w:rPr>
          <w:iCs/>
        </w:rPr>
        <w:tab/>
        <w:t xml:space="preserve">The corresponding amendment to the alternative proposal in paragraph 12 </w:t>
      </w:r>
      <w:r w:rsidR="00E7371F" w:rsidRPr="00E7371F">
        <w:rPr>
          <w:iCs/>
          <w:lang w:val="en-GB"/>
        </w:rPr>
        <w:t>of</w:t>
      </w:r>
      <w:r w:rsidRPr="00D35469">
        <w:rPr>
          <w:iCs/>
        </w:rPr>
        <w:t xml:space="preserve"> working document 35 would be:</w:t>
      </w:r>
    </w:p>
    <w:p w14:paraId="68A9064A" w14:textId="3BD08E89" w:rsidR="00D35469" w:rsidRPr="00D35469" w:rsidRDefault="008C0F4E" w:rsidP="00D35469">
      <w:pPr>
        <w:pStyle w:val="SingleTxtG"/>
        <w:rPr>
          <w:i/>
        </w:rPr>
      </w:pPr>
      <w:r>
        <w:rPr>
          <w:i/>
        </w:rPr>
        <w:tab/>
      </w:r>
      <w:r>
        <w:rPr>
          <w:i/>
        </w:rPr>
        <w:tab/>
        <w:t>-</w:t>
      </w:r>
      <w:r>
        <w:rPr>
          <w:i/>
        </w:rPr>
        <w:tab/>
      </w:r>
      <w:r w:rsidR="00D35469" w:rsidRPr="00D35469">
        <w:rPr>
          <w:i/>
        </w:rPr>
        <w:t xml:space="preserve">ammonium nitrate based fertilizers with compositions that lead to exit boxes 4, 6, 8, </w:t>
      </w:r>
      <w:r w:rsidR="00D35469" w:rsidRPr="00D35469">
        <w:rPr>
          <w:b/>
          <w:i/>
          <w:u w:val="single"/>
        </w:rPr>
        <w:t>15,</w:t>
      </w:r>
      <w:r w:rsidR="00D35469" w:rsidRPr="00736890">
        <w:t xml:space="preserve"> </w:t>
      </w:r>
      <w:r w:rsidR="00D35469" w:rsidRPr="00D35469">
        <w:rPr>
          <w:i/>
        </w:rPr>
        <w:t xml:space="preserve">31 or , 33 or, for mixtures of ammonium nitrate with more than 5% ammonium </w:t>
      </w:r>
      <w:proofErr w:type="spellStart"/>
      <w:r w:rsidR="00D35469" w:rsidRPr="00D35469">
        <w:rPr>
          <w:i/>
        </w:rPr>
        <w:t>sulphate</w:t>
      </w:r>
      <w:proofErr w:type="spellEnd"/>
      <w:r w:rsidR="00D35469" w:rsidRPr="00D35469">
        <w:rPr>
          <w:i/>
        </w:rPr>
        <w:t>, exit box 39 of the flowchart of paragraph 39.5.1 of the Manual of Tests and Criteria, Part III, Section 39, unless they have been assigned a suitable UN number in Class 1;</w:t>
      </w:r>
    </w:p>
    <w:p w14:paraId="376340E4" w14:textId="5CDF3C51" w:rsidR="00D35469" w:rsidRPr="00D35469" w:rsidRDefault="008C0F4E" w:rsidP="00D35469">
      <w:pPr>
        <w:pStyle w:val="SingleTxtG"/>
        <w:rPr>
          <w:i/>
        </w:rPr>
      </w:pPr>
      <w:r>
        <w:rPr>
          <w:i/>
        </w:rPr>
        <w:tab/>
      </w:r>
      <w:r>
        <w:rPr>
          <w:i/>
        </w:rPr>
        <w:tab/>
        <w:t>-</w:t>
      </w:r>
      <w:r>
        <w:rPr>
          <w:i/>
        </w:rPr>
        <w:tab/>
      </w:r>
      <w:r w:rsidR="00D35469" w:rsidRPr="00D35469">
        <w:rPr>
          <w:i/>
        </w:rPr>
        <w:t xml:space="preserve">ammonium nitrate based fertilizers with compositions that lead to exit boxes </w:t>
      </w:r>
      <w:r w:rsidR="00D35469" w:rsidRPr="00835C1F">
        <w:rPr>
          <w:b/>
          <w:i/>
          <w:strike/>
        </w:rPr>
        <w:t>15,</w:t>
      </w:r>
      <w:r w:rsidR="00D35469" w:rsidRPr="00D35469">
        <w:rPr>
          <w:i/>
        </w:rPr>
        <w:t xml:space="preserve"> 20, 23 or, except for mixtures of ammonium nitrate with more than 5% ammonium </w:t>
      </w:r>
      <w:proofErr w:type="spellStart"/>
      <w:r w:rsidR="00D35469" w:rsidRPr="00D35469">
        <w:rPr>
          <w:i/>
        </w:rPr>
        <w:t>sulphate</w:t>
      </w:r>
      <w:proofErr w:type="spellEnd"/>
      <w:r w:rsidR="00D35469" w:rsidRPr="00D35469">
        <w:rPr>
          <w:i/>
        </w:rPr>
        <w:t>, exit box 39 of the flowchart of paragraph 39.5.1 of the Manual of Tests and Criteria, Part III, Section 39, unless they have been assigned a suitable UN number in Class 1 or, provided that the suitability for carriage has been demonstrated and that this has been approved by the competent authority, in Class 5.1 other than UN No. 2067;</w:t>
      </w:r>
    </w:p>
    <w:p w14:paraId="4D26C0F6" w14:textId="372707F7" w:rsidR="000943F3" w:rsidRPr="000943F3" w:rsidRDefault="000943F3" w:rsidP="000943F3">
      <w:pPr>
        <w:pStyle w:val="SingleTxtG"/>
        <w:spacing w:before="240" w:after="0"/>
        <w:jc w:val="center"/>
        <w:rPr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sectPr w:rsidR="000943F3" w:rsidRPr="000943F3" w:rsidSect="00BB7FE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5849" w14:textId="77777777" w:rsidR="00F33E61" w:rsidRDefault="00F33E61"/>
  </w:endnote>
  <w:endnote w:type="continuationSeparator" w:id="0">
    <w:p w14:paraId="645CAB64" w14:textId="77777777" w:rsidR="00F33E61" w:rsidRDefault="00F33E61"/>
  </w:endnote>
  <w:endnote w:type="continuationNotice" w:id="1">
    <w:p w14:paraId="67534679" w14:textId="77777777" w:rsidR="00F33E61" w:rsidRDefault="00F33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33D6" w14:textId="018F56A0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375146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282C" w14:textId="38B835DB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D35469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F591" w14:textId="77777777" w:rsidR="00F33E61" w:rsidRPr="000B175B" w:rsidRDefault="00F33E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D0FAF1" w14:textId="77777777" w:rsidR="00F33E61" w:rsidRPr="00FC68B7" w:rsidRDefault="00F33E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5008DC" w14:textId="77777777" w:rsidR="00F33E61" w:rsidRDefault="00F33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7FBE" w14:textId="127497AB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8C0F4E">
      <w:rPr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022D" w14:textId="19CB3575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F7DEF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E64"/>
    <w:multiLevelType w:val="hybridMultilevel"/>
    <w:tmpl w:val="414438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12"/>
  </w:num>
  <w:num w:numId="17">
    <w:abstractNumId w:val="21"/>
  </w:num>
  <w:num w:numId="18">
    <w:abstractNumId w:val="14"/>
  </w:num>
  <w:num w:numId="19">
    <w:abstractNumId w:val="22"/>
  </w:num>
  <w:num w:numId="20">
    <w:abstractNumId w:val="17"/>
  </w:num>
  <w:num w:numId="21">
    <w:abstractNumId w:val="19"/>
  </w:num>
  <w:num w:numId="22">
    <w:abstractNumId w:val="11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6B1F"/>
    <w:rsid w:val="00050F6B"/>
    <w:rsid w:val="00057E97"/>
    <w:rsid w:val="000671BA"/>
    <w:rsid w:val="00072289"/>
    <w:rsid w:val="00072C8C"/>
    <w:rsid w:val="000733B5"/>
    <w:rsid w:val="00081815"/>
    <w:rsid w:val="000931C0"/>
    <w:rsid w:val="000943F3"/>
    <w:rsid w:val="00095C5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1E05"/>
    <w:rsid w:val="00125117"/>
    <w:rsid w:val="00127D3C"/>
    <w:rsid w:val="00155068"/>
    <w:rsid w:val="00165F3A"/>
    <w:rsid w:val="0018316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7981"/>
    <w:rsid w:val="001E0B9E"/>
    <w:rsid w:val="001E7B67"/>
    <w:rsid w:val="001F4B34"/>
    <w:rsid w:val="001F7435"/>
    <w:rsid w:val="00202DA8"/>
    <w:rsid w:val="00203753"/>
    <w:rsid w:val="002102FF"/>
    <w:rsid w:val="0021082E"/>
    <w:rsid w:val="0021114C"/>
    <w:rsid w:val="0021157B"/>
    <w:rsid w:val="00211E0B"/>
    <w:rsid w:val="002336E0"/>
    <w:rsid w:val="00237690"/>
    <w:rsid w:val="0024023A"/>
    <w:rsid w:val="00243217"/>
    <w:rsid w:val="00252290"/>
    <w:rsid w:val="00256FA8"/>
    <w:rsid w:val="0026532A"/>
    <w:rsid w:val="00267F5F"/>
    <w:rsid w:val="00276945"/>
    <w:rsid w:val="002866F0"/>
    <w:rsid w:val="00286B4D"/>
    <w:rsid w:val="00293582"/>
    <w:rsid w:val="002A3C85"/>
    <w:rsid w:val="002A603B"/>
    <w:rsid w:val="002B0208"/>
    <w:rsid w:val="002D4643"/>
    <w:rsid w:val="002D4B6C"/>
    <w:rsid w:val="002F175C"/>
    <w:rsid w:val="002F41D4"/>
    <w:rsid w:val="00302E18"/>
    <w:rsid w:val="003050A4"/>
    <w:rsid w:val="0030606F"/>
    <w:rsid w:val="00321A87"/>
    <w:rsid w:val="003229D8"/>
    <w:rsid w:val="003358CF"/>
    <w:rsid w:val="00345184"/>
    <w:rsid w:val="0034693C"/>
    <w:rsid w:val="00352709"/>
    <w:rsid w:val="003571EA"/>
    <w:rsid w:val="00371178"/>
    <w:rsid w:val="00375146"/>
    <w:rsid w:val="003A6810"/>
    <w:rsid w:val="003B311A"/>
    <w:rsid w:val="003B36D1"/>
    <w:rsid w:val="003C2CC4"/>
    <w:rsid w:val="003C7C2C"/>
    <w:rsid w:val="003D4B23"/>
    <w:rsid w:val="003F6429"/>
    <w:rsid w:val="00400297"/>
    <w:rsid w:val="00410C89"/>
    <w:rsid w:val="00422E03"/>
    <w:rsid w:val="00424AD2"/>
    <w:rsid w:val="004266AC"/>
    <w:rsid w:val="00426B9B"/>
    <w:rsid w:val="004325CB"/>
    <w:rsid w:val="004356D2"/>
    <w:rsid w:val="00442A83"/>
    <w:rsid w:val="0045495B"/>
    <w:rsid w:val="00455F93"/>
    <w:rsid w:val="00461A57"/>
    <w:rsid w:val="00464C81"/>
    <w:rsid w:val="0048397A"/>
    <w:rsid w:val="00483F1B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3C7"/>
    <w:rsid w:val="00546993"/>
    <w:rsid w:val="005501AB"/>
    <w:rsid w:val="005628B6"/>
    <w:rsid w:val="0059363D"/>
    <w:rsid w:val="005A14F3"/>
    <w:rsid w:val="005B3DB3"/>
    <w:rsid w:val="005B4E13"/>
    <w:rsid w:val="005C2DE1"/>
    <w:rsid w:val="005C68F0"/>
    <w:rsid w:val="005D2A29"/>
    <w:rsid w:val="005E625C"/>
    <w:rsid w:val="005E6A77"/>
    <w:rsid w:val="005F7B75"/>
    <w:rsid w:val="005F7DEF"/>
    <w:rsid w:val="006001EE"/>
    <w:rsid w:val="00605042"/>
    <w:rsid w:val="00611FC4"/>
    <w:rsid w:val="006176FB"/>
    <w:rsid w:val="0062680E"/>
    <w:rsid w:val="00630BAF"/>
    <w:rsid w:val="00640B26"/>
    <w:rsid w:val="006416C0"/>
    <w:rsid w:val="00652CFC"/>
    <w:rsid w:val="00652D0A"/>
    <w:rsid w:val="00656145"/>
    <w:rsid w:val="00656FD6"/>
    <w:rsid w:val="006623D5"/>
    <w:rsid w:val="00662BB6"/>
    <w:rsid w:val="00667F8F"/>
    <w:rsid w:val="006741F1"/>
    <w:rsid w:val="00684C21"/>
    <w:rsid w:val="0069377E"/>
    <w:rsid w:val="006A2530"/>
    <w:rsid w:val="006B1C12"/>
    <w:rsid w:val="006C3589"/>
    <w:rsid w:val="006C3ACC"/>
    <w:rsid w:val="006D37AF"/>
    <w:rsid w:val="006D51D0"/>
    <w:rsid w:val="006E564B"/>
    <w:rsid w:val="006E7191"/>
    <w:rsid w:val="006F1CD0"/>
    <w:rsid w:val="00703577"/>
    <w:rsid w:val="00705894"/>
    <w:rsid w:val="0072632A"/>
    <w:rsid w:val="007327D5"/>
    <w:rsid w:val="007351B4"/>
    <w:rsid w:val="00736890"/>
    <w:rsid w:val="007369C2"/>
    <w:rsid w:val="00760A73"/>
    <w:rsid w:val="007611CF"/>
    <w:rsid w:val="00761787"/>
    <w:rsid w:val="007629C8"/>
    <w:rsid w:val="00764668"/>
    <w:rsid w:val="0077047D"/>
    <w:rsid w:val="00770EAA"/>
    <w:rsid w:val="007724D8"/>
    <w:rsid w:val="00776430"/>
    <w:rsid w:val="00783A95"/>
    <w:rsid w:val="00797575"/>
    <w:rsid w:val="007A0948"/>
    <w:rsid w:val="007A5A7E"/>
    <w:rsid w:val="007B6BA5"/>
    <w:rsid w:val="007C2E47"/>
    <w:rsid w:val="007C3390"/>
    <w:rsid w:val="007C4F4B"/>
    <w:rsid w:val="007E01E9"/>
    <w:rsid w:val="007E63F3"/>
    <w:rsid w:val="007E702F"/>
    <w:rsid w:val="007F1F2D"/>
    <w:rsid w:val="007F6611"/>
    <w:rsid w:val="007F7106"/>
    <w:rsid w:val="007F729F"/>
    <w:rsid w:val="007F7A86"/>
    <w:rsid w:val="008116D7"/>
    <w:rsid w:val="00811920"/>
    <w:rsid w:val="00815AD0"/>
    <w:rsid w:val="008242D7"/>
    <w:rsid w:val="008257B1"/>
    <w:rsid w:val="00826C3D"/>
    <w:rsid w:val="00835C1F"/>
    <w:rsid w:val="00840F9A"/>
    <w:rsid w:val="008433F2"/>
    <w:rsid w:val="00843767"/>
    <w:rsid w:val="00854501"/>
    <w:rsid w:val="00863760"/>
    <w:rsid w:val="008679D9"/>
    <w:rsid w:val="00871389"/>
    <w:rsid w:val="00880848"/>
    <w:rsid w:val="00883999"/>
    <w:rsid w:val="008850EA"/>
    <w:rsid w:val="00887652"/>
    <w:rsid w:val="008878DE"/>
    <w:rsid w:val="00890269"/>
    <w:rsid w:val="008979B1"/>
    <w:rsid w:val="008A6B25"/>
    <w:rsid w:val="008A6C4F"/>
    <w:rsid w:val="008A7B69"/>
    <w:rsid w:val="008B2335"/>
    <w:rsid w:val="008C0F4E"/>
    <w:rsid w:val="008C7DAF"/>
    <w:rsid w:val="008E0678"/>
    <w:rsid w:val="008E0DAA"/>
    <w:rsid w:val="008E4D3A"/>
    <w:rsid w:val="008E6A1C"/>
    <w:rsid w:val="008F0496"/>
    <w:rsid w:val="00907224"/>
    <w:rsid w:val="009223CA"/>
    <w:rsid w:val="0092392E"/>
    <w:rsid w:val="00940F93"/>
    <w:rsid w:val="0094558F"/>
    <w:rsid w:val="00961690"/>
    <w:rsid w:val="009760F3"/>
    <w:rsid w:val="0098203C"/>
    <w:rsid w:val="009A0E8D"/>
    <w:rsid w:val="009A6FEF"/>
    <w:rsid w:val="009B1518"/>
    <w:rsid w:val="009B26E7"/>
    <w:rsid w:val="009C414B"/>
    <w:rsid w:val="009C454F"/>
    <w:rsid w:val="009D2A5B"/>
    <w:rsid w:val="009D56CA"/>
    <w:rsid w:val="009E1D8E"/>
    <w:rsid w:val="00A00A3F"/>
    <w:rsid w:val="00A01489"/>
    <w:rsid w:val="00A120E8"/>
    <w:rsid w:val="00A3009E"/>
    <w:rsid w:val="00A3026E"/>
    <w:rsid w:val="00A338F1"/>
    <w:rsid w:val="00A47A60"/>
    <w:rsid w:val="00A57EB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7871"/>
    <w:rsid w:val="00AB2988"/>
    <w:rsid w:val="00AD44C2"/>
    <w:rsid w:val="00AD48FA"/>
    <w:rsid w:val="00AE4840"/>
    <w:rsid w:val="00B00487"/>
    <w:rsid w:val="00B11BB4"/>
    <w:rsid w:val="00B22BC2"/>
    <w:rsid w:val="00B30179"/>
    <w:rsid w:val="00B36690"/>
    <w:rsid w:val="00B421C1"/>
    <w:rsid w:val="00B51AC0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03B8"/>
    <w:rsid w:val="00B81206"/>
    <w:rsid w:val="00B81E12"/>
    <w:rsid w:val="00B8280B"/>
    <w:rsid w:val="00BA2681"/>
    <w:rsid w:val="00BA4044"/>
    <w:rsid w:val="00BA616B"/>
    <w:rsid w:val="00BB7CD1"/>
    <w:rsid w:val="00BB7FE9"/>
    <w:rsid w:val="00BC3FA0"/>
    <w:rsid w:val="00BC74E9"/>
    <w:rsid w:val="00BD55A0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87367"/>
    <w:rsid w:val="00CB3E03"/>
    <w:rsid w:val="00CD57D2"/>
    <w:rsid w:val="00CE4A8F"/>
    <w:rsid w:val="00CE4B11"/>
    <w:rsid w:val="00D00610"/>
    <w:rsid w:val="00D2031B"/>
    <w:rsid w:val="00D25FE2"/>
    <w:rsid w:val="00D263A7"/>
    <w:rsid w:val="00D35469"/>
    <w:rsid w:val="00D3654F"/>
    <w:rsid w:val="00D41103"/>
    <w:rsid w:val="00D43252"/>
    <w:rsid w:val="00D473CD"/>
    <w:rsid w:val="00D47EEA"/>
    <w:rsid w:val="00D54567"/>
    <w:rsid w:val="00D550D4"/>
    <w:rsid w:val="00D61EEC"/>
    <w:rsid w:val="00D65303"/>
    <w:rsid w:val="00D729FB"/>
    <w:rsid w:val="00D773DF"/>
    <w:rsid w:val="00D80773"/>
    <w:rsid w:val="00D87235"/>
    <w:rsid w:val="00D876F8"/>
    <w:rsid w:val="00D9255F"/>
    <w:rsid w:val="00D95303"/>
    <w:rsid w:val="00D95C8A"/>
    <w:rsid w:val="00D978C6"/>
    <w:rsid w:val="00DA3C1C"/>
    <w:rsid w:val="00DB6CA5"/>
    <w:rsid w:val="00DC2362"/>
    <w:rsid w:val="00DC634C"/>
    <w:rsid w:val="00DD1676"/>
    <w:rsid w:val="00E046DF"/>
    <w:rsid w:val="00E15557"/>
    <w:rsid w:val="00E27346"/>
    <w:rsid w:val="00E665A8"/>
    <w:rsid w:val="00E71BC8"/>
    <w:rsid w:val="00E7260F"/>
    <w:rsid w:val="00E7371F"/>
    <w:rsid w:val="00E73F5D"/>
    <w:rsid w:val="00E746D9"/>
    <w:rsid w:val="00E77E4E"/>
    <w:rsid w:val="00E8090F"/>
    <w:rsid w:val="00E80DA0"/>
    <w:rsid w:val="00E819C4"/>
    <w:rsid w:val="00E96630"/>
    <w:rsid w:val="00E96736"/>
    <w:rsid w:val="00EA5018"/>
    <w:rsid w:val="00EA6ABB"/>
    <w:rsid w:val="00EC106A"/>
    <w:rsid w:val="00EC32A0"/>
    <w:rsid w:val="00ED7A2A"/>
    <w:rsid w:val="00ED7EE7"/>
    <w:rsid w:val="00EE57F2"/>
    <w:rsid w:val="00EE6B3A"/>
    <w:rsid w:val="00EF0D62"/>
    <w:rsid w:val="00EF1D7F"/>
    <w:rsid w:val="00F01F24"/>
    <w:rsid w:val="00F227A6"/>
    <w:rsid w:val="00F30EB7"/>
    <w:rsid w:val="00F31E5F"/>
    <w:rsid w:val="00F33E61"/>
    <w:rsid w:val="00F36F0D"/>
    <w:rsid w:val="00F4272A"/>
    <w:rsid w:val="00F4342B"/>
    <w:rsid w:val="00F5279F"/>
    <w:rsid w:val="00F54642"/>
    <w:rsid w:val="00F6100A"/>
    <w:rsid w:val="00F66565"/>
    <w:rsid w:val="00F93781"/>
    <w:rsid w:val="00FA3772"/>
    <w:rsid w:val="00FB613B"/>
    <w:rsid w:val="00FC398D"/>
    <w:rsid w:val="00FC3C87"/>
    <w:rsid w:val="00FC68B7"/>
    <w:rsid w:val="00FD49F1"/>
    <w:rsid w:val="00FE0135"/>
    <w:rsid w:val="00FE106A"/>
    <w:rsid w:val="00FE232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891E9"/>
  <w15:docId w15:val="{48CD8DE4-8C3F-4D8F-87CE-8F345BA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DA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0DA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0D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96" ma:contentTypeDescription="" ma:contentTypeScope="" ma:versionID="a95f8e99dea2bc63330984f25a69ba4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ERAEXT-862870994-72</_dlc_DocId>
    <TaxCatchAll xmlns="37dc432a-8ebf-4af5-8237-268edd3a8664">
      <Value>201</Value>
      <Value>733</Value>
      <Value>458</Value>
      <Value>1122</Value>
      <Value>572</Value>
    </TaxCatchAll>
    <_dlc_DocIdUrl xmlns="37dc432a-8ebf-4af5-8237-268edd3a8664">
      <Url>https://extranet.era.europa.eu/TDG-EC/_layouts/15/DocIdRedir.aspx?ID=ERAEXT-862870994-72</Url>
      <Description>ERAEXT-862870994-72</Description>
    </_dlc_DocIdUrl>
    <Meeting_x0020_date xmlns="37dc432a-8ebf-4af5-8237-268edd3a8664">2017-09-18T22:00:00+00:00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Document</TermName>
          <TermId xmlns="http://schemas.microsoft.com/office/infopath/2007/PartnerControls">9faa2977-25ea-4ed6-974b-53a8139bec3f</TermId>
        </TermInfo>
      </Terms>
    </h70713ed90ce4adeabe454f2aabfa4e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B2FA-09BF-4618-A8EA-4E8158C77B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84E295-152D-4239-82ED-C0E587FAF4F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56838DC-590B-4458-8EF4-01D30790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F43E4-9B35-4DE2-9CC1-95CEA0228BD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7dc432a-8ebf-4af5-8237-268edd3a8664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DA9478D-2791-47BF-A97D-8D2F18B977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7F9E18-059F-4AB9-9047-11B43970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2017-08-23T11:53:00Z</cp:lastPrinted>
  <dcterms:created xsi:type="dcterms:W3CDTF">2017-08-23T11:46:00Z</dcterms:created>
  <dcterms:modified xsi:type="dcterms:W3CDTF">2017-08-23T11:53:00Z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9b7e45f9-a0a2-4d52-a836-1b0d44fe25e8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458;#Technical Document|9faa2977-25ea-4ed6-974b-53a8139bec3f</vt:lpwstr>
  </property>
</Properties>
</file>