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BB07F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BB07FF" w:rsidP="00BB07FF">
            <w:pPr>
              <w:jc w:val="right"/>
            </w:pPr>
            <w:r w:rsidRPr="00BB07FF">
              <w:rPr>
                <w:sz w:val="40"/>
              </w:rPr>
              <w:t>ECE</w:t>
            </w:r>
            <w:r>
              <w:t>/TRANS/WP.15/AC.1/2017/43</w:t>
            </w:r>
          </w:p>
        </w:tc>
      </w:tr>
      <w:tr w:rsidR="002D5AAC" w:rsidRPr="00BB07F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BB07FF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BB07FF" w:rsidRDefault="00BB07FF" w:rsidP="00BB0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July 2017</w:t>
            </w:r>
          </w:p>
          <w:p w:rsidR="00BB07FF" w:rsidRDefault="00BB07FF" w:rsidP="00BB0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BB07FF" w:rsidRPr="008D53B6" w:rsidRDefault="00BB07FF" w:rsidP="00BB07FF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340D0C">
      <w:pPr>
        <w:spacing w:before="120" w:after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40D0C" w:rsidRPr="00340D0C" w:rsidRDefault="00340D0C" w:rsidP="00340D0C">
      <w:pPr>
        <w:spacing w:after="120"/>
        <w:rPr>
          <w:sz w:val="28"/>
          <w:szCs w:val="28"/>
        </w:rPr>
      </w:pPr>
      <w:r w:rsidRPr="00340D0C">
        <w:rPr>
          <w:sz w:val="28"/>
          <w:szCs w:val="28"/>
        </w:rPr>
        <w:t>Комитет по внутреннему транспорту</w:t>
      </w:r>
    </w:p>
    <w:p w:rsidR="00340D0C" w:rsidRPr="00340D0C" w:rsidRDefault="00340D0C" w:rsidP="00340D0C">
      <w:pPr>
        <w:spacing w:after="120"/>
        <w:rPr>
          <w:b/>
          <w:bCs/>
          <w:sz w:val="24"/>
          <w:szCs w:val="24"/>
        </w:rPr>
      </w:pPr>
      <w:r w:rsidRPr="00340D0C">
        <w:rPr>
          <w:b/>
          <w:bCs/>
          <w:sz w:val="24"/>
          <w:szCs w:val="24"/>
        </w:rPr>
        <w:t>Рабочая группа по перевозкам опасных грузов</w:t>
      </w:r>
    </w:p>
    <w:p w:rsidR="00340D0C" w:rsidRPr="00340D0C" w:rsidRDefault="00340D0C" w:rsidP="00340D0C">
      <w:pPr>
        <w:rPr>
          <w:b/>
          <w:bCs/>
        </w:rPr>
      </w:pPr>
      <w:r w:rsidRPr="00340D0C">
        <w:rPr>
          <w:b/>
          <w:bCs/>
        </w:rPr>
        <w:t>Совместное совещание Комиссии экспертов МПОГ</w:t>
      </w:r>
      <w:r w:rsidRPr="00340D0C">
        <w:rPr>
          <w:b/>
          <w:bCs/>
        </w:rPr>
        <w:br/>
        <w:t>и Рабочей группы по перевозкам опасных грузов</w:t>
      </w:r>
    </w:p>
    <w:p w:rsidR="00340D0C" w:rsidRPr="00340D0C" w:rsidRDefault="00340D0C" w:rsidP="00340D0C">
      <w:r w:rsidRPr="00340D0C">
        <w:t>Женева, 19–29 сентября 2017 года</w:t>
      </w:r>
    </w:p>
    <w:p w:rsidR="00340D0C" w:rsidRPr="00340D0C" w:rsidRDefault="00340D0C" w:rsidP="00340D0C">
      <w:r w:rsidRPr="00340D0C">
        <w:t>Пункт 5 b) предварительной повестки дня</w:t>
      </w:r>
    </w:p>
    <w:p w:rsidR="00340D0C" w:rsidRPr="00340D0C" w:rsidRDefault="00340D0C" w:rsidP="00340D0C">
      <w:pPr>
        <w:rPr>
          <w:b/>
          <w:bCs/>
        </w:rPr>
      </w:pPr>
      <w:r w:rsidRPr="00340D0C">
        <w:rPr>
          <w:b/>
          <w:bCs/>
        </w:rPr>
        <w:t xml:space="preserve">Предложения о внесении поправок в МПОГ/ДОПОГ/ВОПОГ: </w:t>
      </w:r>
      <w:r w:rsidRPr="00340D0C">
        <w:rPr>
          <w:b/>
          <w:bCs/>
        </w:rPr>
        <w:br/>
        <w:t>новые предложения</w:t>
      </w:r>
    </w:p>
    <w:p w:rsidR="00340D0C" w:rsidRPr="00340D0C" w:rsidRDefault="00340D0C" w:rsidP="00340D0C">
      <w:pPr>
        <w:pStyle w:val="HChGR"/>
      </w:pPr>
      <w:r w:rsidRPr="00340D0C">
        <w:tab/>
      </w:r>
      <w:r w:rsidRPr="00340D0C">
        <w:tab/>
        <w:t>Различные</w:t>
      </w:r>
      <w:r w:rsidRPr="00340D0C">
        <w:rPr>
          <w:bCs/>
        </w:rPr>
        <w:t xml:space="preserve"> предложения о </w:t>
      </w:r>
      <w:r w:rsidRPr="00340D0C">
        <w:t>поправках, направленных на уточнение</w:t>
      </w:r>
    </w:p>
    <w:p w:rsidR="00340D0C" w:rsidRPr="00340D0C" w:rsidRDefault="00340D0C" w:rsidP="00340D0C">
      <w:pPr>
        <w:pStyle w:val="H1GR"/>
      </w:pPr>
      <w:r w:rsidRPr="00340D0C">
        <w:tab/>
      </w:r>
      <w:r w:rsidRPr="00340D0C">
        <w:tab/>
        <w:t>Передано правительством Российской Федерации</w:t>
      </w:r>
    </w:p>
    <w:p w:rsidR="00340D0C" w:rsidRPr="00340D0C" w:rsidRDefault="00340D0C" w:rsidP="00340D0C">
      <w:pPr>
        <w:pStyle w:val="HChGR"/>
      </w:pPr>
      <w:r w:rsidRPr="00340D0C">
        <w:tab/>
      </w:r>
      <w:r w:rsidRPr="00340D0C">
        <w:tab/>
        <w:t>Введение</w:t>
      </w:r>
    </w:p>
    <w:p w:rsidR="00340D0C" w:rsidRPr="00340D0C" w:rsidRDefault="00340D0C" w:rsidP="00340D0C">
      <w:pPr>
        <w:pStyle w:val="SingleTxtGR"/>
      </w:pPr>
      <w:r>
        <w:rPr>
          <w:lang w:val="en-US"/>
        </w:rPr>
        <w:tab/>
      </w:r>
      <w:r w:rsidRPr="00340D0C">
        <w:t>Анализ текста МПОГ/ДОПОГ/ВОПОГ 2017 года показал, что имеются отдельные пункты, нуждающиеся в исправлении и уточнении, поскольку в их нынешнем виде эти пункты могут, по нашему мнению, приводить к неправильному толкованию или вводить пользователя правил в заблуждение.</w:t>
      </w:r>
    </w:p>
    <w:p w:rsidR="00340D0C" w:rsidRPr="00340D0C" w:rsidRDefault="00340D0C" w:rsidP="00340D0C">
      <w:pPr>
        <w:pStyle w:val="HChGR"/>
      </w:pPr>
      <w:r w:rsidRPr="00340D0C">
        <w:tab/>
      </w:r>
      <w:r w:rsidRPr="00340D0C">
        <w:tab/>
        <w:t>Предложения о поправках</w:t>
      </w:r>
    </w:p>
    <w:p w:rsidR="00340D0C" w:rsidRPr="00340D0C" w:rsidRDefault="00340D0C" w:rsidP="00340D0C">
      <w:pPr>
        <w:pStyle w:val="H1GR"/>
      </w:pPr>
      <w:r w:rsidRPr="00340D0C">
        <w:tab/>
      </w:r>
      <w:r w:rsidRPr="00340D0C">
        <w:tab/>
        <w:t>Перекрестная ссылка в подпункте 2.2.7.2.4.6.1</w:t>
      </w:r>
    </w:p>
    <w:p w:rsidR="00340D0C" w:rsidRPr="00340D0C" w:rsidRDefault="00340D0C" w:rsidP="00340D0C">
      <w:pPr>
        <w:pStyle w:val="SingleTxtGR"/>
      </w:pPr>
      <w:r w:rsidRPr="00340D0C">
        <w:t>Заменить «Упаковки, не классифицированные иным образом в подразделе</w:t>
      </w:r>
      <w:r w:rsidR="00A40D89">
        <w:rPr>
          <w:lang w:val="en-US"/>
        </w:rPr>
        <w:t> </w:t>
      </w:r>
      <w:r w:rsidRPr="00340D0C">
        <w:t>2.2.7.2.4 (2.2.7.2.4.1−2.2.7.2.4.5)» на «Упаковки, не классифицированные иным образом в подпунктах 2.2.7.2.4.1−2.2.7.2.4.5».</w:t>
      </w:r>
    </w:p>
    <w:p w:rsidR="00340D0C" w:rsidRPr="00340D0C" w:rsidRDefault="00340D0C" w:rsidP="0039720C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7E469A" w:rsidP="00340D0C">
      <w:pPr>
        <w:pStyle w:val="SingleTxtGR"/>
      </w:pPr>
      <w:r>
        <w:rPr>
          <w:lang w:val="en-US"/>
        </w:rPr>
        <w:tab/>
      </w:r>
      <w:r w:rsidR="00340D0C" w:rsidRPr="00340D0C">
        <w:t xml:space="preserve">Подпункты 2.2.7.2.4.1−2.2.7.2.4.5 включены в основной пункт 2.2.7.2.4. </w:t>
      </w:r>
      <w:r w:rsidR="0039720C">
        <w:t>В</w:t>
      </w:r>
      <w:r w:rsidR="0039720C">
        <w:rPr>
          <w:lang w:val="en-US"/>
        </w:rPr>
        <w:t> </w:t>
      </w:r>
      <w:r w:rsidR="00340D0C" w:rsidRPr="00340D0C">
        <w:t>пункте 2.2.7.2.4 содержатся также и другие подпункты.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>Перекрестная ссылка в пункте 2.2.9.1.3</w:t>
      </w:r>
    </w:p>
    <w:p w:rsidR="00340D0C" w:rsidRPr="00340D0C" w:rsidRDefault="00340D0C" w:rsidP="00340D0C">
      <w:pPr>
        <w:pStyle w:val="SingleTxtGR"/>
      </w:pPr>
      <w:r w:rsidRPr="00340D0C">
        <w:t>2.2.9.1.3</w:t>
      </w:r>
      <w:r w:rsidRPr="00340D0C">
        <w:tab/>
        <w:t>Заменить «2.2.9.1.4–2.2.9.1.14 ниже» на «2.2.9.1.4–2.2.9.1.8, 2.2.9.1.10, 2.2.9.1.11, 2.2.9.1.13 и 2.2.9.1.14 ниже».</w:t>
      </w:r>
    </w:p>
    <w:p w:rsidR="00340D0C" w:rsidRPr="00340D0C" w:rsidRDefault="00340D0C" w:rsidP="0034489D">
      <w:pPr>
        <w:pStyle w:val="H23GR"/>
      </w:pPr>
      <w:r w:rsidRPr="00340D0C">
        <w:lastRenderedPageBreak/>
        <w:tab/>
      </w:r>
      <w:r w:rsidRPr="00340D0C">
        <w:tab/>
        <w:t>Обоснование</w:t>
      </w:r>
    </w:p>
    <w:p w:rsidR="00340D0C" w:rsidRPr="00340D0C" w:rsidRDefault="007E469A" w:rsidP="00340D0C">
      <w:pPr>
        <w:pStyle w:val="SingleTxtGR"/>
      </w:pPr>
      <w:r>
        <w:rPr>
          <w:lang w:val="en-US"/>
        </w:rPr>
        <w:tab/>
      </w:r>
      <w:r w:rsidR="00340D0C" w:rsidRPr="00340D0C">
        <w:t>Ссылка на пункты 2.2.9.1.9 и 2.2.9.1.12, которые зарезервированы/</w:t>
      </w:r>
      <w:r w:rsidRPr="007E469A">
        <w:br/>
      </w:r>
      <w:r w:rsidR="00340D0C" w:rsidRPr="00340D0C">
        <w:t>исключены, может быть исключена.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 xml:space="preserve">Ссылка на </w:t>
      </w:r>
      <w:r w:rsidRPr="00340D0C">
        <w:rPr>
          <w:lang w:val="en-GB"/>
        </w:rPr>
        <w:t>TP</w:t>
      </w:r>
      <w:r w:rsidRPr="00340D0C">
        <w:t>3 в пункте 4.2.1.19.2</w:t>
      </w:r>
    </w:p>
    <w:p w:rsidR="00340D0C" w:rsidRPr="00340D0C" w:rsidRDefault="00340D0C" w:rsidP="00340D0C">
      <w:pPr>
        <w:pStyle w:val="SingleTxtGR"/>
      </w:pPr>
      <w:r w:rsidRPr="00340D0C">
        <w:t>4.2.1.19.2</w:t>
      </w:r>
      <w:r w:rsidRPr="00340D0C">
        <w:rPr>
          <w:b/>
        </w:rPr>
        <w:tab/>
      </w:r>
      <w:r w:rsidRPr="00340D0C">
        <w:t>В конце исключить «(</w:t>
      </w:r>
      <w:r w:rsidRPr="00340D0C">
        <w:rPr>
          <w:lang w:val="en-GB"/>
        </w:rPr>
        <w:t>TP</w:t>
      </w:r>
      <w:r w:rsidRPr="00340D0C">
        <w:t>3)».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7E469A" w:rsidP="00340D0C">
      <w:pPr>
        <w:pStyle w:val="SingleTxtGR"/>
      </w:pPr>
      <w:r>
        <w:rPr>
          <w:lang w:val="en-US"/>
        </w:rPr>
        <w:tab/>
      </w:r>
      <w:r w:rsidR="00340D0C" w:rsidRPr="00340D0C">
        <w:t xml:space="preserve">Специальное положение </w:t>
      </w:r>
      <w:r w:rsidR="00340D0C" w:rsidRPr="00340D0C">
        <w:rPr>
          <w:lang w:val="en-GB"/>
        </w:rPr>
        <w:t>TP</w:t>
      </w:r>
      <w:r w:rsidR="00340D0C" w:rsidRPr="00340D0C">
        <w:t>3 содержится в подразделе 4.2.5.3, а пункт</w:t>
      </w:r>
      <w:r>
        <w:rPr>
          <w:lang w:val="en-US"/>
        </w:rPr>
        <w:t> </w:t>
      </w:r>
      <w:r w:rsidR="00340D0C" w:rsidRPr="00340D0C">
        <w:t xml:space="preserve">4.2.1.19.2 касается определения степени наполнения в соответствии с пунктом 4.2.1.9.5. Предлагается исключить ссылку на </w:t>
      </w:r>
      <w:r w:rsidR="00340D0C" w:rsidRPr="00340D0C">
        <w:rPr>
          <w:lang w:val="en-GB"/>
        </w:rPr>
        <w:t>TP</w:t>
      </w:r>
      <w:r w:rsidR="00340D0C" w:rsidRPr="00340D0C">
        <w:t>3, которая может ввести пользователя в заблуждение.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>Перекрестная ссылка в пункте 5.3.2.2.1 ДОПОГ/ВОПОГ</w:t>
      </w:r>
    </w:p>
    <w:p w:rsidR="00340D0C" w:rsidRPr="00340D0C" w:rsidRDefault="00340D0C" w:rsidP="00340D0C">
      <w:pPr>
        <w:pStyle w:val="SingleTxtGR"/>
      </w:pPr>
      <w:r w:rsidRPr="00340D0C">
        <w:t>5.3.2.2.1</w:t>
      </w:r>
      <w:r w:rsidRPr="00340D0C">
        <w:rPr>
          <w:b/>
        </w:rPr>
        <w:tab/>
      </w:r>
      <w:r w:rsidRPr="00340D0C">
        <w:t>В абзаце перед примечанием заменить «в пунктах 5.3.2.2.1 и» на «</w:t>
      </w:r>
      <w:r w:rsidR="007F5C92">
        <w:t>в</w:t>
      </w:r>
      <w:r w:rsidR="007F5C92">
        <w:rPr>
          <w:lang w:val="en-US"/>
        </w:rPr>
        <w:t> </w:t>
      </w:r>
      <w:r w:rsidRPr="00340D0C">
        <w:t>настоящем пункте и пункте».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7E469A" w:rsidP="00340D0C">
      <w:pPr>
        <w:pStyle w:val="SingleTxtGR"/>
      </w:pPr>
      <w:r>
        <w:rPr>
          <w:lang w:val="en-US"/>
        </w:rPr>
        <w:tab/>
      </w:r>
      <w:r w:rsidR="00340D0C" w:rsidRPr="00340D0C">
        <w:t>В данном пункте содержится ссылка на сам этот пункт.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 xml:space="preserve">Перекрестная ссылка в подпункте 6.1.1.1 </w:t>
      </w:r>
      <w:r w:rsidRPr="00340D0C">
        <w:rPr>
          <w:lang w:val="en-GB"/>
        </w:rPr>
        <w:t>b</w:t>
      </w:r>
      <w:r w:rsidRPr="00340D0C">
        <w:t>)</w:t>
      </w:r>
    </w:p>
    <w:p w:rsidR="00340D0C" w:rsidRPr="00340D0C" w:rsidRDefault="00340D0C" w:rsidP="007F5C92">
      <w:pPr>
        <w:pStyle w:val="SingleTxtGR"/>
      </w:pPr>
      <w:r w:rsidRPr="00340D0C">
        <w:t xml:space="preserve">6.1.1.1 </w:t>
      </w:r>
      <w:r w:rsidRPr="00340D0C">
        <w:rPr>
          <w:lang w:val="en-GB"/>
        </w:rPr>
        <w:t>b</w:t>
      </w:r>
      <w:r w:rsidRPr="00340D0C">
        <w:t>)</w:t>
      </w:r>
      <w:r w:rsidRPr="00340D0C">
        <w:rPr>
          <w:b/>
        </w:rPr>
        <w:tab/>
      </w:r>
      <w:r w:rsidRPr="00340D0C">
        <w:t>Заменить «(см. главу 6.3, примечание и инструкцию по упаковке</w:t>
      </w:r>
      <w:r w:rsidR="007F5C92">
        <w:rPr>
          <w:lang w:val="en-US"/>
        </w:rPr>
        <w:t> </w:t>
      </w:r>
      <w:r w:rsidRPr="00340D0C">
        <w:rPr>
          <w:lang w:val="en-GB"/>
        </w:rPr>
        <w:t>P</w:t>
      </w:r>
      <w:r w:rsidRPr="00340D0C">
        <w:t xml:space="preserve">621 в подразделе 4.1.4.1)» на «(см. примечание к главе 6.3 и инструкцию по упаковке </w:t>
      </w:r>
      <w:r w:rsidRPr="00340D0C">
        <w:rPr>
          <w:lang w:val="en-GB"/>
        </w:rPr>
        <w:t>P</w:t>
      </w:r>
      <w:r w:rsidRPr="00340D0C">
        <w:t>621 в подразделе 4.1.4.1)».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34489D" w:rsidP="00340D0C">
      <w:pPr>
        <w:pStyle w:val="SingleTxtGR"/>
      </w:pPr>
      <w:r>
        <w:rPr>
          <w:lang w:val="en-US"/>
        </w:rPr>
        <w:tab/>
      </w:r>
      <w:r w:rsidR="00340D0C" w:rsidRPr="00340D0C">
        <w:t xml:space="preserve">Текст подпункта </w:t>
      </w:r>
      <w:r w:rsidR="00340D0C" w:rsidRPr="00340D0C">
        <w:rPr>
          <w:lang w:val="en-GB"/>
        </w:rPr>
        <w:t>b</w:t>
      </w:r>
      <w:r w:rsidR="00340D0C" w:rsidRPr="00340D0C">
        <w:t xml:space="preserve">) в круглых скобках может ввести пользователя в заблуждение, поскольку не ясно, относится ли упомянутое примечание к главе 6.3 или же оно содержится в инструкции по упаковке </w:t>
      </w:r>
      <w:r w:rsidR="00340D0C" w:rsidRPr="00340D0C">
        <w:rPr>
          <w:lang w:val="en-GB"/>
        </w:rPr>
        <w:t>P</w:t>
      </w:r>
      <w:r w:rsidR="00340D0C" w:rsidRPr="00340D0C">
        <w:t>621.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>Перекрестные ссылки в разделе 6.4.11</w:t>
      </w:r>
    </w:p>
    <w:p w:rsidR="00340D0C" w:rsidRPr="00340D0C" w:rsidRDefault="00340D0C" w:rsidP="00340D0C">
      <w:pPr>
        <w:pStyle w:val="SingleTxtGR"/>
      </w:pPr>
      <w:r w:rsidRPr="00340D0C">
        <w:t xml:space="preserve">6.4.11.1 </w:t>
      </w:r>
      <w:r w:rsidRPr="00340D0C">
        <w:rPr>
          <w:lang w:val="en-GB"/>
        </w:rPr>
        <w:t>b</w:t>
      </w:r>
      <w:r w:rsidRPr="00340D0C">
        <w:t xml:space="preserve">) </w:t>
      </w:r>
      <w:r w:rsidRPr="00340D0C">
        <w:rPr>
          <w:lang w:val="en-GB"/>
        </w:rPr>
        <w:t>iv</w:t>
      </w:r>
      <w:r w:rsidRPr="00340D0C">
        <w:t>)</w:t>
      </w:r>
      <w:r w:rsidRPr="00340D0C">
        <w:rPr>
          <w:b/>
        </w:rPr>
        <w:tab/>
      </w:r>
      <w:r w:rsidRPr="00340D0C">
        <w:t>Изменить начало следующим образом: «пунктов 6.4.11.4–6.4.11.10 и 6.4.11.12–6.4.11.14, если…». Остальной текст без изменений.</w:t>
      </w:r>
    </w:p>
    <w:p w:rsidR="00340D0C" w:rsidRPr="00340D0C" w:rsidRDefault="00340D0C" w:rsidP="00340D0C">
      <w:pPr>
        <w:pStyle w:val="SingleTxtGR"/>
      </w:pPr>
      <w:r w:rsidRPr="00340D0C">
        <w:t>6.4.11.2</w:t>
      </w:r>
      <w:r w:rsidRPr="00340D0C">
        <w:rPr>
          <w:b/>
        </w:rPr>
        <w:tab/>
      </w:r>
      <w:r w:rsidRPr="00340D0C">
        <w:t>Заменить «требований пунктов 6.4.11.4–6.4.11.14» на «требований пунктов 6.4.11.4–6.4.11.10 и 6.4.11.12–6.4.11.14».</w:t>
      </w:r>
    </w:p>
    <w:p w:rsidR="00340D0C" w:rsidRPr="00340D0C" w:rsidRDefault="00340D0C" w:rsidP="00340D0C">
      <w:pPr>
        <w:pStyle w:val="SingleTxtGR"/>
      </w:pPr>
      <w:r w:rsidRPr="00340D0C">
        <w:t>6.4.11.3</w:t>
      </w:r>
      <w:r w:rsidRPr="00340D0C">
        <w:rPr>
          <w:b/>
        </w:rPr>
        <w:tab/>
      </w:r>
      <w:r w:rsidRPr="00340D0C">
        <w:t>Заменить «положений пунктов 6.4.11.4–6.4.11.14» на «положений пунктов 6.4.11.4–6.4.11.10 и 6.4.11.12–6.4.11.14».</w:t>
      </w:r>
    </w:p>
    <w:p w:rsidR="00340D0C" w:rsidRPr="00340D0C" w:rsidRDefault="00340D0C" w:rsidP="00340D0C">
      <w:pPr>
        <w:pStyle w:val="SingleTxtGR"/>
      </w:pPr>
      <w:r w:rsidRPr="00340D0C">
        <w:t>6.4.11.4</w:t>
      </w:r>
      <w:r w:rsidRPr="00340D0C">
        <w:rPr>
          <w:b/>
        </w:rPr>
        <w:tab/>
      </w:r>
      <w:r w:rsidRPr="00340D0C">
        <w:t>Заменить «6.4.11.8–6.4.11.13» на «6.4.11.8–6.4.11.10, 6.4.11.12 и</w:t>
      </w:r>
      <w:r w:rsidR="00A4448B">
        <w:rPr>
          <w:lang w:val="en-US"/>
        </w:rPr>
        <w:t> </w:t>
      </w:r>
      <w:r w:rsidRPr="00340D0C">
        <w:t>6.4.11.13».</w:t>
      </w:r>
    </w:p>
    <w:p w:rsidR="00340D0C" w:rsidRPr="00340D0C" w:rsidRDefault="00340D0C" w:rsidP="00A4448B">
      <w:pPr>
        <w:pStyle w:val="SingleTxtGR"/>
      </w:pPr>
      <w:r w:rsidRPr="00340D0C">
        <w:t>6.4.11.5</w:t>
      </w:r>
      <w:r w:rsidRPr="00340D0C">
        <w:rPr>
          <w:b/>
        </w:rPr>
        <w:tab/>
      </w:r>
      <w:r w:rsidRPr="00340D0C">
        <w:t>Заменить «6.4.11.8</w:t>
      </w:r>
      <w:r w:rsidR="00A4448B">
        <w:rPr>
          <w:lang w:val="en-US"/>
        </w:rPr>
        <w:t>–</w:t>
      </w:r>
      <w:r w:rsidRPr="00340D0C">
        <w:t>6.4.11.13» на «6.4.11.8–6.4.11.10, 6.4.11.12 и</w:t>
      </w:r>
      <w:r w:rsidR="00A4448B">
        <w:rPr>
          <w:lang w:val="en-US"/>
        </w:rPr>
        <w:t> </w:t>
      </w:r>
      <w:r w:rsidRPr="00340D0C">
        <w:t>6.4.11.13».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34489D" w:rsidP="00340D0C">
      <w:pPr>
        <w:pStyle w:val="SingleTxtGR"/>
      </w:pPr>
      <w:r>
        <w:rPr>
          <w:lang w:val="en-US"/>
        </w:rPr>
        <w:tab/>
      </w:r>
      <w:r w:rsidR="00340D0C" w:rsidRPr="00340D0C">
        <w:t>Ссылка на пункт 6.4.11.11, который зарезервирован, может быть исключена.</w:t>
      </w:r>
    </w:p>
    <w:p w:rsidR="00340D0C" w:rsidRPr="00340D0C" w:rsidRDefault="00340D0C" w:rsidP="0034489D">
      <w:pPr>
        <w:pStyle w:val="H1GR"/>
      </w:pPr>
      <w:r w:rsidRPr="00340D0C">
        <w:lastRenderedPageBreak/>
        <w:tab/>
      </w:r>
      <w:r w:rsidRPr="00340D0C">
        <w:tab/>
        <w:t>Компоновка текста в пункте 6.6.5.1.6</w:t>
      </w:r>
    </w:p>
    <w:p w:rsidR="00340D0C" w:rsidRPr="00340D0C" w:rsidRDefault="00340D0C" w:rsidP="00340D0C">
      <w:pPr>
        <w:pStyle w:val="SingleTxtGR"/>
      </w:pPr>
      <w:r w:rsidRPr="00340D0C">
        <w:t>6.6.5.1.6 и примечание</w:t>
      </w:r>
      <w:r w:rsidRPr="00340D0C">
        <w:tab/>
        <w:t>Изменить следующим образом:</w:t>
      </w:r>
    </w:p>
    <w:p w:rsidR="00340D0C" w:rsidRPr="00340D0C" w:rsidRDefault="00340D0C" w:rsidP="00340D0C">
      <w:pPr>
        <w:pStyle w:val="SingleTxtGR"/>
      </w:pPr>
      <w:r w:rsidRPr="00340D0C">
        <w:t>«6.6.5.1.6</w:t>
      </w:r>
      <w:r w:rsidRPr="00340D0C">
        <w:tab/>
        <w:t>В отношении условий, касающихся объединения различных типов внутренней тары в крупногабаритной таре, и допустимых модификаций внутренней тары см. пункт 4.1.1.5.1.».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34489D" w:rsidP="00340D0C">
      <w:pPr>
        <w:pStyle w:val="SingleTxtGR"/>
      </w:pPr>
      <w:r>
        <w:rPr>
          <w:lang w:val="en-US"/>
        </w:rPr>
        <w:tab/>
      </w:r>
      <w:r w:rsidR="00340D0C" w:rsidRPr="00340D0C">
        <w:t>Данный пункт зарезервирован в МПОГ/ДОПОГ, однако в нем имеется примечание. Оптимальнее перенести текст примечания, с тем чтобы он стал текстом пункта.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>Перекрестные ссылки в пункте 6.9.3.1</w:t>
      </w:r>
    </w:p>
    <w:p w:rsidR="00340D0C" w:rsidRPr="00340D0C" w:rsidRDefault="0034489D" w:rsidP="00340D0C">
      <w:pPr>
        <w:pStyle w:val="SingleTxtGR"/>
      </w:pPr>
      <w:r>
        <w:t>6.9.3.1</w:t>
      </w:r>
      <w:r>
        <w:tab/>
      </w:r>
      <w:r w:rsidR="00340D0C" w:rsidRPr="00340D0C">
        <w:t>Изменить следующим образом:</w:t>
      </w:r>
    </w:p>
    <w:p w:rsidR="00340D0C" w:rsidRPr="00340D0C" w:rsidRDefault="00340D0C" w:rsidP="00340D0C">
      <w:pPr>
        <w:pStyle w:val="SingleTxtGR"/>
      </w:pPr>
      <w:r w:rsidRPr="00340D0C">
        <w:t>«6.9.3.1</w:t>
      </w:r>
      <w:r w:rsidRPr="00340D0C">
        <w:tab/>
        <w:t>Применяются требования пунктов 6.8.2.2.1, 6.8.2.2.2, 6.8.2.2.4, 6.8.2.2.6–6.8.2.2.8.».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34489D" w:rsidP="00340D0C">
      <w:pPr>
        <w:pStyle w:val="SingleTxtGR"/>
      </w:pPr>
      <w:r>
        <w:rPr>
          <w:lang w:val="en-US"/>
        </w:rPr>
        <w:tab/>
      </w:r>
      <w:r w:rsidR="00340D0C" w:rsidRPr="00340D0C">
        <w:t>Ссылка на пункт 6.8.2.2.5, который зарезервирован, может быть исключена.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>Формулировка пункта 6.10.1.2.1</w:t>
      </w:r>
    </w:p>
    <w:p w:rsidR="00340D0C" w:rsidRPr="00340D0C" w:rsidRDefault="00340D0C" w:rsidP="00340D0C">
      <w:pPr>
        <w:pStyle w:val="SingleTxtGR"/>
      </w:pPr>
      <w:r w:rsidRPr="00340D0C">
        <w:t>6.10.1.2.1</w:t>
      </w:r>
      <w:r w:rsidRPr="00340D0C">
        <w:tab/>
        <w:t>В последнем абзаце исключить «</w:t>
      </w:r>
      <w:r w:rsidR="00A4448B">
        <w:t>Однако требования пунктов</w:t>
      </w:r>
      <w:r w:rsidR="00A4448B">
        <w:rPr>
          <w:lang w:val="en-US"/>
        </w:rPr>
        <w:t> </w:t>
      </w:r>
      <w:r w:rsidRPr="00340D0C">
        <w:t>6.8.2.1.19, 6.8.2.1.20 и 6.8.2.1.21 не применяются.». Последний абзац читать следующим образом: «Вакуумные цистерны для отходов должны отвечать всем требованиям главы 6.8, за исключением случаев, когда специальным положением, содержащимся в главе 6.8, предписано иное.».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340D0C" w:rsidRPr="00340D0C" w:rsidRDefault="0034489D" w:rsidP="00340D0C">
      <w:pPr>
        <w:pStyle w:val="SingleTxtGR"/>
      </w:pPr>
      <w:r>
        <w:rPr>
          <w:lang w:val="en-US"/>
        </w:rPr>
        <w:tab/>
      </w:r>
      <w:r w:rsidR="00340D0C" w:rsidRPr="00340D0C">
        <w:t>Текст последнего предложения может ввести пользователя в заблуждение.</w:t>
      </w:r>
    </w:p>
    <w:p w:rsidR="00340D0C" w:rsidRPr="00340D0C" w:rsidRDefault="00340D0C" w:rsidP="0034489D">
      <w:pPr>
        <w:pStyle w:val="H1GR"/>
      </w:pPr>
      <w:r w:rsidRPr="00340D0C">
        <w:tab/>
      </w:r>
      <w:r w:rsidRPr="00340D0C">
        <w:tab/>
        <w:t>Ненужный текст в пункте 6.8.3.2.21</w:t>
      </w:r>
    </w:p>
    <w:p w:rsidR="00340D0C" w:rsidRPr="00340D0C" w:rsidRDefault="00340D0C" w:rsidP="00340D0C">
      <w:pPr>
        <w:pStyle w:val="SingleTxtGR"/>
      </w:pPr>
      <w:r w:rsidRPr="00340D0C">
        <w:t>6.8.3.2.21</w:t>
      </w:r>
      <w:r w:rsidRPr="00340D0C">
        <w:tab/>
        <w:t xml:space="preserve">Исключить после примечания предложение, которое гласит: «Основные требования этого пункта считаются выполненными, если применяются следующие стандарты: </w:t>
      </w:r>
      <w:r w:rsidRPr="00340D0C">
        <w:rPr>
          <w:i/>
          <w:iCs/>
        </w:rPr>
        <w:t>(зарезервировано)</w:t>
      </w:r>
      <w:r w:rsidRPr="00340D0C">
        <w:t>.».</w:t>
      </w:r>
    </w:p>
    <w:p w:rsidR="00340D0C" w:rsidRPr="00340D0C" w:rsidRDefault="00340D0C" w:rsidP="0034489D">
      <w:pPr>
        <w:pStyle w:val="H23GR"/>
      </w:pPr>
      <w:r w:rsidRPr="00340D0C">
        <w:tab/>
      </w:r>
      <w:r w:rsidRPr="00340D0C">
        <w:tab/>
        <w:t>Обоснование</w:t>
      </w:r>
    </w:p>
    <w:p w:rsidR="00E12C5F" w:rsidRPr="0034489D" w:rsidRDefault="0034489D" w:rsidP="00340D0C">
      <w:pPr>
        <w:pStyle w:val="SingleTxtGR"/>
      </w:pPr>
      <w:r>
        <w:rPr>
          <w:lang w:val="en-US"/>
        </w:rPr>
        <w:tab/>
      </w:r>
      <w:r w:rsidR="00340D0C" w:rsidRPr="00340D0C">
        <w:t>Последнее предложение не отсылает к чему-либо и поэтому не нужно.</w:t>
      </w:r>
    </w:p>
    <w:p w:rsidR="0034489D" w:rsidRPr="0034489D" w:rsidRDefault="0034489D" w:rsidP="0034489D">
      <w:pPr>
        <w:pStyle w:val="SingleTxtGR"/>
        <w:spacing w:before="240" w:after="0"/>
        <w:jc w:val="center"/>
        <w:rPr>
          <w:u w:val="single"/>
        </w:rPr>
      </w:pPr>
      <w:r w:rsidRPr="0034489D">
        <w:rPr>
          <w:u w:val="single"/>
        </w:rPr>
        <w:tab/>
      </w:r>
      <w:r w:rsidRPr="0034489D">
        <w:rPr>
          <w:u w:val="single"/>
        </w:rPr>
        <w:tab/>
      </w:r>
      <w:r w:rsidRPr="0034489D">
        <w:rPr>
          <w:u w:val="single"/>
        </w:rPr>
        <w:tab/>
      </w:r>
    </w:p>
    <w:sectPr w:rsidR="0034489D" w:rsidRPr="0034489D" w:rsidSect="00BB07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B01" w:rsidRPr="00A312BC" w:rsidRDefault="003B2B01" w:rsidP="00A312BC"/>
  </w:endnote>
  <w:endnote w:type="continuationSeparator" w:id="0">
    <w:p w:rsidR="003B2B01" w:rsidRPr="00A312BC" w:rsidRDefault="003B2B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FF" w:rsidRPr="00BB07FF" w:rsidRDefault="00BB07FF">
    <w:pPr>
      <w:pStyle w:val="Footer"/>
    </w:pPr>
    <w:r w:rsidRPr="00BB07FF">
      <w:rPr>
        <w:b/>
        <w:sz w:val="18"/>
      </w:rPr>
      <w:fldChar w:fldCharType="begin"/>
    </w:r>
    <w:r w:rsidRPr="00BB07FF">
      <w:rPr>
        <w:b/>
        <w:sz w:val="18"/>
      </w:rPr>
      <w:instrText xml:space="preserve"> PAGE  \* MERGEFORMAT </w:instrText>
    </w:r>
    <w:r w:rsidRPr="00BB07FF">
      <w:rPr>
        <w:b/>
        <w:sz w:val="18"/>
      </w:rPr>
      <w:fldChar w:fldCharType="separate"/>
    </w:r>
    <w:r w:rsidR="00840267">
      <w:rPr>
        <w:b/>
        <w:noProof/>
        <w:sz w:val="18"/>
      </w:rPr>
      <w:t>2</w:t>
    </w:r>
    <w:r w:rsidRPr="00BB07FF">
      <w:rPr>
        <w:b/>
        <w:sz w:val="18"/>
      </w:rPr>
      <w:fldChar w:fldCharType="end"/>
    </w:r>
    <w:r>
      <w:rPr>
        <w:b/>
        <w:sz w:val="18"/>
      </w:rPr>
      <w:tab/>
    </w:r>
    <w:r>
      <w:t>GE.17-11495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FF" w:rsidRPr="00BB07FF" w:rsidRDefault="00BB07FF" w:rsidP="00BB07FF">
    <w:pPr>
      <w:pStyle w:val="Footer"/>
      <w:tabs>
        <w:tab w:val="clear" w:pos="9639"/>
        <w:tab w:val="right" w:pos="9638"/>
      </w:tabs>
      <w:rPr>
        <w:b/>
        <w:sz w:val="18"/>
      </w:rPr>
    </w:pPr>
    <w:r>
      <w:t>GE.17-11495</w:t>
    </w:r>
    <w:r>
      <w:tab/>
    </w:r>
    <w:r w:rsidRPr="00BB07FF">
      <w:rPr>
        <w:b/>
        <w:sz w:val="18"/>
      </w:rPr>
      <w:fldChar w:fldCharType="begin"/>
    </w:r>
    <w:r w:rsidRPr="00BB07FF">
      <w:rPr>
        <w:b/>
        <w:sz w:val="18"/>
      </w:rPr>
      <w:instrText xml:space="preserve"> PAGE  \* MERGEFORMAT </w:instrText>
    </w:r>
    <w:r w:rsidRPr="00BB07FF">
      <w:rPr>
        <w:b/>
        <w:sz w:val="18"/>
      </w:rPr>
      <w:fldChar w:fldCharType="separate"/>
    </w:r>
    <w:r w:rsidR="00840267">
      <w:rPr>
        <w:b/>
        <w:noProof/>
        <w:sz w:val="18"/>
      </w:rPr>
      <w:t>3</w:t>
    </w:r>
    <w:r w:rsidRPr="00BB07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B07FF" w:rsidRDefault="00BB07FF" w:rsidP="00BB07FF">
    <w:pPr>
      <w:spacing w:before="120" w:line="240" w:lineRule="auto"/>
    </w:pPr>
    <w:r>
      <w:t>GE.</w:t>
    </w:r>
    <w:r w:rsidR="00DF71B9">
      <w:rPr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3C09E500" wp14:editId="62A30B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17-11495  (R)</w:t>
    </w:r>
    <w:r>
      <w:rPr>
        <w:lang w:val="en-US"/>
      </w:rPr>
      <w:t xml:space="preserve">  200717  200717</w:t>
    </w:r>
    <w:r>
      <w:br/>
    </w:r>
    <w:r w:rsidRPr="00BB07FF">
      <w:rPr>
        <w:rFonts w:ascii="C39T30Lfz" w:hAnsi="C39T30Lfz"/>
        <w:spacing w:val="0"/>
        <w:w w:val="100"/>
        <w:sz w:val="56"/>
      </w:rPr>
      <w:t></w:t>
    </w:r>
    <w:r w:rsidRPr="00BB07FF">
      <w:rPr>
        <w:rFonts w:ascii="C39T30Lfz" w:hAnsi="C39T30Lfz"/>
        <w:spacing w:val="0"/>
        <w:w w:val="100"/>
        <w:sz w:val="56"/>
      </w:rPr>
      <w:t></w:t>
    </w:r>
    <w:r w:rsidRPr="00BB07FF">
      <w:rPr>
        <w:rFonts w:ascii="C39T30Lfz" w:hAnsi="C39T30Lfz"/>
        <w:spacing w:val="0"/>
        <w:w w:val="100"/>
        <w:sz w:val="56"/>
      </w:rPr>
      <w:t></w:t>
    </w:r>
    <w:r w:rsidRPr="00BB07FF">
      <w:rPr>
        <w:rFonts w:ascii="C39T30Lfz" w:hAnsi="C39T30Lfz"/>
        <w:spacing w:val="0"/>
        <w:w w:val="100"/>
        <w:sz w:val="56"/>
      </w:rPr>
      <w:t></w:t>
    </w:r>
    <w:r w:rsidRPr="00BB07FF">
      <w:rPr>
        <w:rFonts w:ascii="C39T30Lfz" w:hAnsi="C39T30Lfz"/>
        <w:spacing w:val="0"/>
        <w:w w:val="100"/>
        <w:sz w:val="56"/>
      </w:rPr>
      <w:t></w:t>
    </w:r>
    <w:r w:rsidRPr="00BB07FF">
      <w:rPr>
        <w:rFonts w:ascii="C39T30Lfz" w:hAnsi="C39T30Lfz"/>
        <w:spacing w:val="0"/>
        <w:w w:val="100"/>
        <w:sz w:val="56"/>
      </w:rPr>
      <w:t></w:t>
    </w:r>
    <w:r w:rsidRPr="00BB07FF">
      <w:rPr>
        <w:rFonts w:ascii="C39T30Lfz" w:hAnsi="C39T30Lfz"/>
        <w:spacing w:val="0"/>
        <w:w w:val="100"/>
        <w:sz w:val="56"/>
      </w:rPr>
      <w:t></w:t>
    </w:r>
    <w:r w:rsidRPr="00BB07FF">
      <w:rPr>
        <w:rFonts w:ascii="C39T30Lfz" w:hAnsi="C39T30Lfz"/>
        <w:spacing w:val="0"/>
        <w:w w:val="100"/>
        <w:sz w:val="56"/>
      </w:rPr>
      <w:t></w:t>
    </w:r>
    <w:r w:rsidRPr="00BB07F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2017/4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2017/4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B01" w:rsidRPr="001075E9" w:rsidRDefault="003B2B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B2B01" w:rsidRDefault="003B2B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FF" w:rsidRPr="00BB07FF" w:rsidRDefault="0084026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F418E">
      <w:t>ECE/TRANS/WP.15/AC.1/2017/43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FF" w:rsidRPr="00BB07FF" w:rsidRDefault="00840267" w:rsidP="00BB07F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F418E">
      <w:t>ECE/TRANS/WP.15/AC.1/2017/43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3DF5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0D0C"/>
    <w:rsid w:val="0034489D"/>
    <w:rsid w:val="00381C24"/>
    <w:rsid w:val="00387CD4"/>
    <w:rsid w:val="003958D0"/>
    <w:rsid w:val="0039720C"/>
    <w:rsid w:val="003A0D43"/>
    <w:rsid w:val="003A48CE"/>
    <w:rsid w:val="003B00E5"/>
    <w:rsid w:val="003B2B01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1079"/>
    <w:rsid w:val="006C2031"/>
    <w:rsid w:val="006D461A"/>
    <w:rsid w:val="006F35EE"/>
    <w:rsid w:val="007021FF"/>
    <w:rsid w:val="00712895"/>
    <w:rsid w:val="00734ACB"/>
    <w:rsid w:val="00757357"/>
    <w:rsid w:val="00792497"/>
    <w:rsid w:val="007E469A"/>
    <w:rsid w:val="007F5C92"/>
    <w:rsid w:val="00806737"/>
    <w:rsid w:val="00825F8D"/>
    <w:rsid w:val="00834B71"/>
    <w:rsid w:val="00840267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7E13"/>
    <w:rsid w:val="009A24AC"/>
    <w:rsid w:val="009C6FE6"/>
    <w:rsid w:val="00A14DA8"/>
    <w:rsid w:val="00A312BC"/>
    <w:rsid w:val="00A40D89"/>
    <w:rsid w:val="00A4448B"/>
    <w:rsid w:val="00A84021"/>
    <w:rsid w:val="00A84D35"/>
    <w:rsid w:val="00A917B3"/>
    <w:rsid w:val="00AB4B51"/>
    <w:rsid w:val="00AD68D5"/>
    <w:rsid w:val="00B10CC7"/>
    <w:rsid w:val="00B36DF7"/>
    <w:rsid w:val="00B539E7"/>
    <w:rsid w:val="00B62458"/>
    <w:rsid w:val="00BB07FF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3EFFF9-6503-4872-8A6A-9F065A23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ECE/TRANS/WP.15/AC.1/2017/43</vt:lpstr>
      <vt:lpstr>ECE/TRANS/WP.15/AC.1/2017/43</vt:lpstr>
      <vt:lpstr>A/</vt:lpstr>
    </vt:vector>
  </TitlesOfParts>
  <Company>DCM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ECE/TRANS/WP.15/AC.1/2017/43</dc:title>
  <dc:subject/>
  <dc:creator>Ekaterina SALYNSKAYA</dc:creator>
  <cp:keywords/>
  <cp:lastModifiedBy>Christine Barrio-Champeau</cp:lastModifiedBy>
  <cp:revision>2</cp:revision>
  <cp:lastPrinted>2017-07-20T13:11:00Z</cp:lastPrinted>
  <dcterms:created xsi:type="dcterms:W3CDTF">2017-08-07T09:19:00Z</dcterms:created>
  <dcterms:modified xsi:type="dcterms:W3CDTF">2017-08-07T09:19:00Z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