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565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565DA" w:rsidP="00A565DA">
            <w:pPr>
              <w:jc w:val="right"/>
            </w:pPr>
            <w:r w:rsidRPr="00A565DA">
              <w:rPr>
                <w:sz w:val="40"/>
              </w:rPr>
              <w:t>ECE</w:t>
            </w:r>
            <w:r>
              <w:t>/TRANS/WP.15/AC.1/2017/35</w:t>
            </w:r>
          </w:p>
        </w:tc>
      </w:tr>
      <w:tr w:rsidR="002D5AAC" w:rsidRPr="004E7B6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565D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565DA" w:rsidRDefault="00A565DA" w:rsidP="00A565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June 2017</w:t>
            </w:r>
          </w:p>
          <w:p w:rsidR="00A565DA" w:rsidRDefault="00A565DA" w:rsidP="00A565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565DA" w:rsidRPr="008D53B6" w:rsidRDefault="00A565DA" w:rsidP="00A565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565DA" w:rsidRPr="00A565DA" w:rsidRDefault="00A565DA" w:rsidP="00A565DA">
      <w:pPr>
        <w:spacing w:before="120"/>
        <w:rPr>
          <w:sz w:val="28"/>
          <w:szCs w:val="28"/>
        </w:rPr>
      </w:pPr>
      <w:r w:rsidRPr="00A565DA">
        <w:rPr>
          <w:sz w:val="28"/>
          <w:szCs w:val="28"/>
        </w:rPr>
        <w:t>Комитет по внутреннему транспорту</w:t>
      </w:r>
    </w:p>
    <w:p w:rsidR="00A565DA" w:rsidRPr="00A565DA" w:rsidRDefault="00A565DA" w:rsidP="00A565DA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группа по перевозкам</w:t>
      </w:r>
      <w:r w:rsidRPr="00A565DA">
        <w:rPr>
          <w:b/>
          <w:sz w:val="24"/>
          <w:szCs w:val="24"/>
        </w:rPr>
        <w:br/>
        <w:t>опасных грузов</w:t>
      </w:r>
    </w:p>
    <w:p w:rsidR="00A565DA" w:rsidRPr="00A565DA" w:rsidRDefault="00A565DA" w:rsidP="00A565DA">
      <w:pPr>
        <w:spacing w:before="120"/>
        <w:rPr>
          <w:b/>
        </w:rPr>
      </w:pPr>
      <w:r>
        <w:rPr>
          <w:b/>
        </w:rPr>
        <w:t>Совместное совещание Комиссии</w:t>
      </w:r>
      <w:r w:rsidRPr="00A565DA">
        <w:rPr>
          <w:b/>
        </w:rPr>
        <w:t xml:space="preserve"> </w:t>
      </w:r>
      <w:r>
        <w:rPr>
          <w:b/>
        </w:rPr>
        <w:t>экспертов МПОГ</w:t>
      </w:r>
      <w:r w:rsidRPr="00A565DA">
        <w:rPr>
          <w:b/>
        </w:rPr>
        <w:br/>
        <w:t>и Рабочей группы по перевозкам опасных грузов</w:t>
      </w:r>
    </w:p>
    <w:p w:rsidR="00A565DA" w:rsidRPr="00A565DA" w:rsidRDefault="00A565DA" w:rsidP="00A565DA">
      <w:r w:rsidRPr="00A565DA">
        <w:t>Женева, 19–29 сентября 2017 года</w:t>
      </w:r>
    </w:p>
    <w:p w:rsidR="00A565DA" w:rsidRPr="00A565DA" w:rsidRDefault="00A565DA" w:rsidP="00A565DA">
      <w:r w:rsidRPr="00A565DA">
        <w:t>Пункт 4 предварительной повестки дня</w:t>
      </w:r>
    </w:p>
    <w:p w:rsidR="00A565DA" w:rsidRPr="00A565DA" w:rsidRDefault="00A565DA" w:rsidP="00A565DA">
      <w:pPr>
        <w:rPr>
          <w:b/>
        </w:rPr>
      </w:pPr>
      <w:r w:rsidRPr="00A565DA">
        <w:rPr>
          <w:b/>
        </w:rPr>
        <w:t>Согласован</w:t>
      </w:r>
      <w:r>
        <w:rPr>
          <w:b/>
        </w:rPr>
        <w:t>ие с Рекомендациями Организации</w:t>
      </w:r>
      <w:r w:rsidRPr="00A565DA">
        <w:rPr>
          <w:b/>
        </w:rPr>
        <w:br/>
        <w:t>Объединенных Наций по перевозке опасных грузов</w:t>
      </w:r>
    </w:p>
    <w:p w:rsidR="00A565DA" w:rsidRPr="00A565DA" w:rsidRDefault="00A565DA" w:rsidP="00A565DA">
      <w:pPr>
        <w:pStyle w:val="HChGR"/>
      </w:pPr>
      <w:r w:rsidRPr="00A565DA">
        <w:tab/>
      </w:r>
      <w:r w:rsidRPr="00A565DA">
        <w:tab/>
        <w:t>Поправка к пункту 2.2.51.2.2 в части, касающейся удобрений</w:t>
      </w:r>
    </w:p>
    <w:p w:rsidR="00A565DA" w:rsidRPr="00A565DA" w:rsidRDefault="00A565DA" w:rsidP="00A565DA">
      <w:pPr>
        <w:pStyle w:val="H1GR"/>
        <w:rPr>
          <w:lang w:val="en-GB"/>
        </w:rPr>
      </w:pPr>
      <w:r w:rsidRPr="00A565DA">
        <w:tab/>
      </w:r>
      <w:r w:rsidRPr="00A565DA">
        <w:tab/>
        <w:t>Передано правительством Швеции</w:t>
      </w:r>
      <w:r w:rsidRPr="00A565DA">
        <w:rPr>
          <w:rStyle w:val="FootnoteReference"/>
          <w:b w:val="0"/>
          <w:position w:val="6"/>
          <w:szCs w:val="18"/>
          <w:vertAlign w:val="baseline"/>
        </w:rPr>
        <w:footnoteReference w:customMarkFollows="1" w:id="1"/>
        <w:t>*</w:t>
      </w:r>
      <w:r w:rsidRPr="00A565DA">
        <w:rPr>
          <w:b w:val="0"/>
          <w:position w:val="6"/>
          <w:sz w:val="18"/>
          <w:szCs w:val="18"/>
          <w:lang w:val="en-US"/>
        </w:rPr>
        <w:t xml:space="preserve"> </w:t>
      </w:r>
      <w:r w:rsidRPr="00A565DA">
        <w:rPr>
          <w:rStyle w:val="FootnoteReference"/>
          <w:b w:val="0"/>
          <w:position w:val="6"/>
          <w:szCs w:val="18"/>
          <w:vertAlign w:val="baseline"/>
          <w:lang w:val="en-US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621"/>
        <w:gridCol w:w="6007"/>
      </w:tblGrid>
      <w:tr w:rsidR="00A565DA" w:rsidRPr="00A565DA" w:rsidTr="00A565DA">
        <w:trPr>
          <w:jc w:val="center"/>
        </w:trPr>
        <w:tc>
          <w:tcPr>
            <w:tcW w:w="9637" w:type="dxa"/>
            <w:gridSpan w:val="2"/>
            <w:tcBorders>
              <w:bottom w:val="nil"/>
            </w:tcBorders>
          </w:tcPr>
          <w:p w:rsidR="00A565DA" w:rsidRPr="00A565DA" w:rsidRDefault="00A565DA" w:rsidP="00835586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A565DA">
              <w:rPr>
                <w:rFonts w:cs="Times New Roman"/>
              </w:rPr>
              <w:tab/>
            </w:r>
            <w:r w:rsidRPr="00A565DA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A565DA" w:rsidRPr="00A565DA" w:rsidTr="00CD2F31">
        <w:trPr>
          <w:jc w:val="center"/>
        </w:trPr>
        <w:tc>
          <w:tcPr>
            <w:tcW w:w="36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65DA" w:rsidRPr="00A565DA" w:rsidRDefault="00A565DA" w:rsidP="00A565DA">
            <w:pPr>
              <w:pStyle w:val="SingleTxtGR"/>
              <w:ind w:right="0"/>
            </w:pPr>
            <w:r w:rsidRPr="00A565DA">
              <w:rPr>
                <w:b/>
              </w:rPr>
              <w:t>Существо предложения: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565DA" w:rsidRPr="00A565DA" w:rsidRDefault="00A565DA" w:rsidP="00A565DA">
            <w:pPr>
              <w:pStyle w:val="SingleTxtGR"/>
              <w:ind w:left="0"/>
            </w:pPr>
            <w:r w:rsidRPr="00A565DA">
              <w:t>Внести поправки в тринадцатый подпункт пунк-</w:t>
            </w:r>
            <w:r w:rsidRPr="00A565DA">
              <w:br/>
              <w:t>та 2.2.51.2.2, с тем чтобы привести его в соответствие с Типовыми правилами Организации Объединенных Наций при сохранении нынешнего уровня безопасности.</w:t>
            </w:r>
          </w:p>
        </w:tc>
      </w:tr>
      <w:tr w:rsidR="00A565DA" w:rsidRPr="00CD2F31" w:rsidTr="00CD2F31">
        <w:trPr>
          <w:jc w:val="center"/>
        </w:trPr>
        <w:tc>
          <w:tcPr>
            <w:tcW w:w="3626" w:type="dxa"/>
            <w:tcBorders>
              <w:top w:val="nil"/>
              <w:bottom w:val="nil"/>
              <w:right w:val="nil"/>
            </w:tcBorders>
          </w:tcPr>
          <w:p w:rsidR="00A565DA" w:rsidRPr="00A565DA" w:rsidRDefault="00A565DA" w:rsidP="00A565DA">
            <w:pPr>
              <w:pStyle w:val="SingleTxtGR"/>
              <w:ind w:right="0"/>
            </w:pPr>
            <w:r w:rsidRPr="00A565DA">
              <w:rPr>
                <w:b/>
              </w:rPr>
              <w:t>Справочные документы: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</w:tcBorders>
          </w:tcPr>
          <w:p w:rsidR="00A565DA" w:rsidRPr="00CD2F31" w:rsidRDefault="00CD2F31" w:rsidP="00B44380">
            <w:pPr>
              <w:pStyle w:val="SingleTxtGR"/>
              <w:ind w:left="0"/>
            </w:pPr>
            <w:r w:rsidRPr="00B44380">
              <w:rPr>
                <w:spacing w:val="0"/>
              </w:rPr>
              <w:t>ECE/TRANS/WP.15/AC.1/2017/26/Add.1 (Доклад Спе</w:t>
            </w:r>
            <w:r w:rsidR="00B44380" w:rsidRPr="00B44380">
              <w:rPr>
                <w:spacing w:val="0"/>
              </w:rPr>
              <w:t>-</w:t>
            </w:r>
            <w:r w:rsidR="00B44380">
              <w:t xml:space="preserve"> </w:t>
            </w:r>
            <w:r w:rsidRPr="00B44380">
              <w:t>циальной</w:t>
            </w:r>
            <w:r>
              <w:t xml:space="preserve"> рабочей группы по согласованию МПОГ/ ДОПОГ/ВОПОГ с Рекомендациями Организации Объединенных Наций по перевозке опасных грузов.</w:t>
            </w:r>
          </w:p>
        </w:tc>
      </w:tr>
      <w:tr w:rsidR="00A565DA" w:rsidRPr="00CD2F31" w:rsidTr="00835586">
        <w:trPr>
          <w:jc w:val="center"/>
        </w:trPr>
        <w:tc>
          <w:tcPr>
            <w:tcW w:w="9637" w:type="dxa"/>
            <w:gridSpan w:val="2"/>
            <w:tcBorders>
              <w:top w:val="nil"/>
            </w:tcBorders>
          </w:tcPr>
          <w:p w:rsidR="00A565DA" w:rsidRPr="00CD2F31" w:rsidRDefault="00A565DA" w:rsidP="00835586">
            <w:pPr>
              <w:rPr>
                <w:rFonts w:cs="Times New Roman"/>
              </w:rPr>
            </w:pPr>
          </w:p>
        </w:tc>
      </w:tr>
    </w:tbl>
    <w:p w:rsidR="00CD2F31" w:rsidRPr="00CD2F31" w:rsidRDefault="00CD2F31" w:rsidP="00CD2F31">
      <w:pPr>
        <w:pStyle w:val="HChGR"/>
        <w:pageBreakBefore/>
      </w:pPr>
      <w:r>
        <w:lastRenderedPageBreak/>
        <w:tab/>
      </w:r>
      <w:r>
        <w:tab/>
      </w:r>
      <w:r w:rsidRPr="00CD2F31">
        <w:t>Справочная информация</w:t>
      </w:r>
    </w:p>
    <w:p w:rsidR="00CD2F31" w:rsidRPr="00CD2F31" w:rsidRDefault="00CD2F31" w:rsidP="00CD2F31">
      <w:pPr>
        <w:pStyle w:val="SingleTxtGR"/>
      </w:pPr>
      <w:r w:rsidRPr="00CD2F31">
        <w:t>1.</w:t>
      </w:r>
      <w:r w:rsidRPr="00CD2F31">
        <w:tab/>
        <w:t>Среди предложенных поправок к Типовым правилам, содержащимся в девятнадцатом пересмотренном издании Рекомендаций Организации Объединенных Наций по перевозке опасных грузов, есть существенные поправки к положениям, касающимся удобрений на основе нитрата аммония</w:t>
      </w:r>
      <w:r w:rsidRPr="00C33472">
        <w:rPr>
          <w:sz w:val="18"/>
          <w:vertAlign w:val="superscript"/>
        </w:rPr>
        <w:footnoteReference w:id="3"/>
      </w:r>
      <w:r w:rsidRPr="00CD2F31">
        <w:t>. Если кратко охарактеризовать предлагаемые изменения, они предусматривают перенос действующих требований, касающихся состава удобрений на основе нитрата аммония для их отнесения к № ООН 2067 или 2</w:t>
      </w:r>
      <w:r w:rsidR="00C33472">
        <w:t>071, из специальных положений </w:t>
      </w:r>
      <w:r w:rsidRPr="00CD2F31">
        <w:t>(СП) 307 и 193 в схему принятия решений в новом разделе 39 Руководства. Хотя большинство этих изменений достаточно просто внести в МПОГ/ДОПОГ/</w:t>
      </w:r>
      <w:r>
        <w:t xml:space="preserve"> </w:t>
      </w:r>
      <w:r w:rsidRPr="00CD2F31">
        <w:t>ВОПОГ, одна важная сопутствующая поправка заслуживает особого внимания.</w:t>
      </w:r>
    </w:p>
    <w:p w:rsidR="00CD2F31" w:rsidRPr="00CD2F31" w:rsidRDefault="00CD2F31" w:rsidP="00CD2F31">
      <w:pPr>
        <w:pStyle w:val="SingleTxtGR"/>
      </w:pPr>
      <w:r w:rsidRPr="00CD2F31">
        <w:t>2.</w:t>
      </w:r>
      <w:r w:rsidRPr="00CD2F31">
        <w:tab/>
        <w:t>В пункте 2.2.51.2.2 МПОГ/ДОПОГ/ВОПОГ перечислены вещества, не допускаемые к перевозке в качестве веществ, относящихся к классу 5.1. В тринадцатом подпункте уточняется, что некоторые виды удобрений, относящиеся к этому классу, допускаются к перевозке только при соблюдении определенных условий. Положение, которое не отражено в действующей редакции Типовых правил, в настоящее время гласит следующее:</w:t>
      </w:r>
    </w:p>
    <w:p w:rsidR="00CD2F31" w:rsidRPr="00CD2F31" w:rsidRDefault="00CD2F31" w:rsidP="00CD2F31">
      <w:pPr>
        <w:pStyle w:val="SingleTxtGR"/>
        <w:rPr>
          <w:i/>
        </w:rPr>
      </w:pPr>
      <w:r w:rsidRPr="00C33472">
        <w:t>«</w:t>
      </w:r>
      <w:r>
        <w:rPr>
          <w:i/>
        </w:rPr>
        <w:t>–</w:t>
      </w:r>
      <w:r w:rsidRPr="00CD2F31">
        <w:rPr>
          <w:i/>
        </w:rPr>
        <w:t xml:space="preserve"> удобрения с нитратом аммония [(...)] или с горючими веществами, содержание которых превышает величины, указанные в сп</w:t>
      </w:r>
      <w:r w:rsidR="00C33472">
        <w:rPr>
          <w:i/>
        </w:rPr>
        <w:t>ециальном положении </w:t>
      </w:r>
      <w:r w:rsidRPr="00CD2F31">
        <w:rPr>
          <w:i/>
        </w:rPr>
        <w:t>307, кроме случаев, когда они допускаются к перевозке с соблюдением условий, применимых к классу 1;</w:t>
      </w:r>
      <w:r w:rsidRPr="00C33472">
        <w:t>»</w:t>
      </w:r>
      <w:r w:rsidRPr="00CD2F31">
        <w:rPr>
          <w:i/>
        </w:rPr>
        <w:t>.</w:t>
      </w:r>
    </w:p>
    <w:p w:rsidR="00CD2F31" w:rsidRPr="00CD2F31" w:rsidRDefault="00CD2F31" w:rsidP="00CD2F31">
      <w:pPr>
        <w:pStyle w:val="SingleTxtGR"/>
      </w:pPr>
      <w:r w:rsidRPr="00CD2F31">
        <w:t>Суть этого положения заключается в запрещении перевозки в качестве материала класса 5.1 составов удобрений, являющихся по своим свойствам более взрывоопасными.</w:t>
      </w:r>
    </w:p>
    <w:p w:rsidR="00CD2F31" w:rsidRPr="00CD2F31" w:rsidRDefault="00CD2F31" w:rsidP="00CD2F31">
      <w:pPr>
        <w:pStyle w:val="SingleTxtGR"/>
      </w:pPr>
      <w:r w:rsidRPr="00CD2F31">
        <w:t>3.</w:t>
      </w:r>
      <w:r w:rsidRPr="00CD2F31">
        <w:tab/>
        <w:t>Взрывчатые свойства смесей с высоким содержанием нитрата аммония и горючими материалами хорошо известны – более того, в рамках класса 1 им присвоен отд</w:t>
      </w:r>
      <w:r w:rsidR="00C33472">
        <w:t>ельный номер ООН (№ ООН 0222), –</w:t>
      </w:r>
      <w:r w:rsidRPr="00CD2F31">
        <w:t xml:space="preserve"> в связи с чем в удобрениях, отнесенных к № ООН 2067, допускается лишь небольшое содержание горючих материалов (см. действующую редакцию СП 307). Кроме того, смеси с высоким содержанием нитрата аммония в сочетании с сульфатом аммония еще более взрывоопасны, чем нитрат аммония в чистом виде</w:t>
      </w:r>
      <w:r w:rsidRPr="00C33472">
        <w:rPr>
          <w:sz w:val="18"/>
          <w:vertAlign w:val="superscript"/>
        </w:rPr>
        <w:footnoteReference w:id="4"/>
      </w:r>
      <w:r w:rsidRPr="00CD2F31">
        <w:t>. Помимо этого, нитрат аммония крайне чувствителен к некоторым материалам, в частности к большинству переходных металлов (например, к меди) и хлоридам, что может привести к его распаду и взрыву в случае помещения в закрытую емкость</w:t>
      </w:r>
      <w:r w:rsidRPr="00C33472">
        <w:rPr>
          <w:sz w:val="18"/>
          <w:vertAlign w:val="superscript"/>
        </w:rPr>
        <w:footnoteReference w:id="5"/>
      </w:r>
      <w:r w:rsidRPr="00CD2F31">
        <w:t>. Положением пункта 2.2.51.2.2 регулируется перевозка именно таких типов составов удобрений, что вполне обоснованно.</w:t>
      </w:r>
    </w:p>
    <w:p w:rsidR="00CD2F31" w:rsidRPr="00CD2F31" w:rsidRDefault="00CD2F31" w:rsidP="00CD2F31">
      <w:pPr>
        <w:pStyle w:val="HChGR"/>
      </w:pPr>
      <w:r w:rsidRPr="00CD2F31">
        <w:tab/>
      </w:r>
      <w:r w:rsidRPr="00CD2F31">
        <w:tab/>
        <w:t>Суть проблемы</w:t>
      </w:r>
    </w:p>
    <w:p w:rsidR="00CD2F31" w:rsidRPr="00CD2F31" w:rsidRDefault="00CD2F31" w:rsidP="00CD2F31">
      <w:pPr>
        <w:pStyle w:val="SingleTxtGR"/>
      </w:pPr>
      <w:r w:rsidRPr="00CD2F31">
        <w:t>4.</w:t>
      </w:r>
      <w:r w:rsidRPr="00CD2F31">
        <w:tab/>
        <w:t>В результате изменения формулировки СП 307 в двадцатом пересмотренном издании Рекомендаций Организации Объединенных Наций из него исключена ссылка на «величины», упоминаемые в пункте 2.2.51.2.2. Эти величин</w:t>
      </w:r>
      <w:r w:rsidR="00C33472">
        <w:t>ы были распределены по различным</w:t>
      </w:r>
      <w:r w:rsidRPr="00CD2F31">
        <w:t xml:space="preserve"> графам новой схемы принятия решений, содержащейся в разделе 39 Руководства по испытаниям и критериям, к которой в СП 307 Типовых правил теперь содержится следующая отсылка:</w:t>
      </w:r>
    </w:p>
    <w:p w:rsidR="00CD2F31" w:rsidRPr="00CD2F31" w:rsidRDefault="00CD2F31" w:rsidP="00CD2F31">
      <w:pPr>
        <w:pStyle w:val="SingleTxtGR"/>
        <w:rPr>
          <w:i/>
        </w:rPr>
      </w:pPr>
      <w:r w:rsidRPr="00CD2F31">
        <w:lastRenderedPageBreak/>
        <w:t>«</w:t>
      </w:r>
      <w:r w:rsidRPr="00CD2F31">
        <w:rPr>
          <w:i/>
        </w:rPr>
        <w:t>Данная позиция может использоваться только для удобрений на основе нитрата аммония. Эти удобрения должны классифицироваться в соответствии с процедурой, изложенной в Руководстве по испытаниям и критериям, часть III, раздел 39.</w:t>
      </w:r>
      <w:r w:rsidRPr="00C33472">
        <w:t>»</w:t>
      </w:r>
      <w:r w:rsidRPr="00CD2F31">
        <w:t>.</w:t>
      </w:r>
    </w:p>
    <w:p w:rsidR="00CD2F31" w:rsidRPr="00CD2F31" w:rsidRDefault="00CD2F31" w:rsidP="00CD2F31">
      <w:pPr>
        <w:pStyle w:val="SingleTxtGR"/>
      </w:pPr>
      <w:r w:rsidRPr="00CD2F31">
        <w:t>5.</w:t>
      </w:r>
      <w:r w:rsidRPr="00CD2F31">
        <w:tab/>
        <w:t>Составы удобрений, в настоящее время запрещенные к перевозке в качестве материалов класса 5.1 на основании положения пункта 2.2.51.2.2 МПОГ/</w:t>
      </w:r>
      <w:r w:rsidR="005A78E2" w:rsidRPr="005A78E2">
        <w:t xml:space="preserve"> </w:t>
      </w:r>
      <w:r w:rsidRPr="00CD2F31">
        <w:t>ДОПОГ/ВОПОГ, частично относятся к тем позициям, которые в схеме принятия решений, содержащейся в Руководстве, соотнесены с выходными бл</w:t>
      </w:r>
      <w:r w:rsidR="00C33472">
        <w:t>оками</w:t>
      </w:r>
      <w:r w:rsidR="00C33472">
        <w:br/>
      </w:r>
      <w:r w:rsidRPr="00CD2F31">
        <w:t>«Не соответствует по составу пред</w:t>
      </w:r>
      <w:r w:rsidR="00C33472">
        <w:t>ельным значениям для № ООН 2067</w:t>
      </w:r>
      <w:r w:rsidR="00C33472">
        <w:br/>
      </w:r>
      <w:r w:rsidRPr="00CD2F31">
        <w:t>(см. пункт 39.4.3)». В пункте 39.4.3 Руководства сказано:</w:t>
      </w:r>
    </w:p>
    <w:p w:rsidR="00CD2F31" w:rsidRPr="00CD2F31" w:rsidRDefault="00CD2F31" w:rsidP="00CD2F31">
      <w:pPr>
        <w:pStyle w:val="SingleTxtGR"/>
        <w:rPr>
          <w:i/>
        </w:rPr>
      </w:pPr>
      <w:r w:rsidRPr="00CD2F31">
        <w:t>«</w:t>
      </w:r>
      <w:r w:rsidRPr="00CD2F31">
        <w:rPr>
          <w:i/>
        </w:rPr>
        <w:t>Удобрения на основе нитрата аммония, которые не отвечают требованиям для отнесения к № ООН 2067, могут быть отнесены к другому подходящему номеру ООН в классе 1 или классе 5, подкласс 5.1, при условии, если доказана пригодность для перевозки и данная классификация утверждена компетентным органом. К примеру, это может быть сделано в ситуации, когда имело место загрязнение, например в ходе аварии, с тем чтобы данное удобрение можно было транспортировать под по</w:t>
      </w:r>
      <w:r w:rsidR="00B06D25">
        <w:rPr>
          <w:i/>
        </w:rPr>
        <w:t>дходящим номером ООН (например,</w:t>
      </w:r>
      <w:r w:rsidR="00B06D25">
        <w:rPr>
          <w:i/>
        </w:rPr>
        <w:br/>
      </w:r>
      <w:r w:rsidRPr="00CD2F31">
        <w:rPr>
          <w:i/>
        </w:rPr>
        <w:t>в классе 1), утвержденным компетентным органом</w:t>
      </w:r>
      <w:r w:rsidR="00C33472">
        <w:rPr>
          <w:i/>
        </w:rPr>
        <w:t>.</w:t>
      </w:r>
      <w:r w:rsidRPr="00C33472">
        <w:t>»</w:t>
      </w:r>
      <w:r w:rsidRPr="00CD2F31">
        <w:t>.</w:t>
      </w:r>
    </w:p>
    <w:p w:rsidR="00CD2F31" w:rsidRPr="00CD2F31" w:rsidRDefault="00CD2F31" w:rsidP="00CD2F31">
      <w:pPr>
        <w:pStyle w:val="SingleTxtGR"/>
      </w:pPr>
      <w:r w:rsidRPr="00CD2F31">
        <w:t>6.</w:t>
      </w:r>
      <w:r w:rsidRPr="00CD2F31">
        <w:tab/>
        <w:t>Как следует из подраздела 39.4.3, составы, соответствующие этим выходным блокам в схеме принятия решений, смогут допускаться к перевозке в качестве веществ подкласса 5.1 при условии утверждения компетентным органом (для этого отсутствуют, однако, какие-либо положения или руководящие принципы). Замена действующего сейчас положения пункта 2.2.51.2.2, по сути, формулировкой пункта 39.4.3 Руководства в соответствии с предложением, которое было сформулировано на «Совещании по согласованию»</w:t>
      </w:r>
      <w:r w:rsidRPr="00C33472">
        <w:rPr>
          <w:sz w:val="18"/>
          <w:vertAlign w:val="superscript"/>
        </w:rPr>
        <w:footnoteReference w:id="6"/>
      </w:r>
      <w:r w:rsidRPr="00CD2F31">
        <w:t>, позволила бы, таким образом, осуществлять перевозку составов удобрений с взрывчатыми свойствами согласно условиям класса 5.1 (в котором перевозятся также удобрения, отвечающие требованиям к № ООН 2067). Это означало бы существенное и неприемлемое, по нашему мнению, снижение нынешнего уровня безопасности.</w:t>
      </w:r>
    </w:p>
    <w:p w:rsidR="00CD2F31" w:rsidRPr="00CD2F31" w:rsidRDefault="00CD2F31" w:rsidP="005A78E2">
      <w:pPr>
        <w:pStyle w:val="HChGR"/>
      </w:pPr>
      <w:r w:rsidRPr="00CD2F31">
        <w:tab/>
      </w:r>
      <w:r w:rsidRPr="00CD2F31">
        <w:tab/>
        <w:t>Предлагаемое решение</w:t>
      </w:r>
    </w:p>
    <w:p w:rsidR="00CD2F31" w:rsidRPr="00CD2F31" w:rsidRDefault="00CD2F31" w:rsidP="00871906">
      <w:pPr>
        <w:pStyle w:val="SingleTxtGR"/>
        <w:spacing w:after="240"/>
      </w:pPr>
      <w:r w:rsidRPr="00CD2F31">
        <w:t>7.</w:t>
      </w:r>
      <w:r w:rsidRPr="00CD2F31">
        <w:tab/>
        <w:t>Для того чтобы надлежащим образом адаптировать пункт 2.2.51.2.2 к новой системе классификации удобрений на основе нитрата аммония, предусмотренной в Типовых правилах, и закрепить таким образом существующее положение дел, необходимо понять, что он означает в действующей формулировке. Для этого необходим детальный анализ действующего СП 307 МПОГ/ДОПОГ/</w:t>
      </w:r>
      <w:r w:rsidR="005A78E2" w:rsidRPr="005A78E2">
        <w:t xml:space="preserve"> </w:t>
      </w:r>
      <w:r w:rsidRPr="00CD2F31">
        <w:t>ВОПОГ, который представлен в приложении к настоящему документу. На основе этого анализа мы делаем вывод, что составы, соответствующие указанным ниже выходным блокам схемы принятия решений, содержащейся в разделе 39 Руководства, в настоящее время регулируются пунктом 2.2.51.2.2 и, таким образом, запрещены к перевозке в качестве веществ класса 5.1:</w:t>
      </w:r>
    </w:p>
    <w:tbl>
      <w:tblPr>
        <w:tblStyle w:val="TableGrid"/>
        <w:tblW w:w="0" w:type="auto"/>
        <w:tblInd w:w="1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227"/>
        <w:gridCol w:w="2436"/>
      </w:tblGrid>
      <w:tr w:rsidR="00CD2F31" w:rsidRPr="00871906" w:rsidTr="00871906">
        <w:trPr>
          <w:tblHeader/>
        </w:trPr>
        <w:tc>
          <w:tcPr>
            <w:tcW w:w="780" w:type="dxa"/>
          </w:tcPr>
          <w:p w:rsidR="00CD2F31" w:rsidRPr="00871906" w:rsidRDefault="00CD2F31" w:rsidP="00871906">
            <w:pPr>
              <w:pStyle w:val="SingleTxtGR"/>
              <w:spacing w:before="60" w:after="60" w:line="220" w:lineRule="exact"/>
              <w:ind w:left="57" w:right="57"/>
              <w:jc w:val="left"/>
              <w:rPr>
                <w:b/>
                <w:sz w:val="18"/>
                <w:szCs w:val="18"/>
                <w:lang w:val="en-GB"/>
              </w:rPr>
            </w:pPr>
            <w:r w:rsidRPr="00871906">
              <w:rPr>
                <w:b/>
                <w:sz w:val="18"/>
                <w:szCs w:val="18"/>
              </w:rPr>
              <w:t>СП 307</w:t>
            </w:r>
          </w:p>
        </w:tc>
        <w:tc>
          <w:tcPr>
            <w:tcW w:w="4227" w:type="dxa"/>
          </w:tcPr>
          <w:p w:rsidR="00CD2F31" w:rsidRPr="00871906" w:rsidRDefault="00CD2F31" w:rsidP="00871906">
            <w:pPr>
              <w:pStyle w:val="SingleTxtGR"/>
              <w:spacing w:before="60" w:after="60" w:line="220" w:lineRule="exact"/>
              <w:ind w:left="57" w:right="57"/>
              <w:jc w:val="left"/>
              <w:rPr>
                <w:b/>
                <w:sz w:val="18"/>
                <w:szCs w:val="18"/>
              </w:rPr>
            </w:pPr>
            <w:r w:rsidRPr="00871906">
              <w:rPr>
                <w:b/>
                <w:sz w:val="18"/>
                <w:szCs w:val="18"/>
              </w:rPr>
              <w:t>Составы, превышающие значения, указанные в СП 307</w:t>
            </w:r>
          </w:p>
        </w:tc>
        <w:tc>
          <w:tcPr>
            <w:tcW w:w="2436" w:type="dxa"/>
          </w:tcPr>
          <w:p w:rsidR="00CD2F31" w:rsidRPr="00871906" w:rsidRDefault="00CD2F31" w:rsidP="00871906">
            <w:pPr>
              <w:pStyle w:val="SingleTxtGR"/>
              <w:spacing w:before="60" w:after="60" w:line="220" w:lineRule="exact"/>
              <w:ind w:left="57" w:right="57"/>
              <w:jc w:val="left"/>
              <w:rPr>
                <w:b/>
                <w:sz w:val="18"/>
                <w:szCs w:val="18"/>
              </w:rPr>
            </w:pPr>
            <w:r w:rsidRPr="00871906">
              <w:rPr>
                <w:b/>
                <w:sz w:val="18"/>
                <w:szCs w:val="18"/>
              </w:rPr>
              <w:t>Соответствующий выходной блок схемы принятия решений</w:t>
            </w:r>
          </w:p>
        </w:tc>
      </w:tr>
      <w:tr w:rsidR="00CD2F31" w:rsidRPr="00871906" w:rsidTr="00871906">
        <w:tc>
          <w:tcPr>
            <w:tcW w:w="780" w:type="dxa"/>
            <w:vMerge w:val="restart"/>
          </w:tcPr>
          <w:p w:rsidR="00CD2F31" w:rsidRPr="00871906" w:rsidRDefault="00CD2F31" w:rsidP="005A78E2">
            <w:pPr>
              <w:pStyle w:val="SingleTxtGR"/>
              <w:spacing w:before="60" w:after="60" w:line="220" w:lineRule="exact"/>
              <w:ind w:left="57" w:right="57"/>
              <w:rPr>
                <w:sz w:val="18"/>
                <w:szCs w:val="18"/>
                <w:lang w:val="en-GB"/>
              </w:rPr>
            </w:pPr>
            <w:r w:rsidRPr="00871906">
              <w:rPr>
                <w:sz w:val="18"/>
                <w:szCs w:val="18"/>
              </w:rPr>
              <w:t>a)</w:t>
            </w:r>
          </w:p>
        </w:tc>
        <w:tc>
          <w:tcPr>
            <w:tcW w:w="4227" w:type="dxa"/>
          </w:tcPr>
          <w:p w:rsidR="00CD2F31" w:rsidRPr="00871906" w:rsidRDefault="00C33472" w:rsidP="00871906">
            <w:pPr>
              <w:pStyle w:val="SingleTxtGR"/>
              <w:spacing w:before="60" w:after="60" w:line="220" w:lineRule="exact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="00CD2F31" w:rsidRPr="00871906">
              <w:rPr>
                <w:sz w:val="18"/>
                <w:szCs w:val="18"/>
              </w:rPr>
              <w:t>90% нитрата аммония при содержании горючих материа</w:t>
            </w:r>
            <w:r>
              <w:rPr>
                <w:sz w:val="18"/>
                <w:szCs w:val="18"/>
              </w:rPr>
              <w:t>лов &gt;</w:t>
            </w:r>
            <w:r w:rsidR="00CD2F31" w:rsidRPr="00871906">
              <w:rPr>
                <w:sz w:val="18"/>
                <w:szCs w:val="18"/>
              </w:rPr>
              <w:t>0,2%</w:t>
            </w:r>
          </w:p>
        </w:tc>
        <w:tc>
          <w:tcPr>
            <w:tcW w:w="2436" w:type="dxa"/>
          </w:tcPr>
          <w:p w:rsidR="00CD2F31" w:rsidRPr="00871906" w:rsidRDefault="00CD2F31" w:rsidP="005A78E2">
            <w:pPr>
              <w:pStyle w:val="SingleTxtGR"/>
              <w:spacing w:before="60" w:after="60" w:line="220" w:lineRule="exact"/>
              <w:ind w:left="57" w:right="57"/>
              <w:rPr>
                <w:sz w:val="18"/>
                <w:szCs w:val="18"/>
                <w:lang w:val="en-GB"/>
              </w:rPr>
            </w:pPr>
            <w:r w:rsidRPr="00871906">
              <w:rPr>
                <w:sz w:val="18"/>
                <w:szCs w:val="18"/>
              </w:rPr>
              <w:t>6</w:t>
            </w:r>
          </w:p>
        </w:tc>
      </w:tr>
      <w:tr w:rsidR="00CD2F31" w:rsidRPr="00871906" w:rsidTr="00871906">
        <w:tc>
          <w:tcPr>
            <w:tcW w:w="780" w:type="dxa"/>
            <w:vMerge/>
          </w:tcPr>
          <w:p w:rsidR="00CD2F31" w:rsidRPr="00871906" w:rsidRDefault="00CD2F31" w:rsidP="005A78E2">
            <w:pPr>
              <w:pStyle w:val="SingleTxtGR"/>
              <w:spacing w:before="60" w:after="60" w:line="220" w:lineRule="exact"/>
              <w:ind w:left="57" w:right="57"/>
              <w:rPr>
                <w:sz w:val="18"/>
                <w:szCs w:val="18"/>
                <w:lang w:val="en-GB"/>
              </w:rPr>
            </w:pPr>
          </w:p>
        </w:tc>
        <w:tc>
          <w:tcPr>
            <w:tcW w:w="4227" w:type="dxa"/>
          </w:tcPr>
          <w:p w:rsidR="00CD2F31" w:rsidRPr="00871906" w:rsidRDefault="00C33472" w:rsidP="00871906">
            <w:pPr>
              <w:pStyle w:val="SingleTxtGR"/>
              <w:spacing w:before="60" w:after="60" w:line="220" w:lineRule="exact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 w:rsidR="00CD2F31" w:rsidRPr="00871906">
              <w:rPr>
                <w:sz w:val="18"/>
                <w:szCs w:val="18"/>
              </w:rPr>
              <w:t>90% нитрата аммония при наличии добавленного материала, не являющегося инертным по отношению к нитрату аммония</w:t>
            </w:r>
          </w:p>
        </w:tc>
        <w:tc>
          <w:tcPr>
            <w:tcW w:w="2436" w:type="dxa"/>
          </w:tcPr>
          <w:p w:rsidR="00CD2F31" w:rsidRPr="00871906" w:rsidRDefault="00CD2F31" w:rsidP="005A78E2">
            <w:pPr>
              <w:pStyle w:val="SingleTxtGR"/>
              <w:spacing w:before="60" w:after="60" w:line="220" w:lineRule="exact"/>
              <w:ind w:left="57" w:right="57"/>
              <w:rPr>
                <w:sz w:val="18"/>
                <w:szCs w:val="18"/>
                <w:lang w:val="en-GB"/>
              </w:rPr>
            </w:pPr>
            <w:r w:rsidRPr="00871906">
              <w:rPr>
                <w:sz w:val="18"/>
                <w:szCs w:val="18"/>
              </w:rPr>
              <w:t>4</w:t>
            </w:r>
            <w:r w:rsidRPr="00C33472">
              <w:rPr>
                <w:sz w:val="18"/>
                <w:szCs w:val="18"/>
                <w:vertAlign w:val="superscript"/>
              </w:rPr>
              <w:footnoteReference w:id="7"/>
            </w:r>
          </w:p>
        </w:tc>
      </w:tr>
      <w:tr w:rsidR="00CD2F31" w:rsidRPr="00871906" w:rsidTr="00871906">
        <w:tc>
          <w:tcPr>
            <w:tcW w:w="780" w:type="dxa"/>
            <w:vMerge w:val="restart"/>
          </w:tcPr>
          <w:p w:rsidR="00CD2F31" w:rsidRPr="00871906" w:rsidRDefault="00CD2F31" w:rsidP="005A78E2">
            <w:pPr>
              <w:pStyle w:val="SingleTxtGR"/>
              <w:spacing w:before="60" w:after="60" w:line="220" w:lineRule="exact"/>
              <w:ind w:left="57" w:right="57"/>
              <w:rPr>
                <w:sz w:val="18"/>
                <w:szCs w:val="18"/>
                <w:lang w:val="en-GB"/>
              </w:rPr>
            </w:pPr>
            <w:r w:rsidRPr="00871906">
              <w:rPr>
                <w:sz w:val="18"/>
                <w:szCs w:val="18"/>
              </w:rPr>
              <w:t>b)</w:t>
            </w:r>
          </w:p>
        </w:tc>
        <w:tc>
          <w:tcPr>
            <w:tcW w:w="4227" w:type="dxa"/>
          </w:tcPr>
          <w:p w:rsidR="00CD2F31" w:rsidRPr="00871906" w:rsidRDefault="00C33472" w:rsidP="00871906">
            <w:pPr>
              <w:pStyle w:val="SingleTxtGR"/>
              <w:spacing w:before="60" w:after="60" w:line="220" w:lineRule="exact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&gt;70%, но &lt;</w:t>
            </w:r>
            <w:r w:rsidR="00CD2F31" w:rsidRPr="00871906">
              <w:rPr>
                <w:sz w:val="18"/>
                <w:szCs w:val="18"/>
              </w:rPr>
              <w:t>90% нитрата аммония при содержа</w:t>
            </w:r>
            <w:r w:rsidR="009659BE">
              <w:rPr>
                <w:sz w:val="18"/>
                <w:szCs w:val="18"/>
              </w:rPr>
              <w:t>нии горючих материалов &gt;</w:t>
            </w:r>
            <w:r w:rsidR="00CD2F31" w:rsidRPr="00871906">
              <w:rPr>
                <w:sz w:val="18"/>
                <w:szCs w:val="18"/>
              </w:rPr>
              <w:t>0,4%, за исключением смеси нитрата аммония с карбонатом кальция и/или доломитом и/или минеральным сульфатом кальция</w:t>
            </w:r>
          </w:p>
        </w:tc>
        <w:tc>
          <w:tcPr>
            <w:tcW w:w="2436" w:type="dxa"/>
          </w:tcPr>
          <w:p w:rsidR="00CD2F31" w:rsidRPr="00871906" w:rsidRDefault="00CD2F31" w:rsidP="005A78E2">
            <w:pPr>
              <w:pStyle w:val="SingleTxtGR"/>
              <w:spacing w:before="60" w:after="60" w:line="220" w:lineRule="exact"/>
              <w:ind w:left="57" w:right="57"/>
              <w:rPr>
                <w:sz w:val="18"/>
                <w:szCs w:val="18"/>
                <w:lang w:val="en-GB"/>
              </w:rPr>
            </w:pPr>
            <w:r w:rsidRPr="00871906">
              <w:rPr>
                <w:sz w:val="18"/>
                <w:szCs w:val="18"/>
              </w:rPr>
              <w:t>31</w:t>
            </w:r>
          </w:p>
        </w:tc>
      </w:tr>
      <w:tr w:rsidR="00CD2F31" w:rsidRPr="00871906" w:rsidTr="00871906">
        <w:tc>
          <w:tcPr>
            <w:tcW w:w="780" w:type="dxa"/>
            <w:vMerge/>
          </w:tcPr>
          <w:p w:rsidR="00CD2F31" w:rsidRPr="00871906" w:rsidRDefault="00CD2F31" w:rsidP="005A78E2">
            <w:pPr>
              <w:pStyle w:val="SingleTxtGR"/>
              <w:spacing w:before="60" w:after="60" w:line="220" w:lineRule="exact"/>
              <w:ind w:left="57" w:right="57"/>
              <w:rPr>
                <w:sz w:val="18"/>
                <w:szCs w:val="18"/>
                <w:lang w:val="en-GB"/>
              </w:rPr>
            </w:pPr>
          </w:p>
        </w:tc>
        <w:tc>
          <w:tcPr>
            <w:tcW w:w="4227" w:type="dxa"/>
          </w:tcPr>
          <w:p w:rsidR="00CD2F31" w:rsidRPr="00871906" w:rsidRDefault="00C33472" w:rsidP="00871906">
            <w:pPr>
              <w:pStyle w:val="SingleTxtGR"/>
              <w:spacing w:before="60" w:after="60" w:line="220" w:lineRule="exact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&gt;80%, но &lt;</w:t>
            </w:r>
            <w:r w:rsidR="00CD2F31" w:rsidRPr="00871906">
              <w:rPr>
                <w:sz w:val="18"/>
                <w:szCs w:val="18"/>
              </w:rPr>
              <w:t>90% нитрата аммония при содержании горю</w:t>
            </w:r>
            <w:r>
              <w:rPr>
                <w:sz w:val="18"/>
                <w:szCs w:val="18"/>
              </w:rPr>
              <w:t>чих материалов &gt;</w:t>
            </w:r>
            <w:r w:rsidR="00CD2F31" w:rsidRPr="00871906">
              <w:rPr>
                <w:sz w:val="18"/>
                <w:szCs w:val="18"/>
              </w:rPr>
              <w:t>0,4% в случае смеси нитрата аммония с карбонатом кальция и/или доломитом и/или минеральным сульфатом кальция</w:t>
            </w:r>
          </w:p>
        </w:tc>
        <w:tc>
          <w:tcPr>
            <w:tcW w:w="2436" w:type="dxa"/>
          </w:tcPr>
          <w:p w:rsidR="00CD2F31" w:rsidRPr="00871906" w:rsidRDefault="00CD2F31" w:rsidP="005A78E2">
            <w:pPr>
              <w:pStyle w:val="SingleTxtGR"/>
              <w:spacing w:before="60" w:after="60" w:line="220" w:lineRule="exact"/>
              <w:ind w:left="57" w:right="57"/>
              <w:rPr>
                <w:sz w:val="18"/>
                <w:szCs w:val="18"/>
                <w:lang w:val="en-GB"/>
              </w:rPr>
            </w:pPr>
            <w:r w:rsidRPr="00871906">
              <w:rPr>
                <w:sz w:val="18"/>
                <w:szCs w:val="18"/>
              </w:rPr>
              <w:t>31</w:t>
            </w:r>
          </w:p>
        </w:tc>
      </w:tr>
      <w:tr w:rsidR="00CD2F31" w:rsidRPr="00871906" w:rsidTr="00871906">
        <w:tc>
          <w:tcPr>
            <w:tcW w:w="780" w:type="dxa"/>
            <w:vMerge w:val="restart"/>
          </w:tcPr>
          <w:p w:rsidR="00CD2F31" w:rsidRPr="00871906" w:rsidRDefault="00CD2F31" w:rsidP="005A78E2">
            <w:pPr>
              <w:pStyle w:val="SingleTxtGR"/>
              <w:spacing w:before="60" w:after="60" w:line="220" w:lineRule="exact"/>
              <w:ind w:left="57" w:right="57"/>
              <w:rPr>
                <w:sz w:val="18"/>
                <w:szCs w:val="18"/>
                <w:lang w:val="en-GB"/>
              </w:rPr>
            </w:pPr>
            <w:r w:rsidRPr="00871906">
              <w:rPr>
                <w:sz w:val="18"/>
                <w:szCs w:val="18"/>
              </w:rPr>
              <w:t>с)</w:t>
            </w:r>
          </w:p>
        </w:tc>
        <w:tc>
          <w:tcPr>
            <w:tcW w:w="4227" w:type="dxa"/>
          </w:tcPr>
          <w:p w:rsidR="00CD2F31" w:rsidRPr="00871906" w:rsidRDefault="00CD2F31" w:rsidP="00871906">
            <w:pPr>
              <w:pStyle w:val="SingleTxtGR"/>
              <w:spacing w:before="60" w:after="60"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871906">
              <w:rPr>
                <w:sz w:val="18"/>
                <w:szCs w:val="18"/>
              </w:rPr>
              <w:t>простые азотные удобрения, содержащие нитрат аммония в смеси с сульфатом аммония, при содержании нитрата аммо</w:t>
            </w:r>
            <w:r w:rsidR="00C33472">
              <w:rPr>
                <w:sz w:val="18"/>
                <w:szCs w:val="18"/>
              </w:rPr>
              <w:t>ния &gt;</w:t>
            </w:r>
            <w:r w:rsidRPr="00871906">
              <w:rPr>
                <w:sz w:val="18"/>
                <w:szCs w:val="18"/>
              </w:rPr>
              <w:t xml:space="preserve">70% </w:t>
            </w:r>
          </w:p>
        </w:tc>
        <w:tc>
          <w:tcPr>
            <w:tcW w:w="2436" w:type="dxa"/>
          </w:tcPr>
          <w:p w:rsidR="00CD2F31" w:rsidRPr="00871906" w:rsidRDefault="00CD2F31" w:rsidP="005A78E2">
            <w:pPr>
              <w:pStyle w:val="SingleTxtGR"/>
              <w:spacing w:before="60" w:after="60" w:line="220" w:lineRule="exact"/>
              <w:ind w:left="57" w:right="57"/>
              <w:rPr>
                <w:sz w:val="18"/>
                <w:szCs w:val="18"/>
                <w:lang w:val="en-GB"/>
              </w:rPr>
            </w:pPr>
            <w:r w:rsidRPr="00871906">
              <w:rPr>
                <w:sz w:val="18"/>
                <w:szCs w:val="18"/>
              </w:rPr>
              <w:t>8, 33</w:t>
            </w:r>
          </w:p>
        </w:tc>
      </w:tr>
      <w:tr w:rsidR="00CD2F31" w:rsidRPr="00C33472" w:rsidTr="00871906">
        <w:tc>
          <w:tcPr>
            <w:tcW w:w="780" w:type="dxa"/>
            <w:vMerge/>
          </w:tcPr>
          <w:p w:rsidR="00CD2F31" w:rsidRPr="00871906" w:rsidRDefault="00CD2F31" w:rsidP="005A78E2">
            <w:pPr>
              <w:pStyle w:val="SingleTxtGR"/>
              <w:spacing w:before="60" w:after="60" w:line="220" w:lineRule="exact"/>
              <w:ind w:left="57" w:right="57"/>
              <w:rPr>
                <w:sz w:val="18"/>
                <w:szCs w:val="18"/>
                <w:lang w:val="en-GB"/>
              </w:rPr>
            </w:pPr>
          </w:p>
        </w:tc>
        <w:tc>
          <w:tcPr>
            <w:tcW w:w="4227" w:type="dxa"/>
          </w:tcPr>
          <w:p w:rsidR="00CD2F31" w:rsidRPr="00871906" w:rsidRDefault="00CD2F31" w:rsidP="00871906">
            <w:pPr>
              <w:pStyle w:val="SingleTxtGR"/>
              <w:spacing w:before="60" w:after="60"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871906">
              <w:rPr>
                <w:sz w:val="18"/>
                <w:szCs w:val="18"/>
              </w:rPr>
              <w:t>простые азотные удобре</w:t>
            </w:r>
            <w:r w:rsidR="00C33472">
              <w:rPr>
                <w:sz w:val="18"/>
                <w:szCs w:val="18"/>
              </w:rPr>
              <w:t>ния, содержащие &gt;45%, но ≤</w:t>
            </w:r>
            <w:r w:rsidRPr="00871906">
              <w:rPr>
                <w:sz w:val="18"/>
                <w:szCs w:val="18"/>
              </w:rPr>
              <w:t>70% нитрата аммония в смеси с сульфатом аммония, при содержании горючих материа</w:t>
            </w:r>
            <w:r w:rsidR="00C33472">
              <w:rPr>
                <w:sz w:val="18"/>
                <w:szCs w:val="18"/>
              </w:rPr>
              <w:t>лов &gt;</w:t>
            </w:r>
            <w:r w:rsidRPr="00871906">
              <w:rPr>
                <w:sz w:val="18"/>
                <w:szCs w:val="18"/>
              </w:rPr>
              <w:t xml:space="preserve">0,4% </w:t>
            </w:r>
          </w:p>
        </w:tc>
        <w:tc>
          <w:tcPr>
            <w:tcW w:w="2436" w:type="dxa"/>
          </w:tcPr>
          <w:p w:rsidR="00CD2F31" w:rsidRPr="00C33472" w:rsidRDefault="00C33472" w:rsidP="00C33472">
            <w:pPr>
              <w:pStyle w:val="SingleTxtGR"/>
              <w:spacing w:before="60" w:after="60" w:line="220" w:lineRule="exact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 только для таких</w:t>
            </w:r>
            <w:r>
              <w:rPr>
                <w:sz w:val="18"/>
                <w:szCs w:val="18"/>
              </w:rPr>
              <w:br/>
            </w:r>
            <w:r w:rsidR="00CD2F31" w:rsidRPr="00871906">
              <w:rPr>
                <w:sz w:val="18"/>
                <w:szCs w:val="18"/>
              </w:rPr>
              <w:t>смесей</w:t>
            </w:r>
          </w:p>
        </w:tc>
      </w:tr>
    </w:tbl>
    <w:p w:rsidR="00CD2F31" w:rsidRPr="00CD2F31" w:rsidRDefault="00CD2F31" w:rsidP="00871906">
      <w:pPr>
        <w:pStyle w:val="SingleTxtGR"/>
        <w:spacing w:before="240"/>
      </w:pPr>
      <w:r w:rsidRPr="00CD2F31">
        <w:t xml:space="preserve">Наиболее простой вариант изменения тринадцатого подпункта пункта 2.2.51.2.2 при сохранении </w:t>
      </w:r>
      <w:r w:rsidR="00C33472">
        <w:t>нынешнего уровня безопасности, –</w:t>
      </w:r>
      <w:r w:rsidRPr="00CD2F31">
        <w:t xml:space="preserve"> указать номера выходных блоков в схеме принятия решений следующим образом:</w:t>
      </w:r>
    </w:p>
    <w:p w:rsidR="00CD2F31" w:rsidRPr="00CD2F31" w:rsidRDefault="00CD2F31" w:rsidP="00CD2F31">
      <w:pPr>
        <w:pStyle w:val="SingleTxtGR"/>
        <w:rPr>
          <w:i/>
        </w:rPr>
      </w:pPr>
      <w:r w:rsidRPr="00C33472">
        <w:t>«</w:t>
      </w:r>
      <w:r w:rsidR="00871906" w:rsidRPr="00871906">
        <w:rPr>
          <w:i/>
        </w:rPr>
        <w:t>–</w:t>
      </w:r>
      <w:r w:rsidRPr="00CD2F31">
        <w:rPr>
          <w:i/>
        </w:rPr>
        <w:t xml:space="preserve"> удобрения с составом, соответствующим выходным блокам 4, 6, 8, 31 или 33 или, для смесей с нитратом аммония, имеющих в своем составе более 5% сульфата аммония, выходному блоку 39 схемы принятия решений, содержащейся в пункте 39.5.1 Руководства по испытаниям и критериям, часть III, раздел 39, кроме случаев, когда соблюдены условия, применимые к классу 1;</w:t>
      </w:r>
      <w:r w:rsidRPr="00C33472">
        <w:t>».</w:t>
      </w:r>
    </w:p>
    <w:p w:rsidR="00CD2F31" w:rsidRPr="00CD2F31" w:rsidRDefault="00CD2F31" w:rsidP="00CD2F31">
      <w:pPr>
        <w:pStyle w:val="SingleTxtGR"/>
      </w:pPr>
      <w:r w:rsidRPr="00CD2F31">
        <w:t>8.</w:t>
      </w:r>
      <w:r w:rsidRPr="00CD2F31">
        <w:tab/>
        <w:t>Однако, по нашему мнению, применительно к одному типу составов такая формулировка может быть расценена как нарушающая нынешнее положение и разрешающая их перевозку в качестве материалов класса 5.1. Что касается ограничения в отношении горючих материалов в составе простых азотных удобрений</w:t>
      </w:r>
      <w:r w:rsidRPr="00C33472">
        <w:rPr>
          <w:sz w:val="18"/>
          <w:vertAlign w:val="superscript"/>
        </w:rPr>
        <w:footnoteReference w:id="8"/>
      </w:r>
      <w:r w:rsidRPr="00CD2F31">
        <w:t>, представляющих собой смесь нитрата аммония и сульфата аммония, при содержании нитрата аммония более 45%, но не более 70% (которые соответствуют последней позиции в приведенной выше таблице), может возникнуть вопрос о том, оправдан ли категорический запрет на перевозку таких удобрений в качестве веществ класса 5.1. Хотя добавление сульфата аммония, как представляется, действительно усиливает взрывчатые свойства нитрата аммония в высоких концентрациях</w:t>
      </w:r>
      <w:r w:rsidRPr="00C33472">
        <w:rPr>
          <w:sz w:val="18"/>
          <w:vertAlign w:val="superscript"/>
        </w:rPr>
        <w:footnoteReference w:id="9"/>
      </w:r>
      <w:r w:rsidRPr="00CD2F31">
        <w:t xml:space="preserve">, не очевидно, что такие смеси при содержании нитрата аммония менее 70% более взрывоопасны, чем другие смеси с таким же содержанием нитрата аммония при добавлении горючих материалов. Если разрешить отнесение к классу 5.1 смесей нитрата аммония с сульфатом аммония, для которых </w:t>
      </w:r>
      <w:r w:rsidRPr="00CD2F31">
        <w:lastRenderedPageBreak/>
        <w:t>в схеме принятия реш</w:t>
      </w:r>
      <w:r w:rsidR="00C33472">
        <w:t>ений предусмотрен выходной блок </w:t>
      </w:r>
      <w:r w:rsidRPr="00CD2F31">
        <w:t>39, и их перевозку в качестве веществ этого класса при условии утверждения компетентным органом, то можно существенно упростить формулировку пункта 2.2.51.2.2:</w:t>
      </w:r>
    </w:p>
    <w:p w:rsidR="00CD2F31" w:rsidRPr="00CD2F31" w:rsidRDefault="00CD2F31" w:rsidP="00871906">
      <w:pPr>
        <w:pStyle w:val="SingleTxtGR"/>
        <w:ind w:firstLine="1134"/>
        <w:rPr>
          <w:i/>
        </w:rPr>
      </w:pPr>
      <w:r w:rsidRPr="00CD2F31">
        <w:t>«</w:t>
      </w:r>
      <w:r w:rsidR="00EF54C9">
        <w:rPr>
          <w:i/>
        </w:rPr>
        <w:t>–</w:t>
      </w:r>
      <w:r w:rsidRPr="00CD2F31">
        <w:rPr>
          <w:i/>
        </w:rPr>
        <w:t xml:space="preserve"> удобрения с составом, соответствующим выходным блокам 4, 6, 8, 31 или 33 схемы принятия решений, содержащейся в пункте 39.5.1 Руководства по испытаниям и критериям, часть III, раздел 39, кроме случаев, когда соблюдены условия, применимые к классу 1;</w:t>
      </w:r>
      <w:r w:rsidRPr="00C33472">
        <w:t>».</w:t>
      </w:r>
    </w:p>
    <w:p w:rsidR="00CD2F31" w:rsidRPr="00CD2F31" w:rsidRDefault="00CD2F31" w:rsidP="00871906">
      <w:pPr>
        <w:pStyle w:val="HChGR"/>
      </w:pPr>
      <w:r w:rsidRPr="00CD2F31">
        <w:tab/>
      </w:r>
      <w:r w:rsidRPr="00CD2F31">
        <w:tab/>
        <w:t>Сопоставление с формулировками, предложенными</w:t>
      </w:r>
      <w:r w:rsidR="00871906">
        <w:br/>
      </w:r>
      <w:r w:rsidRPr="00CD2F31">
        <w:t>в ходе Совещания по согласованию</w:t>
      </w:r>
    </w:p>
    <w:p w:rsidR="00CD2F31" w:rsidRPr="00CD2F31" w:rsidRDefault="00CD2F31" w:rsidP="00CD2F31">
      <w:pPr>
        <w:pStyle w:val="SingleTxtGR"/>
      </w:pPr>
      <w:r w:rsidRPr="00CD2F31">
        <w:t>9.</w:t>
      </w:r>
      <w:r w:rsidRPr="00CD2F31">
        <w:tab/>
        <w:t>На Совещании по согласованию были рассмотрены два проекта поправок к пункту 2.2.51.2.2</w:t>
      </w:r>
      <w:r w:rsidRPr="00C33472">
        <w:rPr>
          <w:sz w:val="18"/>
          <w:vertAlign w:val="superscript"/>
        </w:rPr>
        <w:footnoteReference w:id="10"/>
      </w:r>
      <w:r w:rsidRPr="00CD2F31">
        <w:t>. Однако, как справедливо отметил секретариат, ни один из них не является верным, так как каждый из них затрагивает удобрения, которые даже не классифицируются</w:t>
      </w:r>
      <w:r w:rsidR="00C33472">
        <w:t xml:space="preserve"> как опасные грузы. Секретариат в свою очередь</w:t>
      </w:r>
      <w:r w:rsidRPr="00CD2F31">
        <w:t xml:space="preserve"> предлагает альтернативную формулировку для пункта 2.2.51.2.2</w:t>
      </w:r>
      <w:r w:rsidRPr="00C33472">
        <w:rPr>
          <w:sz w:val="18"/>
          <w:vertAlign w:val="superscript"/>
        </w:rPr>
        <w:footnoteReference w:id="11"/>
      </w:r>
      <w:r w:rsidRPr="00CD2F31">
        <w:t>:</w:t>
      </w:r>
    </w:p>
    <w:p w:rsidR="00CD2F31" w:rsidRPr="00CD2F31" w:rsidRDefault="00CD2F31" w:rsidP="00871906">
      <w:pPr>
        <w:pStyle w:val="SingleTxtGR"/>
        <w:ind w:firstLine="1134"/>
        <w:rPr>
          <w:i/>
        </w:rPr>
      </w:pPr>
      <w:r w:rsidRPr="00CD2F31">
        <w:t>«</w:t>
      </w:r>
      <w:r w:rsidR="00871906">
        <w:rPr>
          <w:i/>
        </w:rPr>
        <w:t>–</w:t>
      </w:r>
      <w:r w:rsidRPr="00CD2F31">
        <w:rPr>
          <w:i/>
        </w:rPr>
        <w:tab/>
        <w:t>удобрения на основе нитрата аммония с составом, соответствующим выходным блокам 4, 8, 15, 20, 23, 31, 33 или 39 схемы принятия решений, содержащейся в пункте 39.5.1 Руководства по испытаниям и критериям, часть III, раздел 39, кроме случаев, когда они были отнесены к подходящему номеру</w:t>
      </w:r>
      <w:r w:rsidRPr="00CD2F31">
        <w:t xml:space="preserve"> </w:t>
      </w:r>
      <w:r w:rsidRPr="00CD2F31">
        <w:rPr>
          <w:i/>
        </w:rPr>
        <w:t>ООН, за исключением № ООН 206</w:t>
      </w:r>
      <w:r w:rsidR="00C33472">
        <w:rPr>
          <w:i/>
        </w:rPr>
        <w:t>7, в рамках класса 1 или класса </w:t>
      </w:r>
      <w:r w:rsidRPr="00CD2F31">
        <w:rPr>
          <w:i/>
        </w:rPr>
        <w:t>5.1, при условии, что пригодность для перевозки была доказана и утверждена</w:t>
      </w:r>
      <w:r w:rsidRPr="00CD2F31">
        <w:t xml:space="preserve"> </w:t>
      </w:r>
      <w:r w:rsidRPr="00CD2F31">
        <w:rPr>
          <w:i/>
        </w:rPr>
        <w:t>компетентным органом в соответствии с пунктом 39.4.3 Руководства по испытаниям и критериям;</w:t>
      </w:r>
    </w:p>
    <w:p w:rsidR="00CD2F31" w:rsidRPr="00CD2F31" w:rsidRDefault="00871906" w:rsidP="00871906">
      <w:pPr>
        <w:pStyle w:val="SingleTxtGR"/>
        <w:ind w:firstLine="1134"/>
      </w:pPr>
      <w:r>
        <w:rPr>
          <w:i/>
        </w:rPr>
        <w:t>–</w:t>
      </w:r>
      <w:r w:rsidR="00CD2F31" w:rsidRPr="00CD2F31">
        <w:rPr>
          <w:i/>
        </w:rPr>
        <w:tab/>
        <w:t>удобрения на основе нитрата аммония с составом, соответствующим выходному блоку 6 схемы принятия решений, содержащейся в пункте 39.5.1 Руководства по испытаниям и критериям, часть III, раздел 39, кроме случаев,</w:t>
      </w:r>
      <w:r w:rsidR="00CD2F31" w:rsidRPr="00CD2F31">
        <w:t xml:space="preserve"> </w:t>
      </w:r>
      <w:r w:rsidR="00CD2F31" w:rsidRPr="00CD2F31">
        <w:rPr>
          <w:i/>
        </w:rPr>
        <w:t>когда они были включены в класс 1 независимо от результатов испытаний серии 2, предусмотренных в Руководстве по испытаниям и критериям, в соответствии с пунктом 39.4.4 Руководства по испытаниям и критериям</w:t>
      </w:r>
      <w:r w:rsidR="00CD2F31" w:rsidRPr="00CD2F31">
        <w:t>;».</w:t>
      </w:r>
    </w:p>
    <w:p w:rsidR="00CD2F31" w:rsidRPr="00CD2F31" w:rsidRDefault="00CD2F31" w:rsidP="00CD2F31">
      <w:pPr>
        <w:pStyle w:val="SingleTxtGR"/>
      </w:pPr>
      <w:r w:rsidRPr="00CD2F31">
        <w:t>Это предложение, однако, не воспроизводит действующий запрет на транспортировку взрывоопасных составов удобрений, т.е. тех, которые соответствуют выходным блокам 4, 8, 31 и 33, в качестве материалов класса 5.1, поскольку оно допускает их перевозку как веществ этого класса при условии утверждения компетентным органом. Таким образом, предложение секретариата не отражает положение пункта 2.2.51.2.2 МПОГ/ДОПОГ/ВОПОГ в действующей редакции.</w:t>
      </w:r>
    </w:p>
    <w:p w:rsidR="00CD2F31" w:rsidRPr="00CD2F31" w:rsidRDefault="00CD2F31" w:rsidP="00871906">
      <w:pPr>
        <w:pStyle w:val="HChGR"/>
      </w:pPr>
      <w:r w:rsidRPr="00CD2F31">
        <w:tab/>
      </w:r>
      <w:r w:rsidRPr="00CD2F31">
        <w:tab/>
        <w:t>Предложение</w:t>
      </w:r>
    </w:p>
    <w:p w:rsidR="00CD2F31" w:rsidRPr="00CD2F31" w:rsidRDefault="00CD2F31" w:rsidP="00CD2F31">
      <w:pPr>
        <w:pStyle w:val="SingleTxtGR"/>
      </w:pPr>
      <w:r w:rsidRPr="00CD2F31">
        <w:t>10.</w:t>
      </w:r>
      <w:r w:rsidRPr="00CD2F31">
        <w:tab/>
        <w:t xml:space="preserve">Предложенный секретариатом текст можно, вместе с тем, скорректировать таким образом, чтобы он воспроизводил положения пункта 2.2.51.2.2 и тем самым в принципе обеспечивал сохранение существующей ситуации. Следует, однако, отметить, что это будет означать отклонение от существующей ситуации, поскольку будет допущена перевозка в качестве материала класса 5.1 простых азотных удобрений, содержащих ≤70% нитрата аммония в смеси с сульфатом аммония, соответствующих выходному блоку 39 (см. пункт 5 выше) (текст, который следует добавить, выделен жирным шрифтом с подчеркиванием, текст, подлежащий </w:t>
      </w:r>
      <w:r w:rsidR="003A7105">
        <w:t>исключению,</w:t>
      </w:r>
      <w:r w:rsidRPr="00CD2F31">
        <w:t xml:space="preserve"> выделен жирным шрифтом и зачеркнут):</w:t>
      </w:r>
    </w:p>
    <w:p w:rsidR="00CD2F31" w:rsidRPr="00CD2F31" w:rsidRDefault="00871906" w:rsidP="00871906">
      <w:pPr>
        <w:pStyle w:val="SingleTxtGR"/>
        <w:ind w:firstLine="1134"/>
        <w:rPr>
          <w:i/>
        </w:rPr>
      </w:pPr>
      <w:r>
        <w:t>–</w:t>
      </w:r>
      <w:r w:rsidR="00CD2F31" w:rsidRPr="00CD2F31">
        <w:tab/>
      </w:r>
      <w:r w:rsidR="00CD2F31" w:rsidRPr="00CD2F31">
        <w:rPr>
          <w:i/>
        </w:rPr>
        <w:t xml:space="preserve">удобрения на основе нитрата аммония с составом, соответствующим выходным блокам 4, </w:t>
      </w:r>
      <w:r w:rsidR="00CD2F31" w:rsidRPr="00CD2F31">
        <w:rPr>
          <w:b/>
          <w:i/>
          <w:u w:val="single"/>
        </w:rPr>
        <w:t>6,</w:t>
      </w:r>
      <w:r w:rsidR="00CD2F31" w:rsidRPr="00CD2F31">
        <w:rPr>
          <w:i/>
        </w:rPr>
        <w:t xml:space="preserve"> 8</w:t>
      </w:r>
      <w:r w:rsidR="00CD2F31" w:rsidRPr="00EF54C9">
        <w:rPr>
          <w:b/>
          <w:i/>
          <w:strike/>
        </w:rPr>
        <w:t>,</w:t>
      </w:r>
      <w:r w:rsidR="00CD2F31" w:rsidRPr="00CD2F31">
        <w:rPr>
          <w:i/>
        </w:rPr>
        <w:t xml:space="preserve"> </w:t>
      </w:r>
      <w:r w:rsidR="00CD2F31" w:rsidRPr="00EF54C9">
        <w:rPr>
          <w:b/>
          <w:i/>
          <w:strike/>
        </w:rPr>
        <w:t>15, 20, 23,</w:t>
      </w:r>
      <w:r w:rsidR="00CD2F31" w:rsidRPr="00CD2F31">
        <w:rPr>
          <w:i/>
        </w:rPr>
        <w:t xml:space="preserve"> 31</w:t>
      </w:r>
      <w:r w:rsidR="00CD2F31" w:rsidRPr="003A7105">
        <w:rPr>
          <w:i/>
          <w:strike/>
        </w:rPr>
        <w:t>,</w:t>
      </w:r>
      <w:r w:rsidR="00CD2F31" w:rsidRPr="00CD2F31">
        <w:rPr>
          <w:b/>
          <w:i/>
          <w:u w:val="single"/>
        </w:rPr>
        <w:t xml:space="preserve"> или</w:t>
      </w:r>
      <w:r w:rsidR="00CD2F31" w:rsidRPr="00CD2F31">
        <w:rPr>
          <w:i/>
        </w:rPr>
        <w:t xml:space="preserve"> 33 </w:t>
      </w:r>
      <w:r w:rsidR="00CD2F31" w:rsidRPr="00EF54C9">
        <w:rPr>
          <w:b/>
          <w:i/>
          <w:strike/>
        </w:rPr>
        <w:t>или 39</w:t>
      </w:r>
      <w:r w:rsidR="00CD2F31" w:rsidRPr="00CD2F31">
        <w:rPr>
          <w:i/>
        </w:rPr>
        <w:t xml:space="preserve"> схемы принятия решений, содержащейся в пункте 39.5.1 Руководства по испытаниям и крите</w:t>
      </w:r>
      <w:r w:rsidR="00CD2F31" w:rsidRPr="00CD2F31">
        <w:rPr>
          <w:i/>
        </w:rPr>
        <w:lastRenderedPageBreak/>
        <w:t>риям, часть III, раздел 39, кроме случаев, когда они были отнесены к подходящему номеру</w:t>
      </w:r>
      <w:r w:rsidR="00CD2F31" w:rsidRPr="00CD2F31">
        <w:t xml:space="preserve"> </w:t>
      </w:r>
      <w:r w:rsidR="00CD2F31" w:rsidRPr="00CD2F31">
        <w:rPr>
          <w:i/>
        </w:rPr>
        <w:t>ООН</w:t>
      </w:r>
      <w:r w:rsidR="00CD2F31" w:rsidRPr="00EF54C9">
        <w:rPr>
          <w:b/>
          <w:i/>
          <w:strike/>
        </w:rPr>
        <w:t>, за исключением № ООН 2067,</w:t>
      </w:r>
      <w:r w:rsidR="00CD2F31" w:rsidRPr="00CD2F31">
        <w:rPr>
          <w:i/>
        </w:rPr>
        <w:t xml:space="preserve"> в рамках класса 1</w:t>
      </w:r>
      <w:r w:rsidR="00CD2F31" w:rsidRPr="00CD2F31">
        <w:rPr>
          <w:b/>
          <w:i/>
        </w:rPr>
        <w:t xml:space="preserve"> </w:t>
      </w:r>
      <w:r w:rsidR="00CD2F31" w:rsidRPr="00EF54C9">
        <w:rPr>
          <w:b/>
          <w:i/>
          <w:strike/>
        </w:rPr>
        <w:t>или класса 5.1, при условии, что пригодность для перевозки была доказана и утверждена компетентным органом в соответствии с пунктом 39.4.3 Руководства по испытаниям и критериям</w:t>
      </w:r>
      <w:r w:rsidR="00CD2F31" w:rsidRPr="00CD2F31">
        <w:t>;</w:t>
      </w:r>
    </w:p>
    <w:p w:rsidR="00CD2F31" w:rsidRPr="00CD2F31" w:rsidRDefault="00835586" w:rsidP="00835586">
      <w:pPr>
        <w:pStyle w:val="SingleTxtGR"/>
        <w:ind w:firstLine="1134"/>
        <w:rPr>
          <w:i/>
        </w:rPr>
      </w:pPr>
      <w:r>
        <w:t>–</w:t>
      </w:r>
      <w:r w:rsidR="00CD2F31" w:rsidRPr="00CD2F31">
        <w:tab/>
      </w:r>
      <w:r w:rsidR="00CD2F31" w:rsidRPr="00CD2F31">
        <w:rPr>
          <w:i/>
        </w:rPr>
        <w:t xml:space="preserve">удобрения на основе нитрата аммония с составом, соответствующим выходным блокам </w:t>
      </w:r>
      <w:r w:rsidR="00CD2F31" w:rsidRPr="00EF54C9">
        <w:rPr>
          <w:b/>
          <w:i/>
          <w:strike/>
        </w:rPr>
        <w:t>4, 8,</w:t>
      </w:r>
      <w:r w:rsidR="00CD2F31" w:rsidRPr="00CD2F31">
        <w:rPr>
          <w:i/>
        </w:rPr>
        <w:t xml:space="preserve"> 15, 20, 23</w:t>
      </w:r>
      <w:r w:rsidR="00CD2F31" w:rsidRPr="00EF54C9">
        <w:rPr>
          <w:b/>
          <w:i/>
          <w:strike/>
        </w:rPr>
        <w:t>,</w:t>
      </w:r>
      <w:r w:rsidR="00CD2F31" w:rsidRPr="003A7105">
        <w:rPr>
          <w:i/>
        </w:rPr>
        <w:t xml:space="preserve"> </w:t>
      </w:r>
      <w:r w:rsidR="00CD2F31" w:rsidRPr="00EF54C9">
        <w:rPr>
          <w:b/>
          <w:i/>
          <w:strike/>
        </w:rPr>
        <w:t>31, 33</w:t>
      </w:r>
      <w:r w:rsidR="00CD2F31" w:rsidRPr="00CD2F31">
        <w:rPr>
          <w:i/>
        </w:rPr>
        <w:t xml:space="preserve"> или 39 схемы принятия решений, содержащейся в пункте 39.5.1 Руководства по испытаниям и критериям, часть III, раздел 39, кроме случаев, когда они были отнесены к подходящему номеру</w:t>
      </w:r>
      <w:r w:rsidR="00CD2F31" w:rsidRPr="00CD2F31">
        <w:t xml:space="preserve"> </w:t>
      </w:r>
      <w:r w:rsidR="00CD2F31" w:rsidRPr="00CD2F31">
        <w:rPr>
          <w:i/>
        </w:rPr>
        <w:t>ООН</w:t>
      </w:r>
      <w:r w:rsidR="00CD2F31" w:rsidRPr="00EF54C9">
        <w:rPr>
          <w:b/>
          <w:i/>
          <w:strike/>
        </w:rPr>
        <w:t>, за исключением № ООН 2067,</w:t>
      </w:r>
      <w:r w:rsidR="00CD2F31" w:rsidRPr="00CD2F31">
        <w:rPr>
          <w:i/>
        </w:rPr>
        <w:t xml:space="preserve"> в рамках класса 1 или </w:t>
      </w:r>
      <w:r w:rsidR="00EF54C9" w:rsidRPr="00EF54C9">
        <w:rPr>
          <w:b/>
          <w:i/>
          <w:strike/>
        </w:rPr>
        <w:t>класса </w:t>
      </w:r>
      <w:r w:rsidR="00CD2F31" w:rsidRPr="00EF54C9">
        <w:rPr>
          <w:b/>
          <w:i/>
          <w:strike/>
        </w:rPr>
        <w:t>5.1</w:t>
      </w:r>
      <w:r w:rsidR="00CD2F31" w:rsidRPr="00CD2F31">
        <w:rPr>
          <w:i/>
        </w:rPr>
        <w:t>, при условии, что пригодность для перевозки была доказана и утверждена</w:t>
      </w:r>
      <w:r w:rsidR="00CD2F31" w:rsidRPr="00CD2F31">
        <w:t xml:space="preserve"> </w:t>
      </w:r>
      <w:r w:rsidR="00CD2F31" w:rsidRPr="00CD2F31">
        <w:rPr>
          <w:i/>
        </w:rPr>
        <w:t xml:space="preserve">компетентным органом </w:t>
      </w:r>
      <w:r w:rsidR="00CD2F31" w:rsidRPr="00EF54C9">
        <w:rPr>
          <w:b/>
          <w:i/>
          <w:strike/>
        </w:rPr>
        <w:t>в соответствии с пунктом 39.4.3 Руководства по испытаниям и критериям</w:t>
      </w:r>
      <w:r w:rsidR="00CD2F31" w:rsidRPr="003A7105">
        <w:rPr>
          <w:b/>
          <w:i/>
          <w:spacing w:val="2"/>
          <w:u w:val="single"/>
        </w:rPr>
        <w:t>, в рамках класса 5.1, за исключением № ООН 2067</w:t>
      </w:r>
      <w:r w:rsidR="00CD2F31" w:rsidRPr="003A7105">
        <w:rPr>
          <w:spacing w:val="2"/>
        </w:rPr>
        <w:t>;</w:t>
      </w:r>
    </w:p>
    <w:p w:rsidR="00CD2F31" w:rsidRPr="00EF54C9" w:rsidRDefault="00835586" w:rsidP="00835586">
      <w:pPr>
        <w:pStyle w:val="SingleTxtGR"/>
        <w:ind w:firstLine="1134"/>
        <w:rPr>
          <w:b/>
          <w:strike/>
        </w:rPr>
      </w:pPr>
      <w:r w:rsidRPr="00EF54C9">
        <w:rPr>
          <w:b/>
          <w:i/>
          <w:strike/>
        </w:rPr>
        <w:t>–</w:t>
      </w:r>
      <w:r w:rsidR="00CD2F31" w:rsidRPr="00EF54C9">
        <w:rPr>
          <w:b/>
          <w:i/>
          <w:strike/>
        </w:rPr>
        <w:tab/>
        <w:t>удобрения на основе нитрата аммония с составом, соответствующим выходному блоку 6 схемы принятия решений, содержащейся в пункте 39.5.1 Руководства по испытаниям</w:t>
      </w:r>
      <w:r w:rsidR="00EF54C9">
        <w:rPr>
          <w:b/>
          <w:i/>
          <w:strike/>
        </w:rPr>
        <w:t xml:space="preserve"> и критериям, часть III, раздел </w:t>
      </w:r>
      <w:r w:rsidR="00CD2F31" w:rsidRPr="00EF54C9">
        <w:rPr>
          <w:b/>
          <w:i/>
          <w:strike/>
        </w:rPr>
        <w:t>39, кроме случаев,</w:t>
      </w:r>
      <w:r w:rsidR="00CD2F31" w:rsidRPr="00EF54C9">
        <w:rPr>
          <w:b/>
          <w:strike/>
        </w:rPr>
        <w:t xml:space="preserve"> </w:t>
      </w:r>
      <w:r w:rsidR="00CD2F31" w:rsidRPr="00EF54C9">
        <w:rPr>
          <w:b/>
          <w:i/>
          <w:strike/>
        </w:rPr>
        <w:t>когда они были включены в класс 1 независимо от результатов испытаний серии 2, предусмотренных в Руководстве по испытаниям и критериям, в соответствии с пунктом 39.4.4 Руководства по испытаниям и критериям</w:t>
      </w:r>
      <w:r w:rsidR="00CD2F31" w:rsidRPr="00EF54C9">
        <w:rPr>
          <w:b/>
          <w:strike/>
        </w:rPr>
        <w:t>.</w:t>
      </w:r>
    </w:p>
    <w:p w:rsidR="00CD2F31" w:rsidRPr="00CD2F31" w:rsidRDefault="00CD2F31" w:rsidP="00CD2F31">
      <w:pPr>
        <w:pStyle w:val="SingleTxtGR"/>
      </w:pPr>
      <w:r w:rsidRPr="00CD2F31">
        <w:t>Следует отметить, что в предлагаемом варианте первый абзац формулировки, предложенной секрета</w:t>
      </w:r>
      <w:r w:rsidR="003A7105">
        <w:t>риатом, воспроизводится дважды –</w:t>
      </w:r>
      <w:r w:rsidRPr="00CD2F31">
        <w:t xml:space="preserve"> для составов, перевозка которых допускается только в качестве материалов класса 1, и для смесей, допускаемых к перевозке также в качестве материалов класса 5.1. Последний абзац текста, предложенного секретариатом, касающийся составов, которые соответствуют выходному блоку 6, включен в первый абзац предлагаемого нами текста. Путем изменения формулировки во втором абзаце в него добавляется пояснение, что утверждение компетентным органом требуется только для перевозки в качестве материалов класса 5.1. Кроме того, мы предлагаем исключить ссылку на пункт 39.4.3 Руководства, поскольку, за исключением примера, он ничем не отличается от рассматриваемого абзаца.</w:t>
      </w:r>
    </w:p>
    <w:p w:rsidR="00CD2F31" w:rsidRPr="00CD2F31" w:rsidRDefault="00CD2F31" w:rsidP="00CD2F31">
      <w:pPr>
        <w:pStyle w:val="SingleTxtGR"/>
      </w:pPr>
      <w:r w:rsidRPr="00CD2F31">
        <w:t>11.</w:t>
      </w:r>
      <w:r w:rsidRPr="00CD2F31">
        <w:tab/>
        <w:t>Для ясности приводим окончательный текст, которым в пункте 10 настоящего документа предлагается заменить тринадцатый подпункт</w:t>
      </w:r>
      <w:r w:rsidR="00835586">
        <w:t xml:space="preserve"> пункта </w:t>
      </w:r>
      <w:r w:rsidRPr="00CD2F31">
        <w:t>2.2.51.2.2 в его действующей редакции, без отображения внесенных изменений:</w:t>
      </w:r>
    </w:p>
    <w:p w:rsidR="00CD2F31" w:rsidRPr="00CD2F31" w:rsidRDefault="00CD2F31" w:rsidP="00835586">
      <w:pPr>
        <w:pStyle w:val="SingleTxtGR"/>
        <w:ind w:firstLine="1134"/>
        <w:rPr>
          <w:i/>
        </w:rPr>
      </w:pPr>
      <w:r w:rsidRPr="00CD2F31">
        <w:t>«</w:t>
      </w:r>
      <w:r w:rsidR="00835586">
        <w:t>–</w:t>
      </w:r>
      <w:r w:rsidRPr="00CD2F31">
        <w:tab/>
      </w:r>
      <w:r w:rsidRPr="00CD2F31">
        <w:rPr>
          <w:i/>
        </w:rPr>
        <w:t>удобрения на основе нитрата аммония с составом, соответствующим выходным блокам 4, 6, 8, 31 или 33 схемы принятия решений, содержащейся в пункте 39.5.1 Руководства п</w:t>
      </w:r>
      <w:r w:rsidR="003A7105">
        <w:rPr>
          <w:i/>
        </w:rPr>
        <w:t>о испытаниям и критериям, часть </w:t>
      </w:r>
      <w:r w:rsidRPr="00CD2F31">
        <w:rPr>
          <w:i/>
        </w:rPr>
        <w:t>III, раздел 39, кроме случаев, когда они были отнесены к подходящему номеру</w:t>
      </w:r>
      <w:r w:rsidRPr="00CD2F31">
        <w:t xml:space="preserve"> </w:t>
      </w:r>
      <w:r w:rsidRPr="00CD2F31">
        <w:rPr>
          <w:i/>
        </w:rPr>
        <w:t>ООН в рамках класса 1</w:t>
      </w:r>
      <w:r w:rsidRPr="00CD2F31">
        <w:t>;</w:t>
      </w:r>
    </w:p>
    <w:p w:rsidR="00CD2F31" w:rsidRPr="00CD2F31" w:rsidRDefault="00835586" w:rsidP="00835586">
      <w:pPr>
        <w:pStyle w:val="SingleTxtGR"/>
        <w:ind w:firstLine="1134"/>
      </w:pPr>
      <w:r>
        <w:t>–</w:t>
      </w:r>
      <w:r w:rsidR="00CD2F31" w:rsidRPr="00CD2F31">
        <w:tab/>
      </w:r>
      <w:r w:rsidR="00CD2F31" w:rsidRPr="00CD2F31">
        <w:rPr>
          <w:i/>
        </w:rPr>
        <w:t>удобрения на основе нитрата аммония с составом, соответствующим выходным блокам 15, 20, 23 или 39 схемы принятия решений, содержащейся в пункте 39.5.1 Руководства п</w:t>
      </w:r>
      <w:r w:rsidR="003A7105">
        <w:rPr>
          <w:i/>
        </w:rPr>
        <w:t>о испытаниям и критериям, часть </w:t>
      </w:r>
      <w:r w:rsidR="00CD2F31" w:rsidRPr="00CD2F31">
        <w:rPr>
          <w:i/>
        </w:rPr>
        <w:t>III, раздел 39, кроме случаев, когда они были отнесены к подходящему номеру</w:t>
      </w:r>
      <w:r w:rsidR="00CD2F31" w:rsidRPr="00CD2F31">
        <w:t xml:space="preserve"> </w:t>
      </w:r>
      <w:r w:rsidR="00CD2F31" w:rsidRPr="00CD2F31">
        <w:rPr>
          <w:i/>
        </w:rPr>
        <w:t>ООН в рамках класса 1 или, при условии, что пригодность для перевозки была доказана и утверждена</w:t>
      </w:r>
      <w:r w:rsidR="00CD2F31" w:rsidRPr="00CD2F31">
        <w:t xml:space="preserve"> </w:t>
      </w:r>
      <w:r w:rsidR="00CD2F31" w:rsidRPr="00CD2F31">
        <w:rPr>
          <w:i/>
        </w:rPr>
        <w:t>компетентным органом, в рамках класса 5.1, за исключением № ООН 2067;</w:t>
      </w:r>
      <w:r w:rsidR="00CD2F31" w:rsidRPr="003A7105">
        <w:t>».</w:t>
      </w:r>
    </w:p>
    <w:p w:rsidR="00CD2F31" w:rsidRPr="00CD2F31" w:rsidRDefault="00CD2F31" w:rsidP="00835586">
      <w:pPr>
        <w:pStyle w:val="H1GR"/>
      </w:pPr>
      <w:r w:rsidRPr="00CD2F31">
        <w:tab/>
      </w:r>
      <w:r w:rsidRPr="00CD2F31">
        <w:tab/>
        <w:t>Альтернативное предложение</w:t>
      </w:r>
    </w:p>
    <w:p w:rsidR="00CD2F31" w:rsidRPr="00CD2F31" w:rsidRDefault="00CD2F31" w:rsidP="00CD2F31">
      <w:pPr>
        <w:pStyle w:val="SingleTxtGR"/>
      </w:pPr>
      <w:r w:rsidRPr="00CD2F31">
        <w:t>12.</w:t>
      </w:r>
      <w:r w:rsidRPr="00CD2F31">
        <w:tab/>
        <w:t>Предлагаемый выше текст можно было бы также изменить путем включения в первый абзац упоминания простых азотных удобрений, содержащих нитрат аммония в смеси с сульфатом аммония, которые соответствуют выходному блоку 39, если это будет сочтено достаточным (см. пункт 5 выше). Таким образом, формулировка нынешнего положения пункта 2.2.51.2.2 будет более точной, но станет громоздкой, например:</w:t>
      </w:r>
    </w:p>
    <w:p w:rsidR="00CD2F31" w:rsidRPr="00CD2F31" w:rsidRDefault="00CD2F31" w:rsidP="00835586">
      <w:pPr>
        <w:pStyle w:val="SingleTxtGR"/>
        <w:ind w:firstLine="1134"/>
        <w:rPr>
          <w:i/>
        </w:rPr>
      </w:pPr>
      <w:r w:rsidRPr="00CD2F31">
        <w:lastRenderedPageBreak/>
        <w:t>«</w:t>
      </w:r>
      <w:r w:rsidR="00835586">
        <w:t>–</w:t>
      </w:r>
      <w:r w:rsidRPr="00CD2F31">
        <w:tab/>
      </w:r>
      <w:r w:rsidRPr="00CD2F31">
        <w:rPr>
          <w:i/>
        </w:rPr>
        <w:t>удобрения на основе нитрата аммония с составом, соответствующим выходным блокам 4, 6, 8, 31</w:t>
      </w:r>
      <w:r w:rsidRPr="00CD2F31">
        <w:rPr>
          <w:b/>
          <w:i/>
        </w:rPr>
        <w:t xml:space="preserve"> </w:t>
      </w:r>
      <w:r w:rsidRPr="00EF54C9">
        <w:rPr>
          <w:b/>
          <w:i/>
          <w:strike/>
        </w:rPr>
        <w:t>или</w:t>
      </w:r>
      <w:r w:rsidRPr="00CD2F31">
        <w:rPr>
          <w:b/>
          <w:i/>
          <w:u w:val="single"/>
        </w:rPr>
        <w:t>,</w:t>
      </w:r>
      <w:r w:rsidRPr="00CD2F31">
        <w:rPr>
          <w:i/>
        </w:rPr>
        <w:t xml:space="preserve"> 33 </w:t>
      </w:r>
      <w:r w:rsidRPr="00CD2F31">
        <w:rPr>
          <w:b/>
          <w:i/>
          <w:u w:val="single"/>
        </w:rPr>
        <w:t>или, для смесей нитрата аммония с сульфатом аммония в концентрации более 5% смеси, 39</w:t>
      </w:r>
      <w:r w:rsidRPr="00CD2F31">
        <w:rPr>
          <w:i/>
        </w:rPr>
        <w:t xml:space="preserve"> схемы принятия решений, содержащейся в пункте 39.5.1 Руководства по испытаниям и критериям, часть III, раздел 39, кроме случаев, когда они были отнесены к подходящему номеру</w:t>
      </w:r>
      <w:r w:rsidRPr="00CD2F31">
        <w:t xml:space="preserve"> </w:t>
      </w:r>
      <w:r w:rsidRPr="00CD2F31">
        <w:rPr>
          <w:i/>
        </w:rPr>
        <w:t>ООН в рамках класса 1</w:t>
      </w:r>
      <w:r w:rsidRPr="00CD2F31">
        <w:t>;</w:t>
      </w:r>
    </w:p>
    <w:p w:rsidR="00CD2F31" w:rsidRPr="00CD2F31" w:rsidRDefault="00835586" w:rsidP="00835586">
      <w:pPr>
        <w:pStyle w:val="SingleTxtGR"/>
        <w:ind w:firstLine="1134"/>
      </w:pPr>
      <w:r>
        <w:t>–</w:t>
      </w:r>
      <w:r w:rsidR="00CD2F31" w:rsidRPr="00CD2F31">
        <w:tab/>
      </w:r>
      <w:r w:rsidR="00CD2F31" w:rsidRPr="00CD2F31">
        <w:rPr>
          <w:i/>
        </w:rPr>
        <w:t>удобрения на основе нитрата аммония с составом, соответствующим выходным блокам 15, 20, 23 или</w:t>
      </w:r>
      <w:r w:rsidR="00CD2F31" w:rsidRPr="003A7105">
        <w:rPr>
          <w:b/>
          <w:i/>
          <w:u w:val="single"/>
        </w:rPr>
        <w:t xml:space="preserve">, </w:t>
      </w:r>
      <w:r w:rsidR="00CD2F31" w:rsidRPr="00CD2F31">
        <w:rPr>
          <w:b/>
          <w:i/>
          <w:u w:val="single"/>
        </w:rPr>
        <w:t>за исключением</w:t>
      </w:r>
      <w:r w:rsidR="00CD2F31" w:rsidRPr="00CD2F31">
        <w:rPr>
          <w:i/>
          <w:u w:val="single"/>
        </w:rPr>
        <w:t xml:space="preserve"> </w:t>
      </w:r>
      <w:r w:rsidR="00CD2F31" w:rsidRPr="00CD2F31">
        <w:rPr>
          <w:b/>
          <w:i/>
          <w:u w:val="single"/>
        </w:rPr>
        <w:t>смесей нитрата аммония с сульфатом аммония в концентрации более 5% смеси,</w:t>
      </w:r>
      <w:r w:rsidR="00CD2F31" w:rsidRPr="00CD2F31">
        <w:rPr>
          <w:i/>
        </w:rPr>
        <w:t xml:space="preserve"> 39 схемы принятия решений, содержащейся в пункте 39.5.1 Руководства по испытаниям и критериям, часть III, раздел 39, кроме случаев, когда они были отнесены к подходящему номеру</w:t>
      </w:r>
      <w:r w:rsidR="00CD2F31" w:rsidRPr="00CD2F31">
        <w:t xml:space="preserve"> </w:t>
      </w:r>
      <w:r w:rsidR="00CD2F31" w:rsidRPr="00CD2F31">
        <w:rPr>
          <w:i/>
        </w:rPr>
        <w:t>ООН в рамках класса 1 или, при условии, что пригодность для перевозки была доказана и утверждена компетентным органом, в рамках класса 5.1, за исключением № ООН 2067;</w:t>
      </w:r>
      <w:r w:rsidR="00CD2F31" w:rsidRPr="003A7105">
        <w:t>».</w:t>
      </w:r>
    </w:p>
    <w:p w:rsidR="00CD2F31" w:rsidRPr="00CD2F31" w:rsidRDefault="00CD2F31" w:rsidP="00835586">
      <w:pPr>
        <w:pStyle w:val="HChGR"/>
      </w:pPr>
      <w:r w:rsidRPr="00CD2F31">
        <w:tab/>
      </w:r>
      <w:r w:rsidRPr="00CD2F31">
        <w:tab/>
        <w:t>Заключительные замечания</w:t>
      </w:r>
    </w:p>
    <w:p w:rsidR="00CD2F31" w:rsidRPr="00CD2F31" w:rsidRDefault="00CD2F31" w:rsidP="00CD2F31">
      <w:pPr>
        <w:pStyle w:val="SingleTxtGR"/>
      </w:pPr>
      <w:r w:rsidRPr="00CD2F31">
        <w:t>13.</w:t>
      </w:r>
      <w:r w:rsidRPr="00CD2F31">
        <w:tab/>
        <w:t>В ходе обсуждения конкретных формулировок, которые должны быть включены в МПОГ/ДОПОГ/ВОПОГ 2019 года, важно помнить о том, что МПОГ/ДОПОГ/ВОПОГ 2017 года уже отличается от девятнадцатого пересмотренного издания Типовых правил, так как в них содержится запрет на перевозку отдельных составов удобрений в качестве веществ класса 5.1. Сохранение в дальнейшем этого отличия лишь обеспечивает сохранение нынешнего положения, и тому есть обоснованные причины.</w:t>
      </w:r>
    </w:p>
    <w:p w:rsidR="00CD2F31" w:rsidRPr="00CD2F31" w:rsidRDefault="00835586" w:rsidP="005D42AA">
      <w:pPr>
        <w:pStyle w:val="HChGR"/>
        <w:pageBreakBefore/>
        <w:spacing w:before="240"/>
      </w:pPr>
      <w:r>
        <w:lastRenderedPageBreak/>
        <w:tab/>
        <w:t>Приложение</w:t>
      </w:r>
    </w:p>
    <w:p w:rsidR="00CD2F31" w:rsidRPr="00CD2F31" w:rsidRDefault="00CD2F31" w:rsidP="005D42AA">
      <w:pPr>
        <w:pStyle w:val="HChGR"/>
        <w:spacing w:before="240"/>
      </w:pPr>
      <w:r w:rsidRPr="00CD2F31">
        <w:tab/>
      </w:r>
      <w:r w:rsidRPr="00CD2F31">
        <w:tab/>
        <w:t>Анализ тринадцатого подпункта пункта</w:t>
      </w:r>
      <w:r w:rsidR="00835586">
        <w:t xml:space="preserve"> 2.2.51.2.2</w:t>
      </w:r>
      <w:r w:rsidR="00835586">
        <w:br/>
      </w:r>
      <w:r w:rsidRPr="00CD2F31">
        <w:t>в действующей редакции</w:t>
      </w:r>
    </w:p>
    <w:p w:rsidR="00CD2F31" w:rsidRPr="00CD2F31" w:rsidRDefault="00CD2F31" w:rsidP="005D42AA">
      <w:pPr>
        <w:pStyle w:val="SingleTxtGR"/>
        <w:spacing w:after="100"/>
      </w:pPr>
      <w:r w:rsidRPr="00CD2F31">
        <w:t>Тринадцатый подпункт пункта 2.2.51.2.2 МПОГ/ДОПОГ/ВОПОГ в настоящее время гласит следующее:</w:t>
      </w:r>
    </w:p>
    <w:p w:rsidR="00CD2F31" w:rsidRPr="00CD2F31" w:rsidRDefault="00CD2F31" w:rsidP="005D42AA">
      <w:pPr>
        <w:pStyle w:val="SingleTxtGR"/>
        <w:spacing w:after="100"/>
        <w:ind w:firstLine="1134"/>
      </w:pPr>
      <w:r w:rsidRPr="00CD2F31">
        <w:t>«</w:t>
      </w:r>
      <w:r w:rsidR="00835586">
        <w:t>–</w:t>
      </w:r>
      <w:r w:rsidRPr="00CD2F31">
        <w:tab/>
      </w:r>
      <w:r w:rsidRPr="00CD2F31">
        <w:rPr>
          <w:i/>
        </w:rPr>
        <w:t>удобрения с нитратом аммония [(...)] или с горючими веществами, содержание которых превышает величины, указанные в специальном положении 307, кроме случаев, когда они допускаются к перевозке с соблюдением условий, применимых к классу 1;»</w:t>
      </w:r>
      <w:r w:rsidRPr="00CD2F31">
        <w:t>.</w:t>
      </w:r>
    </w:p>
    <w:p w:rsidR="00CD2F31" w:rsidRPr="00CD2F31" w:rsidRDefault="00CD2F31" w:rsidP="00CD2F31">
      <w:pPr>
        <w:pStyle w:val="SingleTxtGR"/>
      </w:pPr>
      <w:r w:rsidRPr="00CD2F31">
        <w:t>Тщательный анализ действующего специального положения 307 (СП 307) МПОГ/ДОПОГ/ВОПОГ показывает, о каких именно «величинах» идет речь:</w:t>
      </w:r>
    </w:p>
    <w:tbl>
      <w:tblPr>
        <w:tblStyle w:val="TableGrid"/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770"/>
        <w:gridCol w:w="3782"/>
        <w:gridCol w:w="1411"/>
        <w:gridCol w:w="1470"/>
        <w:gridCol w:w="2198"/>
      </w:tblGrid>
      <w:tr w:rsidR="00CD2F31" w:rsidRPr="005D42AA" w:rsidTr="005D42AA">
        <w:trPr>
          <w:gridBefore w:val="1"/>
          <w:wBefore w:w="14" w:type="dxa"/>
        </w:trPr>
        <w:tc>
          <w:tcPr>
            <w:tcW w:w="770" w:type="dxa"/>
          </w:tcPr>
          <w:p w:rsidR="00CD2F31" w:rsidRPr="00835586" w:rsidRDefault="00CD2F31" w:rsidP="00835586">
            <w:pPr>
              <w:pStyle w:val="SingleTxtGR"/>
              <w:spacing w:before="60" w:after="60" w:line="220" w:lineRule="exact"/>
              <w:ind w:left="57"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835586">
              <w:rPr>
                <w:b/>
                <w:sz w:val="18"/>
                <w:szCs w:val="18"/>
              </w:rPr>
              <w:t>СП 307</w:t>
            </w:r>
          </w:p>
        </w:tc>
        <w:tc>
          <w:tcPr>
            <w:tcW w:w="3782" w:type="dxa"/>
          </w:tcPr>
          <w:p w:rsidR="00CD2F31" w:rsidRPr="00835586" w:rsidRDefault="00CD2F31" w:rsidP="00835586">
            <w:pPr>
              <w:pStyle w:val="SingleTxtGR"/>
              <w:spacing w:before="60" w:after="60" w:line="220" w:lineRule="exact"/>
              <w:ind w:left="57" w:right="0"/>
              <w:jc w:val="left"/>
              <w:rPr>
                <w:b/>
                <w:sz w:val="18"/>
                <w:szCs w:val="18"/>
                <w:lang w:val="en-GB"/>
              </w:rPr>
            </w:pPr>
            <w:r w:rsidRPr="00835586">
              <w:rPr>
                <w:b/>
                <w:sz w:val="18"/>
                <w:szCs w:val="18"/>
              </w:rPr>
              <w:t>Формулировка</w:t>
            </w:r>
          </w:p>
        </w:tc>
        <w:tc>
          <w:tcPr>
            <w:tcW w:w="1411" w:type="dxa"/>
          </w:tcPr>
          <w:p w:rsidR="00CD2F31" w:rsidRPr="005D42AA" w:rsidRDefault="00CD2F31" w:rsidP="005D42AA">
            <w:pPr>
              <w:pStyle w:val="SingleTxtGR"/>
              <w:spacing w:before="60" w:after="60" w:line="220" w:lineRule="exact"/>
              <w:ind w:left="57" w:right="0"/>
              <w:jc w:val="left"/>
              <w:rPr>
                <w:b/>
                <w:sz w:val="18"/>
                <w:szCs w:val="18"/>
              </w:rPr>
            </w:pPr>
            <w:r w:rsidRPr="00835586">
              <w:rPr>
                <w:b/>
                <w:sz w:val="18"/>
                <w:szCs w:val="18"/>
              </w:rPr>
              <w:t>Предельные концентра</w:t>
            </w:r>
            <w:r w:rsidR="005D42AA">
              <w:rPr>
                <w:b/>
                <w:sz w:val="18"/>
                <w:szCs w:val="18"/>
              </w:rPr>
              <w:t>ции нитрат</w:t>
            </w:r>
            <w:r w:rsidR="003A7105">
              <w:rPr>
                <w:b/>
                <w:sz w:val="18"/>
                <w:szCs w:val="18"/>
              </w:rPr>
              <w:t>а</w:t>
            </w:r>
            <w:r w:rsidRPr="00835586">
              <w:rPr>
                <w:b/>
                <w:sz w:val="18"/>
                <w:szCs w:val="18"/>
              </w:rPr>
              <w:t xml:space="preserve"> аммония</w:t>
            </w:r>
          </w:p>
        </w:tc>
        <w:tc>
          <w:tcPr>
            <w:tcW w:w="1470" w:type="dxa"/>
          </w:tcPr>
          <w:p w:rsidR="00CD2F31" w:rsidRPr="005D42AA" w:rsidRDefault="00CD2F31" w:rsidP="005D42AA">
            <w:pPr>
              <w:pStyle w:val="SingleTxtGR"/>
              <w:spacing w:before="60" w:after="60" w:line="220" w:lineRule="exact"/>
              <w:ind w:left="57" w:right="0"/>
              <w:jc w:val="left"/>
              <w:rPr>
                <w:b/>
                <w:sz w:val="18"/>
                <w:szCs w:val="18"/>
              </w:rPr>
            </w:pPr>
            <w:r w:rsidRPr="00835586">
              <w:rPr>
                <w:b/>
                <w:sz w:val="18"/>
                <w:szCs w:val="18"/>
              </w:rPr>
              <w:t>Предельные концентра</w:t>
            </w:r>
            <w:r w:rsidR="005D42AA">
              <w:rPr>
                <w:b/>
                <w:sz w:val="18"/>
                <w:szCs w:val="18"/>
              </w:rPr>
              <w:t xml:space="preserve">ции горючих </w:t>
            </w:r>
            <w:r w:rsidRPr="00835586">
              <w:rPr>
                <w:b/>
                <w:sz w:val="18"/>
                <w:szCs w:val="18"/>
              </w:rPr>
              <w:t>веществ</w:t>
            </w:r>
          </w:p>
        </w:tc>
        <w:tc>
          <w:tcPr>
            <w:tcW w:w="2198" w:type="dxa"/>
          </w:tcPr>
          <w:p w:rsidR="00CD2F31" w:rsidRPr="005D42AA" w:rsidRDefault="00CD2F31" w:rsidP="00835586">
            <w:pPr>
              <w:pStyle w:val="SingleTxtGR"/>
              <w:spacing w:before="60" w:after="60" w:line="220" w:lineRule="exact"/>
              <w:ind w:left="57" w:right="0"/>
              <w:jc w:val="left"/>
              <w:rPr>
                <w:b/>
                <w:sz w:val="18"/>
                <w:szCs w:val="18"/>
              </w:rPr>
            </w:pPr>
            <w:r w:rsidRPr="00835586">
              <w:rPr>
                <w:b/>
                <w:sz w:val="18"/>
                <w:szCs w:val="18"/>
              </w:rPr>
              <w:t>Предельные концентрации других веществ</w:t>
            </w:r>
            <w:r w:rsidRPr="00C33472">
              <w:rPr>
                <w:sz w:val="18"/>
                <w:szCs w:val="18"/>
                <w:vertAlign w:val="superscript"/>
              </w:rPr>
              <w:footnoteReference w:id="12"/>
            </w:r>
          </w:p>
        </w:tc>
      </w:tr>
      <w:tr w:rsidR="00CD2F31" w:rsidRPr="00CD2F31" w:rsidTr="005D42AA">
        <w:tc>
          <w:tcPr>
            <w:tcW w:w="784" w:type="dxa"/>
            <w:gridSpan w:val="2"/>
          </w:tcPr>
          <w:p w:rsidR="00CD2F31" w:rsidRPr="005D42AA" w:rsidRDefault="00CD2F31" w:rsidP="00835586">
            <w:pPr>
              <w:pStyle w:val="SingleTxtGR"/>
              <w:spacing w:before="60" w:after="60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835586">
              <w:rPr>
                <w:sz w:val="18"/>
                <w:szCs w:val="18"/>
              </w:rPr>
              <w:t>a)</w:t>
            </w:r>
          </w:p>
        </w:tc>
        <w:tc>
          <w:tcPr>
            <w:tcW w:w="3782" w:type="dxa"/>
          </w:tcPr>
          <w:p w:rsidR="00CD2F31" w:rsidRPr="00835586" w:rsidRDefault="00CD2F31" w:rsidP="00835586">
            <w:pPr>
              <w:pStyle w:val="SingleTxtGR"/>
              <w:spacing w:before="60" w:after="60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835586">
              <w:rPr>
                <w:sz w:val="18"/>
                <w:szCs w:val="18"/>
              </w:rPr>
              <w:t>Не менее 90% нитрата аммония</w:t>
            </w:r>
            <w:r w:rsidR="003A7105">
              <w:rPr>
                <w:sz w:val="18"/>
                <w:szCs w:val="18"/>
              </w:rPr>
              <w:t xml:space="preserve"> при общем содержании горючего/</w:t>
            </w:r>
            <w:r w:rsidRPr="00835586">
              <w:rPr>
                <w:sz w:val="18"/>
                <w:szCs w:val="18"/>
              </w:rPr>
              <w:t>органического материала, рассчитываемого по углероду, не бо</w:t>
            </w:r>
            <w:r w:rsidR="003A7105">
              <w:rPr>
                <w:sz w:val="18"/>
                <w:szCs w:val="18"/>
              </w:rPr>
              <w:t>лее 0,2%</w:t>
            </w:r>
            <w:r w:rsidRPr="00835586">
              <w:rPr>
                <w:sz w:val="18"/>
                <w:szCs w:val="18"/>
              </w:rPr>
              <w:t xml:space="preserve"> и при возможном наличии добавленного неорганического материала, инертного по отношению к нитрату аммо</w:t>
            </w:r>
            <w:r w:rsidR="005D42AA">
              <w:rPr>
                <w:sz w:val="18"/>
                <w:szCs w:val="18"/>
              </w:rPr>
              <w:t>ния</w:t>
            </w:r>
          </w:p>
        </w:tc>
        <w:tc>
          <w:tcPr>
            <w:tcW w:w="1411" w:type="dxa"/>
          </w:tcPr>
          <w:p w:rsidR="00CD2F31" w:rsidRPr="00835586" w:rsidRDefault="00CD2F31" w:rsidP="005D42AA">
            <w:pPr>
              <w:pStyle w:val="SingleTxtGR"/>
              <w:spacing w:before="60" w:after="60" w:line="220" w:lineRule="exact"/>
              <w:ind w:left="57" w:right="0"/>
              <w:jc w:val="left"/>
              <w:rPr>
                <w:sz w:val="18"/>
                <w:szCs w:val="18"/>
                <w:lang w:val="en-GB"/>
              </w:rPr>
            </w:pPr>
            <w:r w:rsidRPr="00835586">
              <w:rPr>
                <w:sz w:val="18"/>
                <w:szCs w:val="18"/>
              </w:rPr>
              <w:t>Неприменимо</w:t>
            </w:r>
          </w:p>
        </w:tc>
        <w:tc>
          <w:tcPr>
            <w:tcW w:w="1470" w:type="dxa"/>
          </w:tcPr>
          <w:p w:rsidR="00CD2F31" w:rsidRPr="00835586" w:rsidRDefault="00CD2F31" w:rsidP="005D42AA">
            <w:pPr>
              <w:pStyle w:val="SingleTxtGR"/>
              <w:spacing w:before="60" w:after="60" w:line="220" w:lineRule="exact"/>
              <w:ind w:left="57" w:right="0"/>
              <w:jc w:val="left"/>
              <w:rPr>
                <w:sz w:val="18"/>
                <w:szCs w:val="18"/>
                <w:lang w:val="en-GB"/>
              </w:rPr>
            </w:pPr>
            <w:r w:rsidRPr="00835586">
              <w:rPr>
                <w:sz w:val="18"/>
                <w:szCs w:val="18"/>
              </w:rPr>
              <w:t>&gt;0,2%</w:t>
            </w:r>
          </w:p>
        </w:tc>
        <w:tc>
          <w:tcPr>
            <w:tcW w:w="2198" w:type="dxa"/>
          </w:tcPr>
          <w:p w:rsidR="00CD2F31" w:rsidRPr="00835586" w:rsidRDefault="005D42AA" w:rsidP="005D42AA">
            <w:pPr>
              <w:pStyle w:val="SingleTxtGR"/>
              <w:spacing w:before="60" w:after="60" w:line="220" w:lineRule="exact"/>
              <w:ind w:left="57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Теоретически –</w:t>
            </w:r>
            <w:r w:rsidR="00CD2F31" w:rsidRPr="00835586">
              <w:rPr>
                <w:sz w:val="18"/>
                <w:szCs w:val="18"/>
              </w:rPr>
              <w:t xml:space="preserve"> нулевое значение для добавленного материала, не явля</w:t>
            </w:r>
            <w:r>
              <w:rPr>
                <w:sz w:val="18"/>
                <w:szCs w:val="18"/>
              </w:rPr>
              <w:t xml:space="preserve">ющегося инертным по отношению </w:t>
            </w:r>
            <w:r w:rsidR="00CD2F31" w:rsidRPr="00835586">
              <w:rPr>
                <w:sz w:val="18"/>
                <w:szCs w:val="18"/>
              </w:rPr>
              <w:t>к нитрату аммония</w:t>
            </w:r>
          </w:p>
        </w:tc>
      </w:tr>
      <w:tr w:rsidR="00CD2F31" w:rsidRPr="00CD2F31" w:rsidTr="005D42AA">
        <w:tc>
          <w:tcPr>
            <w:tcW w:w="784" w:type="dxa"/>
            <w:gridSpan w:val="2"/>
            <w:vMerge w:val="restart"/>
          </w:tcPr>
          <w:p w:rsidR="00CD2F31" w:rsidRPr="005D42AA" w:rsidRDefault="00CD2F31" w:rsidP="00835586">
            <w:pPr>
              <w:pStyle w:val="SingleTxtGR"/>
              <w:spacing w:before="60" w:after="60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835586">
              <w:rPr>
                <w:sz w:val="18"/>
                <w:szCs w:val="18"/>
              </w:rPr>
              <w:t>b)</w:t>
            </w:r>
            <w:r w:rsidRPr="00C33472">
              <w:rPr>
                <w:sz w:val="18"/>
                <w:szCs w:val="18"/>
                <w:vertAlign w:val="superscript"/>
              </w:rPr>
              <w:footnoteReference w:id="13"/>
            </w:r>
          </w:p>
        </w:tc>
        <w:tc>
          <w:tcPr>
            <w:tcW w:w="3782" w:type="dxa"/>
          </w:tcPr>
          <w:p w:rsidR="00CD2F31" w:rsidRPr="00835586" w:rsidRDefault="00CD2F31" w:rsidP="00835586">
            <w:pPr>
              <w:pStyle w:val="SingleTxtGR"/>
              <w:spacing w:before="60" w:after="60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835586">
              <w:rPr>
                <w:sz w:val="18"/>
                <w:szCs w:val="18"/>
              </w:rPr>
              <w:t>Менее 90%, но более 70% нитрата аммония в смеси с другими неорганическими матери</w:t>
            </w:r>
            <w:r w:rsidR="003A7105">
              <w:rPr>
                <w:sz w:val="18"/>
                <w:szCs w:val="18"/>
              </w:rPr>
              <w:t>алами при общем содержании</w:t>
            </w:r>
            <w:r w:rsidRPr="00835586">
              <w:rPr>
                <w:sz w:val="18"/>
                <w:szCs w:val="18"/>
              </w:rPr>
              <w:t xml:space="preserve"> горючего/органического материала, рассчитываемо</w:t>
            </w:r>
            <w:r w:rsidR="005D42AA">
              <w:rPr>
                <w:sz w:val="18"/>
                <w:szCs w:val="18"/>
              </w:rPr>
              <w:t>го по углероду, не более 0,4%</w:t>
            </w:r>
          </w:p>
        </w:tc>
        <w:tc>
          <w:tcPr>
            <w:tcW w:w="1411" w:type="dxa"/>
          </w:tcPr>
          <w:p w:rsidR="00CD2F31" w:rsidRPr="00835586" w:rsidRDefault="00CD2F31" w:rsidP="005D42AA">
            <w:pPr>
              <w:pStyle w:val="SingleTxtGR"/>
              <w:spacing w:before="60" w:after="60" w:line="220" w:lineRule="exact"/>
              <w:ind w:left="57" w:right="0"/>
              <w:jc w:val="left"/>
              <w:rPr>
                <w:sz w:val="18"/>
                <w:szCs w:val="18"/>
                <w:lang w:val="en-GB"/>
              </w:rPr>
            </w:pPr>
            <w:r w:rsidRPr="00835586">
              <w:rPr>
                <w:sz w:val="18"/>
                <w:szCs w:val="18"/>
              </w:rPr>
              <w:t>90%</w:t>
            </w:r>
          </w:p>
        </w:tc>
        <w:tc>
          <w:tcPr>
            <w:tcW w:w="1470" w:type="dxa"/>
          </w:tcPr>
          <w:p w:rsidR="00CD2F31" w:rsidRPr="00835586" w:rsidRDefault="00CD2F31" w:rsidP="005D42AA">
            <w:pPr>
              <w:pStyle w:val="SingleTxtGR"/>
              <w:spacing w:before="60" w:after="60" w:line="220" w:lineRule="exact"/>
              <w:ind w:left="57" w:right="0"/>
              <w:jc w:val="left"/>
              <w:rPr>
                <w:sz w:val="18"/>
                <w:szCs w:val="18"/>
                <w:lang w:val="en-GB"/>
              </w:rPr>
            </w:pPr>
            <w:r w:rsidRPr="00835586">
              <w:rPr>
                <w:sz w:val="18"/>
                <w:szCs w:val="18"/>
              </w:rPr>
              <w:t>&gt;0</w:t>
            </w:r>
            <w:r w:rsidRPr="00835586">
              <w:rPr>
                <w:sz w:val="18"/>
                <w:szCs w:val="18"/>
                <w:lang w:val="en-US"/>
              </w:rPr>
              <w:t>,</w:t>
            </w:r>
            <w:r w:rsidRPr="00835586">
              <w:rPr>
                <w:sz w:val="18"/>
                <w:szCs w:val="18"/>
              </w:rPr>
              <w:t>4%</w:t>
            </w:r>
          </w:p>
        </w:tc>
        <w:tc>
          <w:tcPr>
            <w:tcW w:w="2198" w:type="dxa"/>
          </w:tcPr>
          <w:p w:rsidR="00CD2F31" w:rsidRPr="00835586" w:rsidRDefault="00CD2F31" w:rsidP="005D42AA">
            <w:pPr>
              <w:pStyle w:val="SingleTxtGR"/>
              <w:spacing w:before="60" w:after="60" w:line="220" w:lineRule="exact"/>
              <w:ind w:left="57" w:right="0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CD2F31" w:rsidRPr="00CD2F31" w:rsidTr="005D42AA">
        <w:tc>
          <w:tcPr>
            <w:tcW w:w="784" w:type="dxa"/>
            <w:gridSpan w:val="2"/>
            <w:vMerge/>
          </w:tcPr>
          <w:p w:rsidR="00CD2F31" w:rsidRPr="00835586" w:rsidRDefault="00CD2F31" w:rsidP="00835586">
            <w:pPr>
              <w:pStyle w:val="SingleTxtGR"/>
              <w:spacing w:before="60" w:after="60" w:line="220" w:lineRule="exact"/>
              <w:ind w:left="57" w:right="0"/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3782" w:type="dxa"/>
          </w:tcPr>
          <w:p w:rsidR="00CD2F31" w:rsidRPr="00835586" w:rsidRDefault="00CD2F31" w:rsidP="00835586">
            <w:pPr>
              <w:pStyle w:val="SingleTxtGR"/>
              <w:spacing w:before="60" w:after="60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835586">
              <w:rPr>
                <w:sz w:val="18"/>
                <w:szCs w:val="18"/>
              </w:rPr>
              <w:t>Более 80%, но менее 90% нитрата аммония в смеси с карбонатом кальция при общем содержании горючего/органического материала, рассчитываемого по углероду, не более 0,4%</w:t>
            </w:r>
          </w:p>
        </w:tc>
        <w:tc>
          <w:tcPr>
            <w:tcW w:w="1411" w:type="dxa"/>
          </w:tcPr>
          <w:p w:rsidR="00CD2F31" w:rsidRPr="00835586" w:rsidRDefault="00CD2F31" w:rsidP="005D42AA">
            <w:pPr>
              <w:pStyle w:val="SingleTxtGR"/>
              <w:spacing w:before="60" w:after="60" w:line="220" w:lineRule="exact"/>
              <w:ind w:left="57" w:right="0"/>
              <w:jc w:val="left"/>
              <w:rPr>
                <w:sz w:val="18"/>
                <w:szCs w:val="18"/>
                <w:lang w:val="en-GB"/>
              </w:rPr>
            </w:pPr>
            <w:r w:rsidRPr="00835586">
              <w:rPr>
                <w:sz w:val="18"/>
                <w:szCs w:val="18"/>
              </w:rPr>
              <w:t>90%</w:t>
            </w:r>
          </w:p>
        </w:tc>
        <w:tc>
          <w:tcPr>
            <w:tcW w:w="1470" w:type="dxa"/>
          </w:tcPr>
          <w:p w:rsidR="00CD2F31" w:rsidRPr="00835586" w:rsidRDefault="00CD2F31" w:rsidP="005D42AA">
            <w:pPr>
              <w:pStyle w:val="SingleTxtGR"/>
              <w:spacing w:before="60" w:after="60" w:line="220" w:lineRule="exact"/>
              <w:ind w:left="57" w:right="0"/>
              <w:jc w:val="left"/>
              <w:rPr>
                <w:sz w:val="18"/>
                <w:szCs w:val="18"/>
                <w:lang w:val="en-GB"/>
              </w:rPr>
            </w:pPr>
            <w:r w:rsidRPr="00835586">
              <w:rPr>
                <w:sz w:val="18"/>
                <w:szCs w:val="18"/>
              </w:rPr>
              <w:t>&gt;0,4%</w:t>
            </w:r>
          </w:p>
        </w:tc>
        <w:tc>
          <w:tcPr>
            <w:tcW w:w="2198" w:type="dxa"/>
          </w:tcPr>
          <w:p w:rsidR="00CD2F31" w:rsidRPr="00835586" w:rsidRDefault="00CD2F31" w:rsidP="005D42AA">
            <w:pPr>
              <w:pStyle w:val="SingleTxtGR"/>
              <w:spacing w:before="60" w:after="60" w:line="220" w:lineRule="exact"/>
              <w:ind w:left="57" w:right="0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CD2F31" w:rsidRPr="005D42AA" w:rsidTr="005D42AA">
        <w:tc>
          <w:tcPr>
            <w:tcW w:w="784" w:type="dxa"/>
            <w:gridSpan w:val="2"/>
          </w:tcPr>
          <w:p w:rsidR="00CD2F31" w:rsidRPr="00835586" w:rsidRDefault="00CD2F31" w:rsidP="00835586">
            <w:pPr>
              <w:pStyle w:val="SingleTxtGR"/>
              <w:spacing w:before="60" w:after="60" w:line="220" w:lineRule="exact"/>
              <w:ind w:left="57" w:right="0"/>
              <w:jc w:val="left"/>
              <w:rPr>
                <w:sz w:val="18"/>
                <w:szCs w:val="18"/>
                <w:lang w:val="en-GB"/>
              </w:rPr>
            </w:pPr>
            <w:r w:rsidRPr="00835586">
              <w:rPr>
                <w:sz w:val="18"/>
                <w:szCs w:val="18"/>
              </w:rPr>
              <w:t>с)</w:t>
            </w:r>
          </w:p>
        </w:tc>
        <w:tc>
          <w:tcPr>
            <w:tcW w:w="3782" w:type="dxa"/>
          </w:tcPr>
          <w:p w:rsidR="00CD2F31" w:rsidRPr="00835586" w:rsidRDefault="00CD2F31" w:rsidP="00835586">
            <w:pPr>
              <w:pStyle w:val="SingleTxtGR"/>
              <w:spacing w:before="60" w:after="60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835586">
              <w:rPr>
                <w:sz w:val="18"/>
                <w:szCs w:val="18"/>
              </w:rPr>
              <w:t>Удоб</w:t>
            </w:r>
            <w:r w:rsidR="005D42AA">
              <w:rPr>
                <w:sz w:val="18"/>
                <w:szCs w:val="18"/>
              </w:rPr>
              <w:t>рения на основе нитрата аммония</w:t>
            </w:r>
            <w:r w:rsidR="005D42AA">
              <w:rPr>
                <w:sz w:val="18"/>
                <w:szCs w:val="18"/>
              </w:rPr>
              <w:br/>
            </w:r>
            <w:r w:rsidRPr="00835586">
              <w:rPr>
                <w:sz w:val="18"/>
                <w:szCs w:val="18"/>
              </w:rPr>
              <w:t>азотного типа, содержащие смеси нитрата аммониям и сульфата аммония, при содержании нитрата аммония более 45%, но менее 70% и при общем содержании горючего/органического материала, рассчитываемого по углероду, не более 0,4%, так что сумма процентных концентраций нитрата аммония и сульфата аммония превы</w:t>
            </w:r>
            <w:r w:rsidR="005D42AA">
              <w:rPr>
                <w:sz w:val="18"/>
                <w:szCs w:val="18"/>
              </w:rPr>
              <w:t>шает </w:t>
            </w:r>
            <w:r w:rsidRPr="00835586">
              <w:rPr>
                <w:sz w:val="18"/>
                <w:szCs w:val="18"/>
              </w:rPr>
              <w:t>70%</w:t>
            </w:r>
          </w:p>
        </w:tc>
        <w:tc>
          <w:tcPr>
            <w:tcW w:w="1411" w:type="dxa"/>
          </w:tcPr>
          <w:p w:rsidR="00CD2F31" w:rsidRPr="005D42AA" w:rsidRDefault="00CD2F31" w:rsidP="005D42AA">
            <w:pPr>
              <w:pStyle w:val="SingleTxtGR"/>
              <w:spacing w:before="60" w:after="60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835586">
              <w:rPr>
                <w:sz w:val="18"/>
                <w:szCs w:val="18"/>
              </w:rPr>
              <w:t>70%</w:t>
            </w:r>
          </w:p>
        </w:tc>
        <w:tc>
          <w:tcPr>
            <w:tcW w:w="1470" w:type="dxa"/>
          </w:tcPr>
          <w:p w:rsidR="00CD2F31" w:rsidRPr="005D42AA" w:rsidRDefault="00CD2F31" w:rsidP="005D42AA">
            <w:pPr>
              <w:pStyle w:val="SingleTxtGR"/>
              <w:spacing w:before="60" w:after="60" w:line="220" w:lineRule="exact"/>
              <w:ind w:left="57" w:right="0"/>
              <w:jc w:val="left"/>
              <w:rPr>
                <w:sz w:val="18"/>
                <w:szCs w:val="18"/>
              </w:rPr>
            </w:pPr>
            <w:r w:rsidRPr="00835586">
              <w:rPr>
                <w:sz w:val="18"/>
                <w:szCs w:val="18"/>
              </w:rPr>
              <w:t>&gt;0,4%</w:t>
            </w:r>
          </w:p>
        </w:tc>
        <w:tc>
          <w:tcPr>
            <w:tcW w:w="2198" w:type="dxa"/>
          </w:tcPr>
          <w:p w:rsidR="00CD2F31" w:rsidRPr="005D42AA" w:rsidRDefault="00CD2F31" w:rsidP="005D42AA">
            <w:pPr>
              <w:pStyle w:val="SingleTxtGR"/>
              <w:spacing w:before="60" w:after="60" w:line="220" w:lineRule="exact"/>
              <w:ind w:left="57" w:right="0"/>
              <w:jc w:val="left"/>
              <w:rPr>
                <w:sz w:val="18"/>
                <w:szCs w:val="18"/>
              </w:rPr>
            </w:pPr>
          </w:p>
        </w:tc>
      </w:tr>
    </w:tbl>
    <w:p w:rsidR="00CD2F31" w:rsidRPr="00CD2F31" w:rsidRDefault="00CD2F31" w:rsidP="00CD2F31">
      <w:pPr>
        <w:pStyle w:val="SingleTxtGR"/>
      </w:pPr>
      <w:r w:rsidRPr="00CD2F31">
        <w:lastRenderedPageBreak/>
        <w:t>В результате проверки различных составов, превышающих указанные выше величины, по схеме принятия решений, содержащейся в разделе 39 Руководства, выявлены соответствующие им выходные блоки. Таким путем составлена таблица, приведенная в пункте 7 основного документа.</w:t>
      </w:r>
    </w:p>
    <w:p w:rsidR="00E12C5F" w:rsidRPr="005D42AA" w:rsidRDefault="005D42AA" w:rsidP="005D42A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5D42AA" w:rsidSect="00A565D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86" w:rsidRPr="00A312BC" w:rsidRDefault="00835586" w:rsidP="00A312BC"/>
  </w:endnote>
  <w:endnote w:type="continuationSeparator" w:id="0">
    <w:p w:rsidR="00835586" w:rsidRPr="00A312BC" w:rsidRDefault="0083558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86" w:rsidRPr="00A565DA" w:rsidRDefault="00835586">
    <w:pPr>
      <w:pStyle w:val="Footer"/>
    </w:pPr>
    <w:r w:rsidRPr="00A565DA">
      <w:rPr>
        <w:b/>
        <w:sz w:val="18"/>
      </w:rPr>
      <w:fldChar w:fldCharType="begin"/>
    </w:r>
    <w:r w:rsidRPr="00A565DA">
      <w:rPr>
        <w:b/>
        <w:sz w:val="18"/>
      </w:rPr>
      <w:instrText xml:space="preserve"> PAGE  \* MERGEFORMAT </w:instrText>
    </w:r>
    <w:r w:rsidRPr="00A565DA">
      <w:rPr>
        <w:b/>
        <w:sz w:val="18"/>
      </w:rPr>
      <w:fldChar w:fldCharType="separate"/>
    </w:r>
    <w:r w:rsidR="00B348C5">
      <w:rPr>
        <w:b/>
        <w:noProof/>
        <w:sz w:val="18"/>
      </w:rPr>
      <w:t>8</w:t>
    </w:r>
    <w:r w:rsidRPr="00A565DA">
      <w:rPr>
        <w:b/>
        <w:sz w:val="18"/>
      </w:rPr>
      <w:fldChar w:fldCharType="end"/>
    </w:r>
    <w:r>
      <w:rPr>
        <w:b/>
        <w:sz w:val="18"/>
      </w:rPr>
      <w:tab/>
    </w:r>
    <w:r>
      <w:t>GE.17-10905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86" w:rsidRPr="00A565DA" w:rsidRDefault="00835586" w:rsidP="00A565DA">
    <w:pPr>
      <w:pStyle w:val="Footer"/>
      <w:tabs>
        <w:tab w:val="clear" w:pos="9639"/>
        <w:tab w:val="right" w:pos="9638"/>
      </w:tabs>
      <w:rPr>
        <w:b/>
        <w:sz w:val="18"/>
      </w:rPr>
    </w:pPr>
    <w:r>
      <w:t>GE.17-10905</w:t>
    </w:r>
    <w:r>
      <w:tab/>
    </w:r>
    <w:r w:rsidRPr="00A565DA">
      <w:rPr>
        <w:b/>
        <w:sz w:val="18"/>
      </w:rPr>
      <w:fldChar w:fldCharType="begin"/>
    </w:r>
    <w:r w:rsidRPr="00A565DA">
      <w:rPr>
        <w:b/>
        <w:sz w:val="18"/>
      </w:rPr>
      <w:instrText xml:space="preserve"> PAGE  \* MERGEFORMAT </w:instrText>
    </w:r>
    <w:r w:rsidRPr="00A565DA">
      <w:rPr>
        <w:b/>
        <w:sz w:val="18"/>
      </w:rPr>
      <w:fldChar w:fldCharType="separate"/>
    </w:r>
    <w:r w:rsidR="00B348C5">
      <w:rPr>
        <w:b/>
        <w:noProof/>
        <w:sz w:val="18"/>
      </w:rPr>
      <w:t>9</w:t>
    </w:r>
    <w:r w:rsidRPr="00A565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86" w:rsidRPr="00A565DA" w:rsidRDefault="00835586" w:rsidP="00A565DA">
    <w:pPr>
      <w:spacing w:before="120" w:line="240" w:lineRule="auto"/>
    </w:pPr>
    <w:r>
      <w:t>GE.</w:t>
    </w:r>
    <w:r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DA2278A" wp14:editId="20D3865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17-10905  (R)</w:t>
    </w:r>
    <w:r w:rsidR="00E33022">
      <w:rPr>
        <w:lang w:val="en-US"/>
      </w:rPr>
      <w:t xml:space="preserve">  2707</w:t>
    </w:r>
    <w:r w:rsidR="009659BE">
      <w:rPr>
        <w:lang w:val="en-US"/>
      </w:rPr>
      <w:t>17  0208</w:t>
    </w:r>
    <w:r>
      <w:rPr>
        <w:lang w:val="en-US"/>
      </w:rPr>
      <w:t>17</w:t>
    </w:r>
    <w:r>
      <w:br/>
    </w:r>
    <w:r w:rsidRPr="00A565DA">
      <w:rPr>
        <w:rFonts w:ascii="C39T30Lfz" w:hAnsi="C39T30Lfz"/>
        <w:spacing w:val="0"/>
        <w:w w:val="100"/>
        <w:sz w:val="56"/>
      </w:rPr>
      <w:t></w:t>
    </w:r>
    <w:r w:rsidRPr="00A565DA">
      <w:rPr>
        <w:rFonts w:ascii="C39T30Lfz" w:hAnsi="C39T30Lfz"/>
        <w:spacing w:val="0"/>
        <w:w w:val="100"/>
        <w:sz w:val="56"/>
      </w:rPr>
      <w:t></w:t>
    </w:r>
    <w:r w:rsidRPr="00A565DA">
      <w:rPr>
        <w:rFonts w:ascii="C39T30Lfz" w:hAnsi="C39T30Lfz"/>
        <w:spacing w:val="0"/>
        <w:w w:val="100"/>
        <w:sz w:val="56"/>
      </w:rPr>
      <w:t></w:t>
    </w:r>
    <w:r w:rsidRPr="00A565DA">
      <w:rPr>
        <w:rFonts w:ascii="C39T30Lfz" w:hAnsi="C39T30Lfz"/>
        <w:spacing w:val="0"/>
        <w:w w:val="100"/>
        <w:sz w:val="56"/>
      </w:rPr>
      <w:t></w:t>
    </w:r>
    <w:r w:rsidRPr="00A565DA">
      <w:rPr>
        <w:rFonts w:ascii="C39T30Lfz" w:hAnsi="C39T30Lfz"/>
        <w:spacing w:val="0"/>
        <w:w w:val="100"/>
        <w:sz w:val="56"/>
      </w:rPr>
      <w:t></w:t>
    </w:r>
    <w:r w:rsidRPr="00A565DA">
      <w:rPr>
        <w:rFonts w:ascii="C39T30Lfz" w:hAnsi="C39T30Lfz"/>
        <w:spacing w:val="0"/>
        <w:w w:val="100"/>
        <w:sz w:val="56"/>
      </w:rPr>
      <w:t></w:t>
    </w:r>
    <w:r w:rsidRPr="00A565DA">
      <w:rPr>
        <w:rFonts w:ascii="C39T30Lfz" w:hAnsi="C39T30Lfz"/>
        <w:spacing w:val="0"/>
        <w:w w:val="100"/>
        <w:sz w:val="56"/>
      </w:rPr>
      <w:t></w:t>
    </w:r>
    <w:r w:rsidRPr="00A565DA">
      <w:rPr>
        <w:rFonts w:ascii="C39T30Lfz" w:hAnsi="C39T30Lfz"/>
        <w:spacing w:val="0"/>
        <w:w w:val="100"/>
        <w:sz w:val="56"/>
      </w:rPr>
      <w:t></w:t>
    </w:r>
    <w:r w:rsidRPr="00A565D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15/AC.1/2017/3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7/3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86" w:rsidRPr="001075E9" w:rsidRDefault="0083558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35586" w:rsidRDefault="0083558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35586" w:rsidRPr="00A565DA" w:rsidRDefault="00835586">
      <w:pPr>
        <w:pStyle w:val="FootnoteText"/>
        <w:rPr>
          <w:sz w:val="20"/>
          <w:lang w:val="ru-RU"/>
        </w:rPr>
      </w:pPr>
      <w:r>
        <w:tab/>
      </w:r>
      <w:r w:rsidRPr="00A565DA">
        <w:rPr>
          <w:rStyle w:val="FootnoteReference"/>
          <w:szCs w:val="18"/>
          <w:vertAlign w:val="baseline"/>
          <w:lang w:val="ru-RU"/>
        </w:rPr>
        <w:t>*</w:t>
      </w:r>
      <w:r w:rsidRPr="00A565DA">
        <w:rPr>
          <w:rStyle w:val="FootnoteReference"/>
          <w:vertAlign w:val="baseline"/>
          <w:lang w:val="ru-RU"/>
        </w:rPr>
        <w:tab/>
      </w:r>
      <w:r w:rsidRPr="00A565DA">
        <w:rPr>
          <w:lang w:val="ru-RU"/>
        </w:rPr>
        <w:t>В соответствии с программой работы Ком</w:t>
      </w:r>
      <w:r>
        <w:rPr>
          <w:lang w:val="ru-RU"/>
        </w:rPr>
        <w:t>итета по внутреннему транспорту</w:t>
      </w:r>
      <w:r w:rsidRPr="00A565DA">
        <w:rPr>
          <w:lang w:val="ru-RU"/>
        </w:rPr>
        <w:br/>
        <w:t>на 2016–2017 годы (ECE/TRANS/2016/28/Add.1 (9.2)).</w:t>
      </w:r>
    </w:p>
  </w:footnote>
  <w:footnote w:id="2">
    <w:p w:rsidR="00835586" w:rsidRPr="00A565DA" w:rsidRDefault="00835586" w:rsidP="00CD2F31">
      <w:pPr>
        <w:pStyle w:val="FootnoteText"/>
        <w:spacing w:after="240"/>
        <w:rPr>
          <w:sz w:val="20"/>
          <w:lang w:val="ru-RU"/>
        </w:rPr>
      </w:pPr>
      <w:r w:rsidRPr="00A565DA">
        <w:rPr>
          <w:lang w:val="ru-RU"/>
        </w:rPr>
        <w:tab/>
      </w:r>
      <w:r w:rsidRPr="00A565DA">
        <w:rPr>
          <w:rStyle w:val="FootnoteReference"/>
          <w:szCs w:val="18"/>
          <w:vertAlign w:val="baseline"/>
          <w:lang w:val="ru-RU"/>
        </w:rPr>
        <w:t>**</w:t>
      </w:r>
      <w:r w:rsidRPr="00A565DA">
        <w:rPr>
          <w:rStyle w:val="FootnoteReference"/>
          <w:vertAlign w:val="baseline"/>
          <w:lang w:val="ru-RU"/>
        </w:rPr>
        <w:tab/>
      </w:r>
      <w:r w:rsidRPr="00A565DA">
        <w:rPr>
          <w:lang w:val="ru-RU"/>
        </w:rPr>
        <w:t>Распространено Межправительственной организацией по международным железнодорожным перевозкам (ОТИФ) под условным обозначением OTIF/RID/RC/2017/35.</w:t>
      </w:r>
    </w:p>
  </w:footnote>
  <w:footnote w:id="3">
    <w:p w:rsidR="00835586" w:rsidRPr="00CD2F31" w:rsidRDefault="00835586" w:rsidP="005A78E2">
      <w:pPr>
        <w:pStyle w:val="FootnoteText"/>
        <w:rPr>
          <w:lang w:val="ru-RU"/>
        </w:rPr>
      </w:pPr>
      <w:r w:rsidRPr="009659BE">
        <w:rPr>
          <w:lang w:val="ru-RU"/>
        </w:rPr>
        <w:tab/>
      </w:r>
      <w:r w:rsidRPr="00E61D92">
        <w:rPr>
          <w:rStyle w:val="FootnoteReference"/>
          <w:sz w:val="20"/>
          <w:lang w:val="ru-RU"/>
        </w:rPr>
        <w:footnoteRef/>
      </w:r>
      <w:r>
        <w:rPr>
          <w:lang w:val="ru-RU"/>
        </w:rPr>
        <w:tab/>
        <w:t>См. разделы 38 и 39 доклада о работе восьмой сессии Комитета экспертов</w:t>
      </w:r>
      <w:r>
        <w:rPr>
          <w:lang w:val="ru-RU"/>
        </w:rPr>
        <w:br/>
        <w:t xml:space="preserve">по </w:t>
      </w:r>
      <w:r w:rsidRPr="00B44380">
        <w:rPr>
          <w:lang w:val="ru-RU"/>
        </w:rPr>
        <w:t>перевозке</w:t>
      </w:r>
      <w:r w:rsidRPr="00CD2F31">
        <w:rPr>
          <w:lang w:val="ru-RU"/>
        </w:rPr>
        <w:t xml:space="preserve"> опасных грузов и Согласованной на глобальном уровне системе классификации опасности и маркировки химической продукции </w:t>
      </w:r>
      <w:hyperlink r:id="rId1" w:history="1">
        <w:r w:rsidRPr="0024529C">
          <w:rPr>
            <w:rStyle w:val="Hyperlink"/>
            <w:color w:val="auto"/>
            <w:szCs w:val="18"/>
            <w:lang w:val="ru-RU"/>
          </w:rPr>
          <w:t>ST/SG/AC.10/44/Add.2</w:t>
        </w:r>
      </w:hyperlink>
      <w:r w:rsidRPr="00CD2F31">
        <w:rPr>
          <w:lang w:val="ru-RU"/>
        </w:rPr>
        <w:t>.</w:t>
      </w:r>
    </w:p>
  </w:footnote>
  <w:footnote w:id="4">
    <w:p w:rsidR="00835586" w:rsidRPr="00CD2F31" w:rsidRDefault="00835586" w:rsidP="005A78E2">
      <w:pPr>
        <w:pStyle w:val="FootnoteText"/>
        <w:rPr>
          <w:lang w:val="ru-RU"/>
        </w:rPr>
      </w:pPr>
      <w:r w:rsidRPr="00B44380">
        <w:rPr>
          <w:lang w:val="ru-RU"/>
        </w:rPr>
        <w:tab/>
      </w:r>
      <w:r w:rsidRPr="00CD2F31">
        <w:rPr>
          <w:rStyle w:val="FootnoteReference"/>
          <w:szCs w:val="18"/>
          <w:lang w:val="ru-RU"/>
        </w:rPr>
        <w:footnoteRef/>
      </w:r>
      <w:r w:rsidRPr="00CD2F31">
        <w:rPr>
          <w:lang w:val="ru-RU"/>
        </w:rPr>
        <w:tab/>
        <w:t xml:space="preserve">См. доводы и ссылки в пункте 9 b) документа ST/SG/AC.10/C.3/2016/66, </w:t>
      </w:r>
      <w:r w:rsidRPr="009659BE">
        <w:rPr>
          <w:lang w:val="ru-RU"/>
        </w:rPr>
        <w:t>представленном</w:t>
      </w:r>
      <w:r w:rsidRPr="00CD2F31">
        <w:rPr>
          <w:lang w:val="ru-RU"/>
        </w:rPr>
        <w:t xml:space="preserve"> пятидесятой сессии Подкомитета экспертов по перевозке</w:t>
      </w:r>
      <w:r>
        <w:rPr>
          <w:lang w:val="ru-RU"/>
        </w:rPr>
        <w:br/>
      </w:r>
      <w:r w:rsidRPr="00CD2F31">
        <w:rPr>
          <w:lang w:val="ru-RU"/>
        </w:rPr>
        <w:t>опасных грузов.</w:t>
      </w:r>
    </w:p>
  </w:footnote>
  <w:footnote w:id="5">
    <w:p w:rsidR="00835586" w:rsidRPr="00CD2F31" w:rsidRDefault="00835586" w:rsidP="005A78E2">
      <w:pPr>
        <w:pStyle w:val="FootnoteText"/>
        <w:rPr>
          <w:lang w:val="ru-RU"/>
        </w:rPr>
      </w:pPr>
      <w:r w:rsidRPr="009659BE">
        <w:rPr>
          <w:lang w:val="ru-RU"/>
        </w:rPr>
        <w:tab/>
      </w:r>
      <w:r w:rsidRPr="00CD2F31">
        <w:rPr>
          <w:rStyle w:val="FootnoteReference"/>
          <w:szCs w:val="18"/>
          <w:lang w:val="ru-RU"/>
        </w:rPr>
        <w:footnoteRef/>
      </w:r>
      <w:r w:rsidRPr="00CD2F31">
        <w:rPr>
          <w:lang w:val="ru-RU"/>
        </w:rPr>
        <w:tab/>
      </w:r>
      <w:r w:rsidRPr="009659BE">
        <w:rPr>
          <w:lang w:val="ru-RU"/>
        </w:rPr>
        <w:t>Более</w:t>
      </w:r>
      <w:r w:rsidRPr="00CD2F31">
        <w:rPr>
          <w:lang w:val="ru-RU"/>
        </w:rPr>
        <w:t xml:space="preserve"> подробный перечень несовместимых</w:t>
      </w:r>
      <w:r>
        <w:rPr>
          <w:lang w:val="ru-RU"/>
        </w:rPr>
        <w:t xml:space="preserve"> материалов см. в пункте 39.3.5</w:t>
      </w:r>
      <w:r>
        <w:rPr>
          <w:lang w:val="ru-RU"/>
        </w:rPr>
        <w:br/>
      </w:r>
      <w:r w:rsidRPr="00CD2F31">
        <w:rPr>
          <w:lang w:val="ru-RU"/>
        </w:rPr>
        <w:t>раздела 39 Руководства по испытаниям и критериям.</w:t>
      </w:r>
    </w:p>
  </w:footnote>
  <w:footnote w:id="6">
    <w:p w:rsidR="00835586" w:rsidRPr="00895BE9" w:rsidRDefault="00835586" w:rsidP="005A78E2">
      <w:pPr>
        <w:pStyle w:val="FootnoteText"/>
        <w:rPr>
          <w:lang w:val="ru-RU"/>
        </w:rPr>
      </w:pPr>
      <w:r>
        <w:rPr>
          <w:lang w:val="ru-RU"/>
        </w:rPr>
        <w:tab/>
      </w:r>
      <w:r w:rsidRPr="00E61D92">
        <w:rPr>
          <w:rStyle w:val="FootnoteReference"/>
          <w:sz w:val="20"/>
          <w:lang w:val="ru-RU"/>
        </w:rPr>
        <w:footnoteRef/>
      </w:r>
      <w:r>
        <w:rPr>
          <w:lang w:val="ru-RU"/>
        </w:rPr>
        <w:tab/>
      </w:r>
      <w:r w:rsidRPr="00C33472">
        <w:rPr>
          <w:lang w:val="ru-RU"/>
        </w:rPr>
        <w:t>Специальная</w:t>
      </w:r>
      <w:r>
        <w:rPr>
          <w:lang w:val="ru-RU"/>
        </w:rPr>
        <w:t xml:space="preserve"> рабочая группа п</w:t>
      </w:r>
      <w:r w:rsidR="00C33472">
        <w:rPr>
          <w:lang w:val="ru-RU"/>
        </w:rPr>
        <w:t>о согласованию МПОГ/ДОПОГ/ВОПОГ</w:t>
      </w:r>
      <w:r w:rsidR="00C33472">
        <w:rPr>
          <w:lang w:val="ru-RU"/>
        </w:rPr>
        <w:br/>
      </w:r>
      <w:r>
        <w:rPr>
          <w:lang w:val="ru-RU"/>
        </w:rPr>
        <w:t>с Рекомендациями Организации Объединенных Наций по перевозке опасных грузов, восьмая сессия, документы ECE/TRANS/WP.15/AC.1/2017/26 и Add.1.</w:t>
      </w:r>
    </w:p>
  </w:footnote>
  <w:footnote w:id="7">
    <w:p w:rsidR="00835586" w:rsidRPr="00B06D25" w:rsidRDefault="00835586" w:rsidP="00871906">
      <w:pPr>
        <w:pStyle w:val="FootnoteText"/>
        <w:rPr>
          <w:lang w:val="ru-RU"/>
        </w:rPr>
      </w:pPr>
      <w:r>
        <w:rPr>
          <w:lang w:val="ru-RU"/>
        </w:rPr>
        <w:tab/>
      </w:r>
      <w:r w:rsidRPr="00E61D92">
        <w:rPr>
          <w:rStyle w:val="FootnoteReference"/>
          <w:sz w:val="20"/>
          <w:lang w:val="ru-RU"/>
        </w:rPr>
        <w:footnoteRef/>
      </w:r>
      <w:r>
        <w:rPr>
          <w:lang w:val="ru-RU"/>
        </w:rPr>
        <w:tab/>
        <w:t>Выходной блок 4 схемы принятия решений соответствует ситуации, при которой смесь содержит «несовместимые материалы в количествах, которые могут негативно повлиять на устойчивость нитрата аммония». См. более подробный анализ в приложении к настоящему документу.</w:t>
      </w:r>
    </w:p>
  </w:footnote>
  <w:footnote w:id="8">
    <w:p w:rsidR="00835586" w:rsidRPr="00895BE9" w:rsidRDefault="00835586" w:rsidP="00871906">
      <w:pPr>
        <w:pStyle w:val="FootnoteText"/>
        <w:rPr>
          <w:lang w:val="ru-RU"/>
        </w:rPr>
      </w:pPr>
      <w:r>
        <w:rPr>
          <w:lang w:val="ru-RU"/>
        </w:rPr>
        <w:tab/>
      </w:r>
      <w:r w:rsidRPr="00BF57DA">
        <w:rPr>
          <w:rStyle w:val="FootnoteReference"/>
          <w:sz w:val="20"/>
          <w:lang w:val="ru-RU"/>
        </w:rPr>
        <w:footnoteRef/>
      </w:r>
      <w:r>
        <w:rPr>
          <w:lang w:val="ru-RU"/>
        </w:rPr>
        <w:tab/>
        <w:t xml:space="preserve">«Простые азотные» удобрения означают такие удобрения, в которых единственным основным питательным элементом является азот </w:t>
      </w:r>
      <w:r w:rsidRPr="00112E77">
        <w:rPr>
          <w:lang w:val="ru-RU"/>
        </w:rPr>
        <w:t>(</w:t>
      </w:r>
      <w:r w:rsidRPr="005622C0">
        <w:t>N</w:t>
      </w:r>
      <w:r w:rsidRPr="00112E77">
        <w:rPr>
          <w:lang w:val="ru-RU"/>
        </w:rPr>
        <w:t>)</w:t>
      </w:r>
      <w:r>
        <w:rPr>
          <w:lang w:val="ru-RU"/>
        </w:rPr>
        <w:t xml:space="preserve">, в </w:t>
      </w:r>
      <w:r w:rsidRPr="00B06D25">
        <w:rPr>
          <w:lang w:val="ru-RU"/>
        </w:rPr>
        <w:t>отличие</w:t>
      </w:r>
      <w:r>
        <w:rPr>
          <w:lang w:val="ru-RU"/>
        </w:rPr>
        <w:t xml:space="preserve"> от сложных удобрений, в состав которых входят также другие основные питательные элемент</w:t>
      </w:r>
      <w:r w:rsidR="00B06D25">
        <w:rPr>
          <w:lang w:val="ru-RU"/>
        </w:rPr>
        <w:t>ы (фосфор (Р) и/или калий (K)).</w:t>
      </w:r>
    </w:p>
  </w:footnote>
  <w:footnote w:id="9">
    <w:p w:rsidR="00835586" w:rsidRPr="00871906" w:rsidRDefault="00835586" w:rsidP="00871906">
      <w:pPr>
        <w:pStyle w:val="FootnoteText"/>
        <w:rPr>
          <w:lang w:val="en-US"/>
        </w:rPr>
      </w:pPr>
      <w:r>
        <w:rPr>
          <w:sz w:val="20"/>
          <w:lang w:val="ru-RU"/>
        </w:rPr>
        <w:tab/>
      </w:r>
      <w:r w:rsidRPr="00BF57DA">
        <w:rPr>
          <w:rStyle w:val="FootnoteReference"/>
          <w:sz w:val="20"/>
          <w:lang w:val="ru-RU"/>
        </w:rPr>
        <w:footnoteRef/>
      </w:r>
      <w:r w:rsidRPr="00895BE9">
        <w:rPr>
          <w:lang w:val="en-US"/>
        </w:rPr>
        <w:tab/>
        <w:t>See e.g. the review in</w:t>
      </w:r>
      <w:r>
        <w:rPr>
          <w:lang w:val="en-US"/>
        </w:rPr>
        <w:t xml:space="preserve"> Section 9.3.3 in Chapter 9 of </w:t>
      </w:r>
      <w:r w:rsidRPr="00871906">
        <w:rPr>
          <w:lang w:val="en-US"/>
        </w:rPr>
        <w:t>«</w:t>
      </w:r>
      <w:r w:rsidRPr="00895BE9">
        <w:rPr>
          <w:lang w:val="en-US"/>
        </w:rPr>
        <w:t>Properties of Amm</w:t>
      </w:r>
      <w:r>
        <w:rPr>
          <w:lang w:val="en-US"/>
        </w:rPr>
        <w:t>onium Nitrate based fertilizers</w:t>
      </w:r>
      <w:r w:rsidRPr="00871906">
        <w:rPr>
          <w:lang w:val="en-US"/>
        </w:rPr>
        <w:t>»</w:t>
      </w:r>
      <w:r w:rsidRPr="00895BE9">
        <w:rPr>
          <w:lang w:val="en-US"/>
        </w:rPr>
        <w:t>, Ph.D. thesis by Harry Kiiski, Faculty of Science, Helsinki University 2009</w:t>
      </w:r>
      <w:r w:rsidRPr="00871906">
        <w:rPr>
          <w:lang w:val="en-US"/>
        </w:rPr>
        <w:t>.</w:t>
      </w:r>
    </w:p>
  </w:footnote>
  <w:footnote w:id="10">
    <w:p w:rsidR="00835586" w:rsidRPr="00895BE9" w:rsidRDefault="00835586" w:rsidP="00CD2F31">
      <w:pPr>
        <w:pStyle w:val="FootnoteText"/>
        <w:tabs>
          <w:tab w:val="clear" w:pos="1021"/>
          <w:tab w:val="right" w:pos="851"/>
        </w:tabs>
        <w:ind w:left="0" w:firstLine="0"/>
        <w:rPr>
          <w:lang w:val="ru-RU"/>
        </w:rPr>
      </w:pPr>
      <w:r w:rsidRPr="00895BE9">
        <w:rPr>
          <w:lang w:val="en-US"/>
        </w:rPr>
        <w:tab/>
      </w:r>
      <w:r w:rsidRPr="00BF57DA">
        <w:rPr>
          <w:rStyle w:val="FootnoteReference"/>
          <w:sz w:val="20"/>
          <w:lang w:val="ru-RU"/>
        </w:rPr>
        <w:footnoteRef/>
      </w:r>
      <w:r>
        <w:rPr>
          <w:lang w:val="ru-RU"/>
        </w:rPr>
        <w:tab/>
        <w:t>См. поправки к главе 2.2 в документе ECE/TRANS/WP.15/AC.1/2017/26/Add.1</w:t>
      </w:r>
      <w:r w:rsidR="003A7105">
        <w:rPr>
          <w:lang w:val="ru-RU"/>
        </w:rPr>
        <w:t>.</w:t>
      </w:r>
    </w:p>
  </w:footnote>
  <w:footnote w:id="11">
    <w:p w:rsidR="00835586" w:rsidRPr="00895BE9" w:rsidRDefault="00835586" w:rsidP="00CD2F31">
      <w:pPr>
        <w:pStyle w:val="FootnoteText"/>
        <w:tabs>
          <w:tab w:val="clear" w:pos="1021"/>
          <w:tab w:val="right" w:pos="851"/>
        </w:tabs>
        <w:ind w:left="0" w:firstLine="0"/>
        <w:rPr>
          <w:lang w:val="ru-RU"/>
        </w:rPr>
      </w:pPr>
      <w:r>
        <w:rPr>
          <w:lang w:val="ru-RU"/>
        </w:rPr>
        <w:tab/>
      </w:r>
      <w:r w:rsidRPr="00BF57DA">
        <w:rPr>
          <w:rStyle w:val="FootnoteReference"/>
          <w:sz w:val="20"/>
          <w:lang w:val="ru-RU"/>
        </w:rPr>
        <w:footnoteRef/>
      </w:r>
      <w:r>
        <w:rPr>
          <w:lang w:val="ru-RU"/>
        </w:rPr>
        <w:tab/>
        <w:t>См. приложение к документу ECE/TRANS/WP.15/AC.1/2017/26/Add.1</w:t>
      </w:r>
      <w:r w:rsidR="003A7105">
        <w:rPr>
          <w:lang w:val="ru-RU"/>
        </w:rPr>
        <w:t>.</w:t>
      </w:r>
    </w:p>
  </w:footnote>
  <w:footnote w:id="12">
    <w:p w:rsidR="00835586" w:rsidRPr="00895BE9" w:rsidRDefault="00835586" w:rsidP="005D42AA">
      <w:pPr>
        <w:pStyle w:val="FootnoteText"/>
        <w:spacing w:line="210" w:lineRule="exact"/>
        <w:rPr>
          <w:lang w:val="ru-RU"/>
        </w:rPr>
      </w:pPr>
      <w:r>
        <w:rPr>
          <w:lang w:val="ru-RU"/>
        </w:rPr>
        <w:tab/>
      </w:r>
      <w:r w:rsidRPr="00BF57DA">
        <w:rPr>
          <w:rStyle w:val="FootnoteReference"/>
          <w:sz w:val="20"/>
          <w:lang w:val="ru-RU"/>
        </w:rPr>
        <w:footnoteRef/>
      </w:r>
      <w:r>
        <w:rPr>
          <w:lang w:val="ru-RU"/>
        </w:rPr>
        <w:tab/>
        <w:t xml:space="preserve">Отмечается, что в пункте 2.2.51.2.2 не содержится прямого указания на какие-либо другие величины, за исключением содержания нитрата аммония и горючих веществ. Однако составы, содержащие </w:t>
      </w:r>
      <w:r w:rsidRPr="003A7105">
        <w:rPr>
          <w:lang w:val="ru-RU"/>
        </w:rPr>
        <w:t>дополнительное</w:t>
      </w:r>
      <w:r>
        <w:rPr>
          <w:lang w:val="ru-RU"/>
        </w:rPr>
        <w:t xml:space="preserve"> вещество, не являющееся инертным по отношению к нитрату аммония, по нашему мнению</w:t>
      </w:r>
      <w:r w:rsidR="003A7105">
        <w:rPr>
          <w:lang w:val="ru-RU"/>
        </w:rPr>
        <w:t>, подпадают под действие пункта </w:t>
      </w:r>
      <w:r>
        <w:rPr>
          <w:lang w:val="ru-RU"/>
        </w:rPr>
        <w:t>2.2.51.2.2, если содержание в них нитрата</w:t>
      </w:r>
      <w:r w:rsidR="003A7105">
        <w:rPr>
          <w:lang w:val="ru-RU"/>
        </w:rPr>
        <w:t xml:space="preserve"> аммония превышает 90%. Составы</w:t>
      </w:r>
      <w:r w:rsidR="003A7105">
        <w:rPr>
          <w:lang w:val="ru-RU"/>
        </w:rPr>
        <w:br/>
      </w:r>
      <w:r>
        <w:rPr>
          <w:lang w:val="ru-RU"/>
        </w:rPr>
        <w:t>с содержанием нитрата аммония в концентрации 90% и более и добавленного материала, не совместимого с нитратом аммония, в таких концентрациях, при которых он способен негативно повлиять на устойчивость нитрата аммония, не должны, на наш взгляд, допускаться к перевозке в качестве материалов, отнесенных к классу 5.1. См. также выходной блок 4 схемы принятия решений, содержащейся в разделе 39 Руководства.</w:t>
      </w:r>
    </w:p>
  </w:footnote>
  <w:footnote w:id="13">
    <w:p w:rsidR="00835586" w:rsidRPr="00895BE9" w:rsidRDefault="00835586" w:rsidP="005D42AA">
      <w:pPr>
        <w:pStyle w:val="FootnoteText"/>
        <w:spacing w:line="210" w:lineRule="exact"/>
        <w:rPr>
          <w:lang w:val="ru-RU"/>
        </w:rPr>
      </w:pPr>
      <w:r>
        <w:rPr>
          <w:lang w:val="ru-RU"/>
        </w:rPr>
        <w:tab/>
      </w:r>
      <w:r w:rsidRPr="00BF57DA">
        <w:rPr>
          <w:rStyle w:val="FootnoteReference"/>
          <w:sz w:val="20"/>
          <w:lang w:val="ru-RU"/>
        </w:rPr>
        <w:footnoteRef/>
      </w:r>
      <w:r>
        <w:rPr>
          <w:lang w:val="ru-RU"/>
        </w:rPr>
        <w:tab/>
        <w:t xml:space="preserve">Для удобства анализа пункт b) СП 307 был разбит на две части: одна касается смесей с карбонатом кальция и/или доломитом и/или минеральным </w:t>
      </w:r>
      <w:r w:rsidRPr="005D42AA">
        <w:rPr>
          <w:lang w:val="ru-RU"/>
        </w:rPr>
        <w:t>сульфатом</w:t>
      </w:r>
      <w:r w:rsidR="005D42AA">
        <w:rPr>
          <w:lang w:val="ru-RU"/>
        </w:rPr>
        <w:t xml:space="preserve"> кальция,</w:t>
      </w:r>
      <w:r w:rsidR="005D42AA">
        <w:rPr>
          <w:lang w:val="ru-RU"/>
        </w:rPr>
        <w:br/>
      </w:r>
      <w:r>
        <w:rPr>
          <w:lang w:val="ru-RU"/>
        </w:rPr>
        <w:t>а другая – смесей с други</w:t>
      </w:r>
      <w:r w:rsidR="005D42AA">
        <w:rPr>
          <w:lang w:val="ru-RU"/>
        </w:rPr>
        <w:t>ми неорганическими материалами.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86" w:rsidRPr="00A565DA" w:rsidRDefault="003236A9">
    <w:pPr>
      <w:pStyle w:val="Header"/>
    </w:pPr>
    <w:fldSimple w:instr=" TITLE  \* MERGEFORMAT ">
      <w:r w:rsidR="004E7B6C">
        <w:t>ECE/TRANS/WP.15/AC.1/2017/35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86" w:rsidRPr="00A565DA" w:rsidRDefault="003236A9" w:rsidP="00A565DA">
    <w:pPr>
      <w:pStyle w:val="Header"/>
      <w:jc w:val="right"/>
    </w:pPr>
    <w:fldSimple w:instr=" TITLE  \* MERGEFORMAT ">
      <w:r w:rsidR="004E7B6C">
        <w:t>ECE/TRANS/WP.15/AC.1/2017/35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89"/>
    <w:rsid w:val="00033EE1"/>
    <w:rsid w:val="00042B72"/>
    <w:rsid w:val="000558BD"/>
    <w:rsid w:val="000634D0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529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6A9"/>
    <w:rsid w:val="003402C2"/>
    <w:rsid w:val="00357E6D"/>
    <w:rsid w:val="00381C24"/>
    <w:rsid w:val="00387CD4"/>
    <w:rsid w:val="003958D0"/>
    <w:rsid w:val="003A0D43"/>
    <w:rsid w:val="003A48CE"/>
    <w:rsid w:val="003A7105"/>
    <w:rsid w:val="003B00E5"/>
    <w:rsid w:val="00407B78"/>
    <w:rsid w:val="00424203"/>
    <w:rsid w:val="00452493"/>
    <w:rsid w:val="00453318"/>
    <w:rsid w:val="00454AF2"/>
    <w:rsid w:val="00454E07"/>
    <w:rsid w:val="00472C5C"/>
    <w:rsid w:val="00473A89"/>
    <w:rsid w:val="004E05B7"/>
    <w:rsid w:val="004E7B6C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78E2"/>
    <w:rsid w:val="005D42AA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6A0C"/>
    <w:rsid w:val="00757357"/>
    <w:rsid w:val="00792497"/>
    <w:rsid w:val="007E5BE9"/>
    <w:rsid w:val="00806737"/>
    <w:rsid w:val="00825F8D"/>
    <w:rsid w:val="00834B71"/>
    <w:rsid w:val="00835586"/>
    <w:rsid w:val="0086445C"/>
    <w:rsid w:val="00871906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59BE"/>
    <w:rsid w:val="009A24AC"/>
    <w:rsid w:val="009C6FE6"/>
    <w:rsid w:val="00A14DA8"/>
    <w:rsid w:val="00A312BC"/>
    <w:rsid w:val="00A565DA"/>
    <w:rsid w:val="00A84021"/>
    <w:rsid w:val="00A84D35"/>
    <w:rsid w:val="00A917B3"/>
    <w:rsid w:val="00AB4B51"/>
    <w:rsid w:val="00B06D25"/>
    <w:rsid w:val="00B10CC7"/>
    <w:rsid w:val="00B21312"/>
    <w:rsid w:val="00B348C5"/>
    <w:rsid w:val="00B36DF7"/>
    <w:rsid w:val="00B44380"/>
    <w:rsid w:val="00B539E7"/>
    <w:rsid w:val="00B62458"/>
    <w:rsid w:val="00BC18B2"/>
    <w:rsid w:val="00BD33EE"/>
    <w:rsid w:val="00BE1CC7"/>
    <w:rsid w:val="00C106D6"/>
    <w:rsid w:val="00C119AE"/>
    <w:rsid w:val="00C33472"/>
    <w:rsid w:val="00C60F0C"/>
    <w:rsid w:val="00C805C9"/>
    <w:rsid w:val="00C92939"/>
    <w:rsid w:val="00CA1679"/>
    <w:rsid w:val="00CB151C"/>
    <w:rsid w:val="00CD2F31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33022"/>
    <w:rsid w:val="00E73F76"/>
    <w:rsid w:val="00EA2C9F"/>
    <w:rsid w:val="00EA420E"/>
    <w:rsid w:val="00ED0BDA"/>
    <w:rsid w:val="00EE142A"/>
    <w:rsid w:val="00EF1360"/>
    <w:rsid w:val="00EF3220"/>
    <w:rsid w:val="00EF54C9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AD432B7-F390-4414-8A71-B66FE12D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ece.org/fileadmin/DAM/trans/doc/2017/dgac10/ST-SG-AC10-44-Add2r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4103-8C0C-49EE-A39F-05E85437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2611</Words>
  <Characters>16592</Characters>
  <Application>Microsoft Office Word</Application>
  <DocSecurity>0</DocSecurity>
  <Lines>138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ECE/TRANS/WP.15/AC.1/2017/35</vt:lpstr>
      <vt:lpstr>ECE/TRANS/WP.15/AC.1/2017/35</vt:lpstr>
      <vt:lpstr>A/</vt:lpstr>
    </vt:vector>
  </TitlesOfParts>
  <Company>DCM</Company>
  <LinksUpToDate>false</LinksUpToDate>
  <CharactersWithSpaces>19165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ECE/TRANS/WP.15/AC.1/2017/35</dc:title>
  <dc:subject/>
  <dc:creator>Kisseleva</dc:creator>
  <cp:keywords/>
  <cp:lastModifiedBy>Christine Barrio-Champeau</cp:lastModifiedBy>
  <cp:revision>2</cp:revision>
  <cp:lastPrinted>2017-08-02T10:27:00Z</cp:lastPrinted>
  <dcterms:created xsi:type="dcterms:W3CDTF">2017-08-07T08:39:00Z</dcterms:created>
  <dcterms:modified xsi:type="dcterms:W3CDTF">2017-08-07T08:39:00Z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