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9D2A5B" w:rsidP="00150CF1">
            <w:pPr>
              <w:suppressAutoHyphens w:val="0"/>
              <w:spacing w:after="20"/>
              <w:jc w:val="right"/>
            </w:pPr>
            <w:r w:rsidRPr="00B11BB4">
              <w:rPr>
                <w:sz w:val="40"/>
              </w:rPr>
              <w:t>ECE</w:t>
            </w:r>
            <w:r>
              <w:t>/TRANS/WP.15/AC.1/201</w:t>
            </w:r>
            <w:r w:rsidR="000509A7">
              <w:t>7</w:t>
            </w:r>
            <w:r>
              <w:t>/</w:t>
            </w:r>
            <w:r w:rsidR="00F66565">
              <w:t>1</w:t>
            </w:r>
            <w:r w:rsidR="00150CF1">
              <w:t>8</w:t>
            </w:r>
          </w:p>
        </w:tc>
      </w:tr>
      <w:tr w:rsidR="00B56E9C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A52B16" w:rsidP="00B11BB4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1905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Default="009D2A5B" w:rsidP="00B11BB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9D2A5B" w:rsidRDefault="00150CF1" w:rsidP="00B11BB4">
            <w:pPr>
              <w:suppressAutoHyphens w:val="0"/>
            </w:pPr>
            <w:r>
              <w:t xml:space="preserve">21 </w:t>
            </w:r>
            <w:r w:rsidR="005A575C">
              <w:t>December</w:t>
            </w:r>
            <w:r w:rsidR="001B13A5">
              <w:t xml:space="preserve"> 201</w:t>
            </w:r>
            <w:r w:rsidR="000509A7">
              <w:t>6</w:t>
            </w:r>
          </w:p>
          <w:p w:rsidR="009D2A5B" w:rsidRDefault="009D2A5B" w:rsidP="00B11BB4">
            <w:pPr>
              <w:suppressAutoHyphens w:val="0"/>
            </w:pPr>
          </w:p>
          <w:p w:rsidR="00B56E9C" w:rsidRDefault="009D2A5B" w:rsidP="00B11BB4">
            <w:pPr>
              <w:suppressAutoHyphens w:val="0"/>
            </w:pPr>
            <w:r>
              <w:t xml:space="preserve">Original: </w:t>
            </w:r>
            <w:r w:rsidR="0094558F">
              <w:t xml:space="preserve"> English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</w:p>
    <w:p w:rsidR="009D2A5B" w:rsidRDefault="00BB7CD1" w:rsidP="00BB7CD1">
      <w:r>
        <w:t xml:space="preserve">Bern, </w:t>
      </w:r>
      <w:r w:rsidR="00AE08DA">
        <w:t>1</w:t>
      </w:r>
      <w:r w:rsidR="000509A7">
        <w:t>3</w:t>
      </w:r>
      <w:r>
        <w:t>–</w:t>
      </w:r>
      <w:r w:rsidR="00AE08DA">
        <w:t>1</w:t>
      </w:r>
      <w:r w:rsidR="000509A7">
        <w:t>7</w:t>
      </w:r>
      <w:r w:rsidR="00F66565">
        <w:t xml:space="preserve"> </w:t>
      </w:r>
      <w:r>
        <w:t>March 201</w:t>
      </w:r>
      <w:r w:rsidR="000509A7">
        <w:t>7</w:t>
      </w:r>
    </w:p>
    <w:p w:rsidR="00B175D8" w:rsidRDefault="00B175D8" w:rsidP="00B175D8">
      <w:r>
        <w:t xml:space="preserve">Item </w:t>
      </w:r>
      <w:r w:rsidR="00795C2B">
        <w:t>2</w:t>
      </w:r>
      <w:r>
        <w:t xml:space="preserve"> of the provisional agenda</w:t>
      </w:r>
    </w:p>
    <w:p w:rsidR="00FA6DA6" w:rsidRPr="00FA6DA6" w:rsidRDefault="00795C2B" w:rsidP="00B175D8">
      <w:pPr>
        <w:rPr>
          <w:b/>
        </w:rPr>
      </w:pPr>
      <w:r>
        <w:rPr>
          <w:b/>
        </w:rPr>
        <w:t>Tanks</w:t>
      </w:r>
    </w:p>
    <w:p w:rsidR="00B175D8" w:rsidRDefault="009B1518" w:rsidP="00FA6DA6">
      <w:pPr>
        <w:pStyle w:val="HChG"/>
        <w:rPr>
          <w:b w:val="0"/>
          <w:sz w:val="18"/>
          <w:szCs w:val="18"/>
        </w:rPr>
      </w:pPr>
      <w:r>
        <w:tab/>
      </w:r>
      <w:r>
        <w:tab/>
      </w:r>
      <w:r w:rsidR="00150CF1" w:rsidRPr="00B16685">
        <w:rPr>
          <w:lang w:val="en-US"/>
        </w:rPr>
        <w:t xml:space="preserve">Inclusion of provisions </w:t>
      </w:r>
      <w:r w:rsidR="00150CF1">
        <w:rPr>
          <w:lang w:val="en-US"/>
        </w:rPr>
        <w:t>for</w:t>
      </w:r>
      <w:r w:rsidR="00150CF1" w:rsidRPr="007C7BC4">
        <w:rPr>
          <w:rFonts w:eastAsia="SimSun"/>
        </w:rPr>
        <w:t xml:space="preserve"> </w:t>
      </w:r>
      <w:r w:rsidR="00150CF1" w:rsidRPr="00B16685">
        <w:rPr>
          <w:rFonts w:eastAsia="SimSun"/>
          <w:lang w:val="en-US"/>
        </w:rPr>
        <w:t>flame arrest</w:t>
      </w:r>
      <w:r w:rsidR="004937E8">
        <w:rPr>
          <w:rFonts w:eastAsia="SimSun"/>
          <w:lang w:val="en-US"/>
        </w:rPr>
        <w:t>e</w:t>
      </w:r>
      <w:r w:rsidR="00150CF1" w:rsidRPr="00B16685">
        <w:rPr>
          <w:rFonts w:eastAsia="SimSun"/>
          <w:lang w:val="en-US"/>
        </w:rPr>
        <w:t>rs on breather devices</w:t>
      </w:r>
    </w:p>
    <w:p w:rsidR="00881C0C" w:rsidRPr="00DE1D53" w:rsidRDefault="00881C0C" w:rsidP="00881C0C">
      <w:pPr>
        <w:pStyle w:val="H1G"/>
        <w:rPr>
          <w:b w:val="0"/>
          <w:sz w:val="20"/>
        </w:rPr>
      </w:pPr>
      <w:r>
        <w:tab/>
      </w:r>
      <w:r>
        <w:tab/>
      </w:r>
      <w:r w:rsidR="00795C2B" w:rsidRPr="007C7BC4">
        <w:t>Transmitted by the Government of the Netherlands</w:t>
      </w:r>
      <w:r w:rsidR="00795C2B" w:rsidRPr="00546AD4">
        <w:rPr>
          <w:rStyle w:val="Appelnotedebasdep"/>
          <w:b w:val="0"/>
          <w:sz w:val="20"/>
        </w:rPr>
        <w:t xml:space="preserve"> </w:t>
      </w:r>
      <w:r w:rsidR="00DE1D53" w:rsidRPr="00546AD4">
        <w:rPr>
          <w:rStyle w:val="Appelnotedebasdep"/>
          <w:b w:val="0"/>
          <w:sz w:val="20"/>
        </w:rPr>
        <w:footnoteReference w:id="2"/>
      </w:r>
      <w:r w:rsidR="00DE1D53" w:rsidRPr="00546AD4">
        <w:rPr>
          <w:b w:val="0"/>
          <w:sz w:val="20"/>
          <w:vertAlign w:val="superscript"/>
        </w:rPr>
        <w:t>,</w:t>
      </w:r>
      <w:r w:rsidR="00DE1D53" w:rsidRPr="00546AD4">
        <w:rPr>
          <w:b w:val="0"/>
          <w:sz w:val="20"/>
        </w:rPr>
        <w:t xml:space="preserve"> </w:t>
      </w:r>
      <w:r w:rsidR="00DE1D53" w:rsidRPr="00546AD4">
        <w:rPr>
          <w:b w:val="0"/>
          <w:sz w:val="20"/>
          <w:vertAlign w:val="superscript"/>
        </w:rPr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150CF1" w:rsidRPr="007C7BC4" w:rsidTr="0079090E">
        <w:trPr>
          <w:jc w:val="center"/>
        </w:trPr>
        <w:tc>
          <w:tcPr>
            <w:tcW w:w="9082" w:type="dxa"/>
            <w:shd w:val="clear" w:color="auto" w:fill="auto"/>
          </w:tcPr>
          <w:p w:rsidR="00150CF1" w:rsidRPr="00585E7B" w:rsidRDefault="00150CF1" w:rsidP="0079090E">
            <w:pPr>
              <w:spacing w:before="240" w:after="120"/>
              <w:ind w:left="255"/>
              <w:rPr>
                <w:i/>
                <w:sz w:val="18"/>
                <w:szCs w:val="18"/>
              </w:rPr>
            </w:pPr>
            <w:r w:rsidRPr="00585E7B">
              <w:rPr>
                <w:i/>
                <w:sz w:val="18"/>
                <w:szCs w:val="18"/>
              </w:rPr>
              <w:t>Summary</w:t>
            </w:r>
          </w:p>
        </w:tc>
      </w:tr>
      <w:tr w:rsidR="00150CF1" w:rsidRPr="00585E7B" w:rsidTr="0079090E">
        <w:trPr>
          <w:jc w:val="center"/>
        </w:trPr>
        <w:tc>
          <w:tcPr>
            <w:tcW w:w="9082" w:type="dxa"/>
            <w:shd w:val="clear" w:color="auto" w:fill="auto"/>
          </w:tcPr>
          <w:p w:rsidR="00150CF1" w:rsidRPr="00585E7B" w:rsidRDefault="00150CF1" w:rsidP="004937E8">
            <w:pPr>
              <w:tabs>
                <w:tab w:val="left" w:pos="3260"/>
              </w:tabs>
              <w:spacing w:after="120"/>
              <w:ind w:left="3260" w:right="1134" w:hanging="2126"/>
              <w:jc w:val="both"/>
              <w:rPr>
                <w:sz w:val="18"/>
                <w:szCs w:val="18"/>
              </w:rPr>
            </w:pPr>
            <w:r w:rsidRPr="00585E7B">
              <w:rPr>
                <w:b/>
                <w:sz w:val="18"/>
                <w:szCs w:val="18"/>
              </w:rPr>
              <w:t xml:space="preserve">Executive summary: </w:t>
            </w:r>
            <w:r w:rsidRPr="00585E7B">
              <w:rPr>
                <w:sz w:val="18"/>
                <w:szCs w:val="18"/>
              </w:rPr>
              <w:tab/>
              <w:t>This proposal reflects the outcome of the discussion on the inclusion of requirements for flame arrest</w:t>
            </w:r>
            <w:r w:rsidR="004937E8">
              <w:rPr>
                <w:sz w:val="18"/>
                <w:szCs w:val="18"/>
              </w:rPr>
              <w:t>e</w:t>
            </w:r>
            <w:r w:rsidRPr="00585E7B">
              <w:rPr>
                <w:sz w:val="18"/>
                <w:szCs w:val="18"/>
              </w:rPr>
              <w:t xml:space="preserve">rs </w:t>
            </w:r>
            <w:r>
              <w:rPr>
                <w:sz w:val="18"/>
                <w:szCs w:val="18"/>
              </w:rPr>
              <w:t xml:space="preserve">in </w:t>
            </w:r>
            <w:r w:rsidRPr="00065DDD">
              <w:rPr>
                <w:sz w:val="18"/>
                <w:szCs w:val="18"/>
              </w:rPr>
              <w:t xml:space="preserve">the Working Group on Tanks at the September 2016 session of the RID/ADR/ADN Joint Meeting. </w:t>
            </w:r>
            <w:r w:rsidRPr="00585E7B">
              <w:rPr>
                <w:sz w:val="18"/>
                <w:szCs w:val="18"/>
              </w:rPr>
              <w:t xml:space="preserve"> </w:t>
            </w:r>
          </w:p>
        </w:tc>
      </w:tr>
      <w:tr w:rsidR="00150CF1" w:rsidRPr="00585E7B" w:rsidTr="0079090E">
        <w:trPr>
          <w:jc w:val="center"/>
        </w:trPr>
        <w:tc>
          <w:tcPr>
            <w:tcW w:w="9082" w:type="dxa"/>
            <w:shd w:val="clear" w:color="auto" w:fill="auto"/>
          </w:tcPr>
          <w:p w:rsidR="00150CF1" w:rsidRPr="00585E7B" w:rsidRDefault="00150CF1" w:rsidP="0079090E">
            <w:pPr>
              <w:tabs>
                <w:tab w:val="left" w:pos="3260"/>
              </w:tabs>
              <w:spacing w:after="120"/>
              <w:ind w:left="3260" w:right="1134" w:hanging="2126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to be taken:</w:t>
            </w:r>
            <w:r w:rsidRPr="00585E7B">
              <w:rPr>
                <w:b/>
                <w:sz w:val="18"/>
                <w:szCs w:val="18"/>
              </w:rPr>
              <w:tab/>
            </w:r>
            <w:r w:rsidRPr="00585E7B">
              <w:rPr>
                <w:sz w:val="18"/>
                <w:szCs w:val="18"/>
              </w:rPr>
              <w:t>Amend subsection 6.8.2.2.3.</w:t>
            </w:r>
          </w:p>
        </w:tc>
      </w:tr>
      <w:tr w:rsidR="00150CF1" w:rsidRPr="00585E7B" w:rsidTr="0079090E">
        <w:trPr>
          <w:jc w:val="center"/>
        </w:trPr>
        <w:tc>
          <w:tcPr>
            <w:tcW w:w="9082" w:type="dxa"/>
            <w:shd w:val="clear" w:color="auto" w:fill="auto"/>
          </w:tcPr>
          <w:p w:rsidR="00150CF1" w:rsidRPr="00585E7B" w:rsidRDefault="00150CF1" w:rsidP="0079090E">
            <w:pPr>
              <w:tabs>
                <w:tab w:val="left" w:pos="3260"/>
              </w:tabs>
              <w:ind w:left="3260" w:right="1134" w:hanging="2126"/>
              <w:rPr>
                <w:b/>
                <w:sz w:val="18"/>
                <w:szCs w:val="18"/>
                <w:lang w:val="en-US"/>
              </w:rPr>
            </w:pPr>
            <w:r w:rsidRPr="00585E7B">
              <w:rPr>
                <w:b/>
                <w:sz w:val="18"/>
                <w:szCs w:val="18"/>
              </w:rPr>
              <w:t>Related documents:</w:t>
            </w:r>
            <w:r>
              <w:rPr>
                <w:b/>
                <w:sz w:val="18"/>
                <w:szCs w:val="18"/>
              </w:rPr>
              <w:tab/>
            </w:r>
            <w:r w:rsidRPr="00585E7B">
              <w:rPr>
                <w:sz w:val="18"/>
                <w:szCs w:val="18"/>
                <w:lang w:val="en-US"/>
              </w:rPr>
              <w:t>ECE/TRANS/WP.15/AC.1/2016/20</w:t>
            </w:r>
            <w:r w:rsidRPr="00585E7B">
              <w:rPr>
                <w:sz w:val="18"/>
                <w:szCs w:val="18"/>
              </w:rPr>
              <w:t xml:space="preserve"> and </w:t>
            </w:r>
            <w:r w:rsidRPr="00585E7B">
              <w:rPr>
                <w:sz w:val="18"/>
                <w:szCs w:val="18"/>
                <w:lang w:val="en-US"/>
              </w:rPr>
              <w:t>ECE/TRANS/WP.15/AC.1/144/Add.1 paragraphs 3 to 5</w:t>
            </w:r>
          </w:p>
        </w:tc>
      </w:tr>
      <w:tr w:rsidR="00150CF1" w:rsidRPr="00585E7B" w:rsidTr="0079090E">
        <w:trPr>
          <w:jc w:val="center"/>
        </w:trPr>
        <w:tc>
          <w:tcPr>
            <w:tcW w:w="9082" w:type="dxa"/>
            <w:shd w:val="clear" w:color="auto" w:fill="auto"/>
          </w:tcPr>
          <w:p w:rsidR="00150CF1" w:rsidRPr="007C7BC4" w:rsidRDefault="00150CF1" w:rsidP="0079090E">
            <w:pPr>
              <w:rPr>
                <w:lang w:val="en-US"/>
              </w:rPr>
            </w:pPr>
          </w:p>
        </w:tc>
      </w:tr>
    </w:tbl>
    <w:p w:rsidR="00150CF1" w:rsidRPr="007C7BC4" w:rsidRDefault="00150CF1" w:rsidP="00150CF1">
      <w:pPr>
        <w:pStyle w:val="HChG"/>
      </w:pPr>
      <w:r>
        <w:rPr>
          <w:lang w:val="en-US"/>
        </w:rPr>
        <w:tab/>
      </w:r>
      <w:r>
        <w:rPr>
          <w:lang w:val="en-US"/>
        </w:rPr>
        <w:tab/>
      </w:r>
      <w:r w:rsidRPr="007C7BC4">
        <w:t>Introduction</w:t>
      </w:r>
    </w:p>
    <w:p w:rsidR="00150CF1" w:rsidRPr="00E57344" w:rsidRDefault="00150CF1" w:rsidP="00150CF1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E57344">
        <w:rPr>
          <w:lang w:val="en-US"/>
        </w:rPr>
        <w:t>In the Working Group on Tanks at the September 2016 session of the RID/ADR/AND Joint Meeting it was decided that it was preferred to have requirements concerning flame arrest</w:t>
      </w:r>
      <w:r w:rsidR="004937E8">
        <w:rPr>
          <w:lang w:val="en-US"/>
        </w:rPr>
        <w:t>e</w:t>
      </w:r>
      <w:r w:rsidRPr="00E57344">
        <w:rPr>
          <w:lang w:val="en-US"/>
        </w:rPr>
        <w:t xml:space="preserve">rs in the regulations </w:t>
      </w:r>
      <w:r w:rsidR="004937E8">
        <w:rPr>
          <w:lang w:val="en-US"/>
        </w:rPr>
        <w:t>themselves</w:t>
      </w:r>
      <w:r w:rsidRPr="00E57344">
        <w:rPr>
          <w:lang w:val="en-US"/>
        </w:rPr>
        <w:t xml:space="preserve"> rather than making reference to a </w:t>
      </w:r>
      <w:r w:rsidRPr="00E57344">
        <w:rPr>
          <w:lang w:val="en-US"/>
        </w:rPr>
        <w:lastRenderedPageBreak/>
        <w:t>standard describing the applicability of sections of another standard on the subject of flame arrest</w:t>
      </w:r>
      <w:r w:rsidR="004937E8">
        <w:rPr>
          <w:lang w:val="en-US"/>
        </w:rPr>
        <w:t>e</w:t>
      </w:r>
      <w:r w:rsidRPr="00E57344">
        <w:rPr>
          <w:lang w:val="en-US"/>
        </w:rPr>
        <w:t>rs. It was also decided to limit the applicability to so called “breather devices” used on gravity discharge tanks of 6.8.2.14 (a).</w:t>
      </w:r>
    </w:p>
    <w:p w:rsidR="00150CF1" w:rsidRPr="00E57344" w:rsidRDefault="00150CF1" w:rsidP="00150CF1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E57344">
        <w:rPr>
          <w:lang w:val="en-US"/>
        </w:rPr>
        <w:t>Proposal</w:t>
      </w:r>
    </w:p>
    <w:p w:rsidR="00150CF1" w:rsidRPr="00C372F2" w:rsidRDefault="00150CF1" w:rsidP="00150CF1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C372F2">
        <w:rPr>
          <w:lang w:val="en-US"/>
        </w:rPr>
        <w:t>Add a new last paragraph to 6.8.2.2.3 to read:</w:t>
      </w:r>
    </w:p>
    <w:p w:rsidR="00150CF1" w:rsidRPr="00E57344" w:rsidRDefault="00150CF1" w:rsidP="00150CF1">
      <w:pPr>
        <w:tabs>
          <w:tab w:val="left" w:pos="9482"/>
        </w:tabs>
        <w:spacing w:before="120" w:after="120" w:line="240" w:lineRule="auto"/>
        <w:ind w:left="1134" w:right="-79"/>
        <w:jc w:val="both"/>
        <w:rPr>
          <w:i/>
        </w:rPr>
      </w:pPr>
      <w:r w:rsidRPr="00E57344">
        <w:rPr>
          <w:i/>
        </w:rPr>
        <w:t>Breather devices shall be fitted with flame arresters suitable for the vapour emitted by the substances carried (Maximum experimental safety gap – MESG), temperature range and application. They shall be approved based on the requirements and tests of EN ISO 16852:2010 for the situations given in the table below:</w:t>
      </w: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2693"/>
        <w:gridCol w:w="2552"/>
        <w:gridCol w:w="2320"/>
      </w:tblGrid>
      <w:tr w:rsidR="00150CF1" w:rsidRPr="00E57344" w:rsidTr="00150CF1">
        <w:trPr>
          <w:jc w:val="center"/>
        </w:trPr>
        <w:tc>
          <w:tcPr>
            <w:tcW w:w="2693" w:type="dxa"/>
          </w:tcPr>
          <w:p w:rsidR="00150CF1" w:rsidRPr="00C372F2" w:rsidRDefault="00150CF1" w:rsidP="00150CF1">
            <w:pPr>
              <w:tabs>
                <w:tab w:val="left" w:pos="851"/>
                <w:tab w:val="left" w:pos="9482"/>
              </w:tabs>
              <w:spacing w:before="60" w:after="60"/>
              <w:ind w:left="567" w:right="-79"/>
              <w:rPr>
                <w:sz w:val="18"/>
                <w:szCs w:val="18"/>
              </w:rPr>
            </w:pPr>
            <w:r w:rsidRPr="00C372F2">
              <w:rPr>
                <w:sz w:val="18"/>
                <w:szCs w:val="18"/>
              </w:rPr>
              <w:t>Application/Installation</w:t>
            </w:r>
          </w:p>
        </w:tc>
        <w:tc>
          <w:tcPr>
            <w:tcW w:w="4872" w:type="dxa"/>
            <w:gridSpan w:val="2"/>
          </w:tcPr>
          <w:p w:rsidR="00150CF1" w:rsidRPr="00C372F2" w:rsidRDefault="00150CF1" w:rsidP="00150CF1">
            <w:pPr>
              <w:tabs>
                <w:tab w:val="left" w:pos="851"/>
                <w:tab w:val="left" w:pos="9482"/>
              </w:tabs>
              <w:spacing w:before="60" w:after="60"/>
              <w:ind w:left="567" w:right="-79"/>
              <w:jc w:val="center"/>
              <w:rPr>
                <w:sz w:val="18"/>
                <w:szCs w:val="18"/>
              </w:rPr>
            </w:pPr>
            <w:r w:rsidRPr="00C372F2">
              <w:rPr>
                <w:sz w:val="18"/>
                <w:szCs w:val="18"/>
              </w:rPr>
              <w:t>Testing requirements</w:t>
            </w:r>
          </w:p>
        </w:tc>
      </w:tr>
      <w:tr w:rsidR="00150CF1" w:rsidRPr="00E57344" w:rsidTr="00150CF1">
        <w:trPr>
          <w:jc w:val="center"/>
        </w:trPr>
        <w:tc>
          <w:tcPr>
            <w:tcW w:w="2693" w:type="dxa"/>
          </w:tcPr>
          <w:p w:rsidR="00150CF1" w:rsidRPr="00C372F2" w:rsidRDefault="00150CF1" w:rsidP="00150CF1">
            <w:pPr>
              <w:tabs>
                <w:tab w:val="left" w:pos="851"/>
                <w:tab w:val="left" w:pos="9482"/>
              </w:tabs>
              <w:spacing w:before="60" w:after="60"/>
              <w:ind w:left="567" w:right="-79"/>
              <w:rPr>
                <w:sz w:val="18"/>
                <w:szCs w:val="18"/>
              </w:rPr>
            </w:pPr>
            <w:r w:rsidRPr="00C372F2">
              <w:rPr>
                <w:sz w:val="18"/>
                <w:szCs w:val="18"/>
              </w:rPr>
              <w:t>Direct communication with atmosphere</w:t>
            </w:r>
          </w:p>
        </w:tc>
        <w:tc>
          <w:tcPr>
            <w:tcW w:w="2552" w:type="dxa"/>
          </w:tcPr>
          <w:p w:rsidR="00150CF1" w:rsidRPr="00C372F2" w:rsidRDefault="00150CF1" w:rsidP="00150CF1">
            <w:pPr>
              <w:tabs>
                <w:tab w:val="left" w:pos="851"/>
                <w:tab w:val="left" w:pos="9482"/>
              </w:tabs>
              <w:spacing w:before="60" w:after="60"/>
              <w:ind w:left="567" w:right="-79"/>
              <w:rPr>
                <w:sz w:val="18"/>
                <w:szCs w:val="18"/>
              </w:rPr>
            </w:pPr>
            <w:r w:rsidRPr="00C372F2">
              <w:rPr>
                <w:sz w:val="18"/>
                <w:szCs w:val="18"/>
              </w:rPr>
              <w:t>EN ISO 16852:2010, 7.3.2.1</w:t>
            </w:r>
          </w:p>
        </w:tc>
        <w:tc>
          <w:tcPr>
            <w:tcW w:w="2320" w:type="dxa"/>
          </w:tcPr>
          <w:p w:rsidR="00150CF1" w:rsidRPr="00C372F2" w:rsidRDefault="00150CF1" w:rsidP="00150CF1">
            <w:pPr>
              <w:tabs>
                <w:tab w:val="left" w:pos="851"/>
                <w:tab w:val="left" w:pos="9482"/>
              </w:tabs>
              <w:spacing w:before="60" w:after="60"/>
              <w:ind w:left="567" w:right="-79"/>
              <w:rPr>
                <w:sz w:val="18"/>
                <w:szCs w:val="18"/>
              </w:rPr>
            </w:pPr>
          </w:p>
        </w:tc>
      </w:tr>
      <w:tr w:rsidR="00150CF1" w:rsidRPr="00E57344" w:rsidTr="00150CF1">
        <w:trPr>
          <w:jc w:val="center"/>
        </w:trPr>
        <w:tc>
          <w:tcPr>
            <w:tcW w:w="2693" w:type="dxa"/>
          </w:tcPr>
          <w:p w:rsidR="00150CF1" w:rsidRPr="00C372F2" w:rsidRDefault="00150CF1" w:rsidP="00150CF1">
            <w:pPr>
              <w:tabs>
                <w:tab w:val="left" w:pos="851"/>
                <w:tab w:val="left" w:pos="9482"/>
              </w:tabs>
              <w:spacing w:before="60" w:after="60"/>
              <w:ind w:left="567" w:right="-79"/>
              <w:rPr>
                <w:sz w:val="18"/>
                <w:szCs w:val="18"/>
              </w:rPr>
            </w:pPr>
            <w:r w:rsidRPr="00C372F2">
              <w:rPr>
                <w:sz w:val="18"/>
                <w:szCs w:val="18"/>
              </w:rPr>
              <w:t>Communication to piping system</w:t>
            </w:r>
          </w:p>
        </w:tc>
        <w:tc>
          <w:tcPr>
            <w:tcW w:w="2552" w:type="dxa"/>
          </w:tcPr>
          <w:p w:rsidR="00150CF1" w:rsidRPr="00C372F2" w:rsidRDefault="00150CF1" w:rsidP="00150CF1">
            <w:pPr>
              <w:tabs>
                <w:tab w:val="left" w:pos="851"/>
                <w:tab w:val="left" w:pos="9482"/>
              </w:tabs>
              <w:spacing w:before="60" w:after="60"/>
              <w:ind w:left="567" w:right="-79"/>
              <w:rPr>
                <w:sz w:val="18"/>
                <w:szCs w:val="18"/>
                <w:lang w:val="en-US"/>
              </w:rPr>
            </w:pPr>
            <w:r w:rsidRPr="00C372F2">
              <w:rPr>
                <w:sz w:val="18"/>
                <w:szCs w:val="18"/>
                <w:lang w:val="en-US"/>
              </w:rPr>
              <w:t>EN ISO 16852:2010, 7.3.3.2 (applies to valve/flame arrester combinations when tested together)</w:t>
            </w:r>
          </w:p>
        </w:tc>
        <w:tc>
          <w:tcPr>
            <w:tcW w:w="2320" w:type="dxa"/>
          </w:tcPr>
          <w:p w:rsidR="00150CF1" w:rsidRPr="00C372F2" w:rsidRDefault="00150CF1" w:rsidP="00150CF1">
            <w:pPr>
              <w:tabs>
                <w:tab w:val="left" w:pos="851"/>
                <w:tab w:val="left" w:pos="9482"/>
              </w:tabs>
              <w:spacing w:before="60" w:after="60"/>
              <w:ind w:left="567" w:right="-79"/>
              <w:rPr>
                <w:sz w:val="18"/>
                <w:szCs w:val="18"/>
              </w:rPr>
            </w:pPr>
            <w:r w:rsidRPr="00C372F2">
              <w:rPr>
                <w:sz w:val="18"/>
                <w:szCs w:val="18"/>
              </w:rPr>
              <w:t xml:space="preserve">EN ISO 16852:2010, 7.3.2.1 </w:t>
            </w:r>
            <w:r w:rsidRPr="00C372F2">
              <w:rPr>
                <w:sz w:val="18"/>
                <w:szCs w:val="18"/>
                <w:lang w:val="en-US"/>
              </w:rPr>
              <w:t>(applies to valve/flame arresters tested  independently of the valves)</w:t>
            </w:r>
          </w:p>
        </w:tc>
      </w:tr>
    </w:tbl>
    <w:p w:rsidR="00150CF1" w:rsidRPr="00E57344" w:rsidRDefault="00150CF1" w:rsidP="00150CF1">
      <w:pPr>
        <w:pStyle w:val="SingleTxtG"/>
        <w:spacing w:before="120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E57344">
        <w:rPr>
          <w:lang w:val="en-US"/>
        </w:rPr>
        <w:t>Introduce a new transitional measure in 1.6.3.xx/1.6.4.xx to read</w:t>
      </w:r>
      <w:r>
        <w:rPr>
          <w:lang w:val="en-US"/>
        </w:rPr>
        <w:t xml:space="preserve"> (</w:t>
      </w:r>
      <w:r w:rsidRPr="00FB653F">
        <w:rPr>
          <w:rFonts w:eastAsia="SimSun"/>
        </w:rPr>
        <w:t xml:space="preserve">new wording in </w:t>
      </w:r>
      <w:r w:rsidRPr="00FB653F">
        <w:rPr>
          <w:rFonts w:eastAsia="SimSun"/>
          <w:i/>
        </w:rPr>
        <w:t xml:space="preserve">italic </w:t>
      </w:r>
      <w:r w:rsidRPr="00FB653F">
        <w:rPr>
          <w:rFonts w:eastAsia="SimSun"/>
        </w:rPr>
        <w:t>script):</w:t>
      </w:r>
    </w:p>
    <w:p w:rsidR="00150CF1" w:rsidRDefault="00150CF1" w:rsidP="00150CF1">
      <w:pPr>
        <w:ind w:left="1134"/>
        <w:rPr>
          <w:i/>
          <w:lang w:val="en-US"/>
        </w:rPr>
      </w:pPr>
      <w:r>
        <w:rPr>
          <w:i/>
          <w:lang w:val="en-US"/>
        </w:rPr>
        <w:t>“</w:t>
      </w:r>
      <w:r w:rsidRPr="00C372F2">
        <w:rPr>
          <w:i/>
          <w:lang w:val="en-US"/>
        </w:rPr>
        <w:t>1.6.3.xx/1.6.4.xx</w:t>
      </w:r>
    </w:p>
    <w:p w:rsidR="00150CF1" w:rsidRPr="00C372F2" w:rsidRDefault="00150CF1" w:rsidP="00150CF1">
      <w:pPr>
        <w:ind w:left="1134"/>
        <w:rPr>
          <w:i/>
          <w:lang w:val="en-US"/>
        </w:rPr>
      </w:pPr>
      <w:r w:rsidRPr="00C372F2">
        <w:rPr>
          <w:i/>
          <w:lang w:val="en-US"/>
        </w:rPr>
        <w:t xml:space="preserve"> Fixed tanks (tank-vehicles) and demountable tanks/Tank-containers constructed before 1 July 2019 in accordance with the requirements in force up to 31 December 2018 but which however do not comply with the requirements for flame arrest</w:t>
      </w:r>
      <w:r w:rsidR="004937E8">
        <w:rPr>
          <w:i/>
          <w:lang w:val="en-US"/>
        </w:rPr>
        <w:t>e</w:t>
      </w:r>
      <w:r w:rsidRPr="00C372F2">
        <w:rPr>
          <w:i/>
          <w:lang w:val="en-US"/>
        </w:rPr>
        <w:t xml:space="preserve">rs on breather </w:t>
      </w:r>
      <w:proofErr w:type="gramStart"/>
      <w:r w:rsidRPr="00C372F2">
        <w:rPr>
          <w:i/>
          <w:lang w:val="en-US"/>
        </w:rPr>
        <w:t>devices  applicable</w:t>
      </w:r>
      <w:proofErr w:type="gramEnd"/>
      <w:r w:rsidRPr="00C372F2">
        <w:rPr>
          <w:i/>
          <w:lang w:val="en-US"/>
        </w:rPr>
        <w:t xml:space="preserve"> from 1 January 2019 may continued to be used</w:t>
      </w:r>
      <w:r>
        <w:rPr>
          <w:i/>
          <w:lang w:val="en-US"/>
        </w:rPr>
        <w:t>.”</w:t>
      </w:r>
    </w:p>
    <w:p w:rsidR="00150CF1" w:rsidRPr="00E57344" w:rsidRDefault="00150CF1" w:rsidP="00150CF1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Justification</w:t>
      </w:r>
    </w:p>
    <w:p w:rsidR="00150CF1" w:rsidRPr="00C372F2" w:rsidRDefault="00150CF1" w:rsidP="00150CF1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Pr="00C372F2">
        <w:rPr>
          <w:lang w:val="en-US"/>
        </w:rPr>
        <w:t xml:space="preserve">At the request of the </w:t>
      </w:r>
      <w:r w:rsidR="004937E8">
        <w:rPr>
          <w:lang w:val="en-US"/>
        </w:rPr>
        <w:t>RID/ADR/ADN</w:t>
      </w:r>
      <w:r>
        <w:rPr>
          <w:lang w:val="en-US"/>
        </w:rPr>
        <w:t xml:space="preserve"> </w:t>
      </w:r>
      <w:r w:rsidRPr="00C372F2">
        <w:rPr>
          <w:lang w:val="en-US"/>
        </w:rPr>
        <w:t>Joint Meeting CEN was charged with the drafting of a standard for the subject of flame arrest</w:t>
      </w:r>
      <w:r w:rsidR="004937E8">
        <w:rPr>
          <w:lang w:val="en-US"/>
        </w:rPr>
        <w:t>e</w:t>
      </w:r>
      <w:r w:rsidRPr="00C372F2">
        <w:rPr>
          <w:lang w:val="en-US"/>
        </w:rPr>
        <w:t xml:space="preserve">rs. Working Group 7 of CEN TC 296, working on standards for service equipment for petroleum products, carried out the work and is thanked for their efforts. </w:t>
      </w:r>
    </w:p>
    <w:p w:rsidR="00150CF1" w:rsidRPr="00C372F2" w:rsidRDefault="00150CF1" w:rsidP="00150CF1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Pr="00C372F2">
        <w:rPr>
          <w:lang w:val="en-US"/>
        </w:rPr>
        <w:t>However</w:t>
      </w:r>
      <w:r>
        <w:rPr>
          <w:lang w:val="en-US"/>
        </w:rPr>
        <w:t>,</w:t>
      </w:r>
      <w:r w:rsidRPr="00C372F2">
        <w:rPr>
          <w:lang w:val="en-US"/>
        </w:rPr>
        <w:t xml:space="preserve"> as the evolving standard only contained reference to applicable sections for testing and marking of equipment o</w:t>
      </w:r>
      <w:r>
        <w:rPr>
          <w:lang w:val="en-US"/>
        </w:rPr>
        <w:t xml:space="preserve">f </w:t>
      </w:r>
      <w:r w:rsidRPr="00C372F2">
        <w:rPr>
          <w:lang w:val="en-US"/>
        </w:rPr>
        <w:t>a general ISO standard for flame arrest</w:t>
      </w:r>
      <w:r w:rsidR="004937E8">
        <w:rPr>
          <w:lang w:val="en-US"/>
        </w:rPr>
        <w:t>e</w:t>
      </w:r>
      <w:r w:rsidRPr="00C372F2">
        <w:rPr>
          <w:lang w:val="en-US"/>
        </w:rPr>
        <w:t>rs</w:t>
      </w:r>
      <w:r>
        <w:rPr>
          <w:lang w:val="en-US"/>
        </w:rPr>
        <w:t>,</w:t>
      </w:r>
      <w:r w:rsidRPr="00C372F2">
        <w:rPr>
          <w:lang w:val="en-US"/>
        </w:rPr>
        <w:t xml:space="preserve"> the decision was made in </w:t>
      </w:r>
      <w:proofErr w:type="gramStart"/>
      <w:r w:rsidRPr="00C372F2">
        <w:rPr>
          <w:lang w:val="en-US"/>
        </w:rPr>
        <w:t xml:space="preserve">the  </w:t>
      </w:r>
      <w:r>
        <w:rPr>
          <w:lang w:val="en-US"/>
        </w:rPr>
        <w:t>W</w:t>
      </w:r>
      <w:r w:rsidRPr="00C372F2">
        <w:rPr>
          <w:lang w:val="en-US"/>
        </w:rPr>
        <w:t>orking</w:t>
      </w:r>
      <w:proofErr w:type="gramEnd"/>
      <w:r w:rsidRPr="00C372F2">
        <w:rPr>
          <w:lang w:val="en-US"/>
        </w:rPr>
        <w:t xml:space="preserve"> </w:t>
      </w:r>
      <w:r>
        <w:rPr>
          <w:lang w:val="en-US"/>
        </w:rPr>
        <w:t>G</w:t>
      </w:r>
      <w:r w:rsidRPr="00C372F2">
        <w:rPr>
          <w:lang w:val="en-US"/>
        </w:rPr>
        <w:t>roup</w:t>
      </w:r>
      <w:r>
        <w:rPr>
          <w:lang w:val="en-US"/>
        </w:rPr>
        <w:t xml:space="preserve"> on Tanks  </w:t>
      </w:r>
      <w:r w:rsidRPr="00C372F2">
        <w:rPr>
          <w:lang w:val="en-US"/>
        </w:rPr>
        <w:t xml:space="preserve">of the </w:t>
      </w:r>
      <w:r>
        <w:rPr>
          <w:lang w:val="en-US"/>
        </w:rPr>
        <w:t xml:space="preserve">RID/ADR/AND </w:t>
      </w:r>
      <w:r w:rsidRPr="00C372F2">
        <w:rPr>
          <w:lang w:val="en-US"/>
        </w:rPr>
        <w:t xml:space="preserve">Joint Meeting not to reference the EN standard but include the reference to the applicable sections of the ISO standard in the regulation itself. </w:t>
      </w:r>
    </w:p>
    <w:p w:rsidR="00150CF1" w:rsidRPr="00C372F2" w:rsidRDefault="00150CF1" w:rsidP="00150CF1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Pr="00C372F2">
        <w:rPr>
          <w:lang w:val="en-US"/>
        </w:rPr>
        <w:t>Although the wording could be used for flame arrest</w:t>
      </w:r>
      <w:r w:rsidR="004937E8">
        <w:rPr>
          <w:lang w:val="en-US"/>
        </w:rPr>
        <w:t>e</w:t>
      </w:r>
      <w:r w:rsidRPr="00C372F2">
        <w:rPr>
          <w:lang w:val="en-US"/>
        </w:rPr>
        <w:t xml:space="preserve">rs in general, also for vacuum valves, it was decided to limit the requirements to breather devices only. </w:t>
      </w:r>
    </w:p>
    <w:p w:rsidR="0097204D" w:rsidRPr="00B42658" w:rsidRDefault="0097204D" w:rsidP="0097204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7204D" w:rsidRPr="00B42658" w:rsidSect="009D2A5B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C0" w:rsidRDefault="002C69C0"/>
  </w:endnote>
  <w:endnote w:type="continuationSeparator" w:id="0">
    <w:p w:rsidR="002C69C0" w:rsidRDefault="002C69C0"/>
  </w:endnote>
  <w:endnote w:type="continuationNotice" w:id="1">
    <w:p w:rsidR="002C69C0" w:rsidRDefault="002C6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4D" w:rsidRPr="009D2A5B" w:rsidRDefault="00392D7D" w:rsidP="009D2A5B">
    <w:pPr>
      <w:pStyle w:val="Pieddepage"/>
      <w:tabs>
        <w:tab w:val="right" w:pos="9598"/>
      </w:tabs>
    </w:pPr>
    <w:r w:rsidRPr="009D2A5B">
      <w:rPr>
        <w:b/>
        <w:sz w:val="18"/>
      </w:rPr>
      <w:fldChar w:fldCharType="begin"/>
    </w:r>
    <w:r w:rsidR="0097204D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7106C3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97204D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4D" w:rsidRPr="009D2A5B" w:rsidRDefault="0097204D" w:rsidP="009D2A5B">
    <w:pPr>
      <w:pStyle w:val="Pieddepage"/>
      <w:tabs>
        <w:tab w:val="right" w:pos="9598"/>
      </w:tabs>
      <w:rPr>
        <w:b/>
        <w:sz w:val="18"/>
      </w:rPr>
    </w:pPr>
    <w:r>
      <w:tab/>
    </w:r>
    <w:r w:rsidR="00392D7D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392D7D" w:rsidRPr="009D2A5B">
      <w:rPr>
        <w:b/>
        <w:sz w:val="18"/>
      </w:rPr>
      <w:fldChar w:fldCharType="separate"/>
    </w:r>
    <w:r w:rsidR="00150CF1">
      <w:rPr>
        <w:b/>
        <w:noProof/>
        <w:sz w:val="18"/>
      </w:rPr>
      <w:t>3</w:t>
    </w:r>
    <w:r w:rsidR="00392D7D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C0" w:rsidRPr="000B175B" w:rsidRDefault="002C69C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C69C0" w:rsidRPr="00FC68B7" w:rsidRDefault="002C69C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C69C0" w:rsidRDefault="002C69C0"/>
  </w:footnote>
  <w:footnote w:id="2">
    <w:p w:rsidR="0097204D" w:rsidRPr="00DE1D53" w:rsidRDefault="0097204D" w:rsidP="00DE1D53">
      <w:pPr>
        <w:pStyle w:val="Notedebasdepage"/>
        <w:tabs>
          <w:tab w:val="clear" w:pos="1021"/>
        </w:tabs>
        <w:ind w:left="1418" w:hanging="284"/>
        <w:jc w:val="both"/>
      </w:pPr>
      <w:r w:rsidRPr="00DE1D53">
        <w:rPr>
          <w:rStyle w:val="Appelnotedebasdep"/>
          <w:sz w:val="20"/>
        </w:rPr>
        <w:footnoteRef/>
      </w:r>
      <w:r w:rsidRPr="00DE1D53">
        <w:rPr>
          <w:sz w:val="20"/>
        </w:rPr>
        <w:tab/>
      </w:r>
      <w:proofErr w:type="gramStart"/>
      <w:r w:rsidRPr="00DE1D53">
        <w:t xml:space="preserve">In accordance with the </w:t>
      </w:r>
      <w:bookmarkStart w:id="0" w:name="_GoBack"/>
      <w:bookmarkEnd w:id="0"/>
      <w:r w:rsidRPr="00DE1D53">
        <w:t>programme of work of the Inland Transport Committee for 201</w:t>
      </w:r>
      <w:r w:rsidR="00824B23">
        <w:t>6-2017, (ECE/TRANS/2016/28/Add.1</w:t>
      </w:r>
      <w:r w:rsidRPr="00DE1D53">
        <w:t xml:space="preserve"> (9.2)).</w:t>
      </w:r>
      <w:proofErr w:type="gramEnd"/>
    </w:p>
    <w:p w:rsidR="0097204D" w:rsidRPr="00795C2B" w:rsidRDefault="0097204D" w:rsidP="00DE1D53">
      <w:pPr>
        <w:pStyle w:val="Notedebasdepage"/>
        <w:tabs>
          <w:tab w:val="clear" w:pos="1021"/>
        </w:tabs>
        <w:ind w:left="1418" w:hanging="284"/>
        <w:jc w:val="both"/>
        <w:rPr>
          <w:sz w:val="20"/>
        </w:rPr>
      </w:pPr>
      <w:r w:rsidRPr="00543785">
        <w:rPr>
          <w:sz w:val="20"/>
        </w:rPr>
        <w:t>**</w:t>
      </w:r>
      <w:r w:rsidRPr="00DE1D53">
        <w:tab/>
        <w:t>Circulated by the Intergovernmental Organisation for International Carriage by Rail (OTIF) under the symbol OTIF/RID/RC/2017/1</w:t>
      </w:r>
      <w:r w:rsidR="00150CF1">
        <w:t>8</w:t>
      </w:r>
      <w:r w:rsidRPr="00DE1D5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4D" w:rsidRPr="009D2A5B" w:rsidRDefault="0097204D" w:rsidP="009D2A5B">
    <w:pPr>
      <w:pStyle w:val="En-tte"/>
    </w:pPr>
    <w:r w:rsidRPr="009D2A5B">
      <w:t>ECE/TRANS/WP.15/AC.1/201</w:t>
    </w:r>
    <w:r>
      <w:t>7</w:t>
    </w:r>
    <w:r w:rsidRPr="009D2A5B">
      <w:t>/</w:t>
    </w:r>
    <w:r>
      <w:t>1</w:t>
    </w:r>
    <w:r w:rsidR="00150CF1"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4D" w:rsidRPr="009D2A5B" w:rsidRDefault="0097204D" w:rsidP="009D2A5B">
    <w:pPr>
      <w:pStyle w:val="En-tte"/>
      <w:jc w:val="right"/>
    </w:pPr>
    <w:r w:rsidRPr="009D2A5B">
      <w:t>ECE/TRANS/WP.15/AC.1/201</w:t>
    </w:r>
    <w:r>
      <w:t>7</w:t>
    </w:r>
    <w:r w:rsidRPr="009D2A5B">
      <w:t>/</w:t>
    </w:r>
    <w:r>
      <w:t>1</w:t>
    </w:r>
    <w:r w:rsidR="00150CF1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6C40CDE"/>
    <w:multiLevelType w:val="hybridMultilevel"/>
    <w:tmpl w:val="5DE8E00E"/>
    <w:lvl w:ilvl="0" w:tplc="040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CE59F1"/>
    <w:multiLevelType w:val="hybridMultilevel"/>
    <w:tmpl w:val="FD32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3DC3C74"/>
    <w:multiLevelType w:val="hybridMultilevel"/>
    <w:tmpl w:val="D146F766"/>
    <w:lvl w:ilvl="0" w:tplc="041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2823E78"/>
    <w:multiLevelType w:val="hybridMultilevel"/>
    <w:tmpl w:val="29446582"/>
    <w:lvl w:ilvl="0" w:tplc="0DD89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19"/>
  </w:num>
  <w:num w:numId="15">
    <w:abstractNumId w:val="13"/>
  </w:num>
  <w:num w:numId="16">
    <w:abstractNumId w:val="11"/>
  </w:num>
  <w:num w:numId="17">
    <w:abstractNumId w:val="18"/>
  </w:num>
  <w:num w:numId="18">
    <w:abstractNumId w:val="22"/>
  </w:num>
  <w:num w:numId="19">
    <w:abstractNumId w:val="20"/>
  </w:num>
  <w:num w:numId="20">
    <w:abstractNumId w:val="12"/>
  </w:num>
  <w:num w:numId="21">
    <w:abstractNumId w:val="14"/>
  </w:num>
  <w:num w:numId="22">
    <w:abstractNumId w:val="16"/>
  </w:num>
  <w:num w:numId="23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0C4D51"/>
    <w:rsid w:val="00034A36"/>
    <w:rsid w:val="00037F90"/>
    <w:rsid w:val="00046B1F"/>
    <w:rsid w:val="000509A7"/>
    <w:rsid w:val="00050F6B"/>
    <w:rsid w:val="0005583C"/>
    <w:rsid w:val="00057E97"/>
    <w:rsid w:val="00072C8C"/>
    <w:rsid w:val="000733B5"/>
    <w:rsid w:val="00080491"/>
    <w:rsid w:val="0008179C"/>
    <w:rsid w:val="00081815"/>
    <w:rsid w:val="00085B9E"/>
    <w:rsid w:val="000931C0"/>
    <w:rsid w:val="000B0595"/>
    <w:rsid w:val="000B1333"/>
    <w:rsid w:val="000B175B"/>
    <w:rsid w:val="000B3A0F"/>
    <w:rsid w:val="000B4EF7"/>
    <w:rsid w:val="000C2C03"/>
    <w:rsid w:val="000C2D2E"/>
    <w:rsid w:val="000C4D51"/>
    <w:rsid w:val="000E0415"/>
    <w:rsid w:val="001103AA"/>
    <w:rsid w:val="0011666B"/>
    <w:rsid w:val="00150CF1"/>
    <w:rsid w:val="00155068"/>
    <w:rsid w:val="0015746D"/>
    <w:rsid w:val="00165F3A"/>
    <w:rsid w:val="0017587F"/>
    <w:rsid w:val="001B13A5"/>
    <w:rsid w:val="001B4B04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7435"/>
    <w:rsid w:val="00202DA8"/>
    <w:rsid w:val="0021157B"/>
    <w:rsid w:val="00211E0B"/>
    <w:rsid w:val="00267F5F"/>
    <w:rsid w:val="00277C12"/>
    <w:rsid w:val="00286B4D"/>
    <w:rsid w:val="002A603B"/>
    <w:rsid w:val="002C69C0"/>
    <w:rsid w:val="002D4643"/>
    <w:rsid w:val="002D4B6C"/>
    <w:rsid w:val="002F175C"/>
    <w:rsid w:val="00302E18"/>
    <w:rsid w:val="00312506"/>
    <w:rsid w:val="003229D8"/>
    <w:rsid w:val="00352709"/>
    <w:rsid w:val="00371178"/>
    <w:rsid w:val="00381475"/>
    <w:rsid w:val="00392D7D"/>
    <w:rsid w:val="003A6810"/>
    <w:rsid w:val="003C2CC4"/>
    <w:rsid w:val="003D4B23"/>
    <w:rsid w:val="003D5E89"/>
    <w:rsid w:val="003F78E2"/>
    <w:rsid w:val="004059B4"/>
    <w:rsid w:val="00410C89"/>
    <w:rsid w:val="00422E03"/>
    <w:rsid w:val="00426B9B"/>
    <w:rsid w:val="00430EFE"/>
    <w:rsid w:val="004325CB"/>
    <w:rsid w:val="00441896"/>
    <w:rsid w:val="00442A83"/>
    <w:rsid w:val="00443AB5"/>
    <w:rsid w:val="0045495B"/>
    <w:rsid w:val="0048397A"/>
    <w:rsid w:val="004937E8"/>
    <w:rsid w:val="004A12F2"/>
    <w:rsid w:val="004C2461"/>
    <w:rsid w:val="004C7462"/>
    <w:rsid w:val="004D4E04"/>
    <w:rsid w:val="004D5426"/>
    <w:rsid w:val="004E0C05"/>
    <w:rsid w:val="004E77B2"/>
    <w:rsid w:val="00503DEB"/>
    <w:rsid w:val="00504B2D"/>
    <w:rsid w:val="00511A9B"/>
    <w:rsid w:val="0052136D"/>
    <w:rsid w:val="00522B58"/>
    <w:rsid w:val="0052775E"/>
    <w:rsid w:val="00535C90"/>
    <w:rsid w:val="00536489"/>
    <w:rsid w:val="005420F2"/>
    <w:rsid w:val="00543785"/>
    <w:rsid w:val="00545927"/>
    <w:rsid w:val="00546993"/>
    <w:rsid w:val="00546AD4"/>
    <w:rsid w:val="005628B6"/>
    <w:rsid w:val="00597EDC"/>
    <w:rsid w:val="005A575C"/>
    <w:rsid w:val="005B3DB3"/>
    <w:rsid w:val="005B4E13"/>
    <w:rsid w:val="005E6A77"/>
    <w:rsid w:val="005F58C6"/>
    <w:rsid w:val="005F7B75"/>
    <w:rsid w:val="006001EE"/>
    <w:rsid w:val="00605042"/>
    <w:rsid w:val="00611FC4"/>
    <w:rsid w:val="006176FB"/>
    <w:rsid w:val="00640B26"/>
    <w:rsid w:val="00652D0A"/>
    <w:rsid w:val="00656B98"/>
    <w:rsid w:val="006623D5"/>
    <w:rsid w:val="00662BB6"/>
    <w:rsid w:val="00667F8F"/>
    <w:rsid w:val="00684C21"/>
    <w:rsid w:val="0069232B"/>
    <w:rsid w:val="006A2530"/>
    <w:rsid w:val="006C3589"/>
    <w:rsid w:val="006D37AF"/>
    <w:rsid w:val="006D51D0"/>
    <w:rsid w:val="006E5117"/>
    <w:rsid w:val="006E564B"/>
    <w:rsid w:val="006E7191"/>
    <w:rsid w:val="00703577"/>
    <w:rsid w:val="00705894"/>
    <w:rsid w:val="007106C3"/>
    <w:rsid w:val="0072632A"/>
    <w:rsid w:val="00731FF0"/>
    <w:rsid w:val="007327D5"/>
    <w:rsid w:val="007611CF"/>
    <w:rsid w:val="007629C8"/>
    <w:rsid w:val="0077047D"/>
    <w:rsid w:val="00795C2B"/>
    <w:rsid w:val="007B6BA5"/>
    <w:rsid w:val="007C3390"/>
    <w:rsid w:val="007C4F4B"/>
    <w:rsid w:val="007D46D5"/>
    <w:rsid w:val="007E01E9"/>
    <w:rsid w:val="007E63F3"/>
    <w:rsid w:val="007F6611"/>
    <w:rsid w:val="007F7106"/>
    <w:rsid w:val="00811920"/>
    <w:rsid w:val="00815AD0"/>
    <w:rsid w:val="008242D7"/>
    <w:rsid w:val="00824B23"/>
    <w:rsid w:val="008257B1"/>
    <w:rsid w:val="00843767"/>
    <w:rsid w:val="008521A5"/>
    <w:rsid w:val="008679D9"/>
    <w:rsid w:val="00871389"/>
    <w:rsid w:val="00874CB6"/>
    <w:rsid w:val="00881C0C"/>
    <w:rsid w:val="00883999"/>
    <w:rsid w:val="008878DE"/>
    <w:rsid w:val="008979B1"/>
    <w:rsid w:val="008A6B25"/>
    <w:rsid w:val="008A6C4F"/>
    <w:rsid w:val="008B2335"/>
    <w:rsid w:val="008B717B"/>
    <w:rsid w:val="008E0678"/>
    <w:rsid w:val="008E7526"/>
    <w:rsid w:val="009001A0"/>
    <w:rsid w:val="00901B81"/>
    <w:rsid w:val="0092212D"/>
    <w:rsid w:val="009223CA"/>
    <w:rsid w:val="00940F93"/>
    <w:rsid w:val="0094558F"/>
    <w:rsid w:val="00961690"/>
    <w:rsid w:val="00966FD5"/>
    <w:rsid w:val="0097204D"/>
    <w:rsid w:val="009760F3"/>
    <w:rsid w:val="009A0E8D"/>
    <w:rsid w:val="009B1518"/>
    <w:rsid w:val="009B26E7"/>
    <w:rsid w:val="009B6669"/>
    <w:rsid w:val="009C3EED"/>
    <w:rsid w:val="009C454F"/>
    <w:rsid w:val="009D2A5B"/>
    <w:rsid w:val="009E5F33"/>
    <w:rsid w:val="00A00A3F"/>
    <w:rsid w:val="00A01489"/>
    <w:rsid w:val="00A11B59"/>
    <w:rsid w:val="00A3009E"/>
    <w:rsid w:val="00A3026E"/>
    <w:rsid w:val="00A338F1"/>
    <w:rsid w:val="00A52B16"/>
    <w:rsid w:val="00A72F22"/>
    <w:rsid w:val="00A7360F"/>
    <w:rsid w:val="00A748A6"/>
    <w:rsid w:val="00A769F4"/>
    <w:rsid w:val="00A776B4"/>
    <w:rsid w:val="00A81407"/>
    <w:rsid w:val="00A9093D"/>
    <w:rsid w:val="00A9142D"/>
    <w:rsid w:val="00A94361"/>
    <w:rsid w:val="00AA293C"/>
    <w:rsid w:val="00AE08DA"/>
    <w:rsid w:val="00AE6935"/>
    <w:rsid w:val="00AF3993"/>
    <w:rsid w:val="00B11BB4"/>
    <w:rsid w:val="00B175D8"/>
    <w:rsid w:val="00B22BC2"/>
    <w:rsid w:val="00B30179"/>
    <w:rsid w:val="00B36283"/>
    <w:rsid w:val="00B421C1"/>
    <w:rsid w:val="00B42658"/>
    <w:rsid w:val="00B55C71"/>
    <w:rsid w:val="00B56E4A"/>
    <w:rsid w:val="00B56E9C"/>
    <w:rsid w:val="00B61320"/>
    <w:rsid w:val="00B63647"/>
    <w:rsid w:val="00B64B1F"/>
    <w:rsid w:val="00B6553F"/>
    <w:rsid w:val="00B70F1E"/>
    <w:rsid w:val="00B77D05"/>
    <w:rsid w:val="00B81206"/>
    <w:rsid w:val="00B81E12"/>
    <w:rsid w:val="00B857E8"/>
    <w:rsid w:val="00BB7CD1"/>
    <w:rsid w:val="00BC3FA0"/>
    <w:rsid w:val="00BC74E9"/>
    <w:rsid w:val="00BD4443"/>
    <w:rsid w:val="00BF68A8"/>
    <w:rsid w:val="00C10584"/>
    <w:rsid w:val="00C10FE6"/>
    <w:rsid w:val="00C11A03"/>
    <w:rsid w:val="00C22C0C"/>
    <w:rsid w:val="00C22E7F"/>
    <w:rsid w:val="00C255AF"/>
    <w:rsid w:val="00C30C61"/>
    <w:rsid w:val="00C35502"/>
    <w:rsid w:val="00C40B11"/>
    <w:rsid w:val="00C4527F"/>
    <w:rsid w:val="00C463DD"/>
    <w:rsid w:val="00C4724C"/>
    <w:rsid w:val="00C629A0"/>
    <w:rsid w:val="00C64629"/>
    <w:rsid w:val="00C745C3"/>
    <w:rsid w:val="00C76F8B"/>
    <w:rsid w:val="00C92461"/>
    <w:rsid w:val="00CB3E03"/>
    <w:rsid w:val="00CE4A8F"/>
    <w:rsid w:val="00D2031B"/>
    <w:rsid w:val="00D25FE2"/>
    <w:rsid w:val="00D43252"/>
    <w:rsid w:val="00D47EEA"/>
    <w:rsid w:val="00D550D4"/>
    <w:rsid w:val="00D773DF"/>
    <w:rsid w:val="00D872AC"/>
    <w:rsid w:val="00D9255F"/>
    <w:rsid w:val="00D95303"/>
    <w:rsid w:val="00D978C6"/>
    <w:rsid w:val="00DA3C1C"/>
    <w:rsid w:val="00DD29BD"/>
    <w:rsid w:val="00DE1D53"/>
    <w:rsid w:val="00DF0F1A"/>
    <w:rsid w:val="00E046DF"/>
    <w:rsid w:val="00E15557"/>
    <w:rsid w:val="00E240D2"/>
    <w:rsid w:val="00E27346"/>
    <w:rsid w:val="00E32D7C"/>
    <w:rsid w:val="00E71610"/>
    <w:rsid w:val="00E71BC8"/>
    <w:rsid w:val="00E7260F"/>
    <w:rsid w:val="00E73F5D"/>
    <w:rsid w:val="00E77E4E"/>
    <w:rsid w:val="00E8771C"/>
    <w:rsid w:val="00E902CF"/>
    <w:rsid w:val="00E96630"/>
    <w:rsid w:val="00EC106A"/>
    <w:rsid w:val="00EC1E8A"/>
    <w:rsid w:val="00ED7A2A"/>
    <w:rsid w:val="00EE6B3A"/>
    <w:rsid w:val="00EF0973"/>
    <w:rsid w:val="00EF1D7F"/>
    <w:rsid w:val="00F31E5F"/>
    <w:rsid w:val="00F32BB7"/>
    <w:rsid w:val="00F47EDC"/>
    <w:rsid w:val="00F6100A"/>
    <w:rsid w:val="00F63C9D"/>
    <w:rsid w:val="00F66565"/>
    <w:rsid w:val="00F75A16"/>
    <w:rsid w:val="00F92A22"/>
    <w:rsid w:val="00F93781"/>
    <w:rsid w:val="00FA6DA6"/>
    <w:rsid w:val="00FB613B"/>
    <w:rsid w:val="00FC3058"/>
    <w:rsid w:val="00FC68B7"/>
    <w:rsid w:val="00FE106A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15746D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15746D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15746D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15746D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15746D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15746D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15746D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15746D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15746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15746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15746D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rsid w:val="0015746D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sid w:val="0015746D"/>
    <w:rPr>
      <w:rFonts w:cs="Courier New"/>
    </w:rPr>
  </w:style>
  <w:style w:type="paragraph" w:styleId="Corpsdetexte">
    <w:name w:val="Body Text"/>
    <w:basedOn w:val="Normal"/>
    <w:next w:val="Normal"/>
    <w:semiHidden/>
    <w:rsid w:val="0015746D"/>
  </w:style>
  <w:style w:type="paragraph" w:styleId="Retraitcorpsdetexte">
    <w:name w:val="Body Text Indent"/>
    <w:basedOn w:val="Normal"/>
    <w:semiHidden/>
    <w:rsid w:val="0015746D"/>
    <w:pPr>
      <w:spacing w:after="120"/>
      <w:ind w:left="283"/>
    </w:pPr>
  </w:style>
  <w:style w:type="paragraph" w:styleId="Normalcentr">
    <w:name w:val="Block Text"/>
    <w:basedOn w:val="Normal"/>
    <w:semiHidden/>
    <w:rsid w:val="0015746D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character" w:styleId="Marquedecommentaire">
    <w:name w:val="annotation reference"/>
    <w:semiHidden/>
    <w:rsid w:val="0015746D"/>
    <w:rPr>
      <w:sz w:val="6"/>
    </w:rPr>
  </w:style>
  <w:style w:type="paragraph" w:styleId="Commentaire">
    <w:name w:val="annotation text"/>
    <w:basedOn w:val="Normal"/>
    <w:semiHidden/>
    <w:rsid w:val="0015746D"/>
  </w:style>
  <w:style w:type="character" w:styleId="Numrodeligne">
    <w:name w:val="line number"/>
    <w:semiHidden/>
    <w:rsid w:val="0015746D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15746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4"/>
      </w:numPr>
    </w:pPr>
  </w:style>
  <w:style w:type="numbering" w:styleId="1ai">
    <w:name w:val="Outline List 1"/>
    <w:basedOn w:val="Aucuneliste"/>
    <w:semiHidden/>
    <w:rsid w:val="008A6C4F"/>
    <w:pPr>
      <w:numPr>
        <w:numId w:val="15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6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8A6C4F"/>
    <w:rPr>
      <w:color w:val="0000FF"/>
      <w:u w:val="singl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ar"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En-tteCar">
    <w:name w:val="En-tête Car"/>
    <w:aliases w:val="6_G Car"/>
    <w:basedOn w:val="Policepardfaut"/>
    <w:link w:val="En-tte"/>
    <w:uiPriority w:val="99"/>
    <w:rsid w:val="00B42658"/>
    <w:rPr>
      <w:b/>
      <w:sz w:val="18"/>
      <w:lang w:eastAsia="en-US"/>
    </w:rPr>
  </w:style>
  <w:style w:type="character" w:customStyle="1" w:styleId="NormalWebCar">
    <w:name w:val="Normal (Web) Car"/>
    <w:link w:val="NormalWeb"/>
    <w:rsid w:val="00FA6DA6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795C2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HMG">
    <w:name w:val="ArticleSection"/>
    <w:pPr>
      <w:numPr>
        <w:numId w:val="16"/>
      </w:numPr>
    </w:pPr>
  </w:style>
  <w:style w:type="numbering" w:customStyle="1" w:styleId="HChG">
    <w:name w:val="1ai"/>
    <w:pPr>
      <w:numPr>
        <w:numId w:val="15"/>
      </w:numPr>
    </w:pPr>
  </w:style>
  <w:style w:type="numbering" w:customStyle="1" w:styleId="ParaNoG">
    <w:name w:val="11111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4AC0-E29C-4228-B8DE-71334E8B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8</cp:revision>
  <cp:lastPrinted>2016-12-21T12:54:00Z</cp:lastPrinted>
  <dcterms:created xsi:type="dcterms:W3CDTF">2016-12-20T15:55:00Z</dcterms:created>
  <dcterms:modified xsi:type="dcterms:W3CDTF">2016-12-21T13:55:00Z</dcterms:modified>
</cp:coreProperties>
</file>