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4A2521">
        <w:trPr>
          <w:trHeight w:hRule="exact" w:val="851"/>
        </w:trPr>
        <w:tc>
          <w:tcPr>
            <w:tcW w:w="4900" w:type="dxa"/>
            <w:gridSpan w:val="2"/>
            <w:tcBorders>
              <w:bottom w:val="single" w:sz="4" w:space="0" w:color="auto"/>
            </w:tcBorders>
            <w:vAlign w:val="bottom"/>
          </w:tcPr>
          <w:p w:rsidR="00A658DB" w:rsidRPr="00245892" w:rsidRDefault="00A658DB" w:rsidP="004A2521">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4A2521">
            <w:pPr>
              <w:jc w:val="right"/>
            </w:pPr>
          </w:p>
        </w:tc>
        <w:tc>
          <w:tcPr>
            <w:tcW w:w="4544" w:type="dxa"/>
            <w:gridSpan w:val="2"/>
            <w:tcBorders>
              <w:left w:val="nil"/>
              <w:bottom w:val="single" w:sz="4" w:space="0" w:color="auto"/>
            </w:tcBorders>
            <w:vAlign w:val="bottom"/>
          </w:tcPr>
          <w:p w:rsidR="00A658DB" w:rsidRPr="00245892" w:rsidRDefault="00A658DB" w:rsidP="004A2521">
            <w:pPr>
              <w:jc w:val="right"/>
            </w:pPr>
            <w:r w:rsidRPr="009D6B18">
              <w:rPr>
                <w:sz w:val="40"/>
                <w:szCs w:val="40"/>
                <w:lang w:val="en-US"/>
              </w:rPr>
              <w:t>ECE</w:t>
            </w:r>
            <w:r w:rsidRPr="00245892">
              <w:t>/</w:t>
            </w:r>
            <w:fldSimple w:instr=" FILLIN  &quot;Введите символ после ЕCE/&quot;  \* MERGEFORMAT ">
              <w:r w:rsidR="00915683">
                <w:t>TRANS/WP.15/AC.1/144</w:t>
              </w:r>
            </w:fldSimple>
            <w:r w:rsidRPr="00245892">
              <w:t xml:space="preserve">                  </w:t>
            </w:r>
          </w:p>
        </w:tc>
      </w:tr>
      <w:tr w:rsidR="00A658DB" w:rsidRPr="00245892" w:rsidTr="004A2521">
        <w:trPr>
          <w:trHeight w:hRule="exact" w:val="2835"/>
        </w:trPr>
        <w:tc>
          <w:tcPr>
            <w:tcW w:w="1280" w:type="dxa"/>
            <w:tcBorders>
              <w:top w:val="single" w:sz="4" w:space="0" w:color="auto"/>
              <w:bottom w:val="single" w:sz="12" w:space="0" w:color="auto"/>
            </w:tcBorders>
          </w:tcPr>
          <w:p w:rsidR="00A658DB" w:rsidRPr="00245892" w:rsidRDefault="00A658DB" w:rsidP="004A2521">
            <w:pPr>
              <w:spacing w:before="120"/>
              <w:jc w:val="center"/>
            </w:pPr>
            <w:r>
              <w:rPr>
                <w:noProof/>
                <w:lang w:val="en-GB" w:eastAsia="en-GB"/>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4A2521">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4A2521">
            <w:pPr>
              <w:spacing w:before="240"/>
            </w:pPr>
            <w:proofErr w:type="spellStart"/>
            <w:r w:rsidRPr="00245892">
              <w:t>Distr</w:t>
            </w:r>
            <w:proofErr w:type="spellEnd"/>
            <w:r w:rsidRPr="00245892">
              <w:t xml:space="preserve">.: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Pr="00245892">
              <w:fldChar w:fldCharType="end"/>
            </w:r>
            <w:bookmarkEnd w:id="1"/>
          </w:p>
          <w:p w:rsidR="00A658DB" w:rsidRPr="00245892" w:rsidRDefault="00A658DB" w:rsidP="004A2521">
            <w:r w:rsidRPr="00245892">
              <w:fldChar w:fldCharType="begin"/>
            </w:r>
            <w:r w:rsidRPr="00245892">
              <w:instrText xml:space="preserve"> FILLIN  "Введите дату документа" \* MERGEFORMAT </w:instrText>
            </w:r>
            <w:r w:rsidRPr="00245892">
              <w:fldChar w:fldCharType="separate"/>
            </w:r>
            <w:r w:rsidR="00915683">
              <w:t xml:space="preserve">19 </w:t>
            </w:r>
            <w:proofErr w:type="spellStart"/>
            <w:r w:rsidR="00915683">
              <w:t>October</w:t>
            </w:r>
            <w:proofErr w:type="spellEnd"/>
            <w:r w:rsidR="00915683">
              <w:t xml:space="preserve"> 2016</w:t>
            </w:r>
            <w:r w:rsidRPr="00245892">
              <w:fldChar w:fldCharType="end"/>
            </w:r>
          </w:p>
          <w:p w:rsidR="00A658DB" w:rsidRPr="00245892" w:rsidRDefault="00A658DB" w:rsidP="004A2521">
            <w:r w:rsidRPr="00245892">
              <w:t>Russian</w:t>
            </w:r>
          </w:p>
          <w:p w:rsidR="00A658DB" w:rsidRPr="00245892" w:rsidRDefault="00A658DB" w:rsidP="004A2521">
            <w:proofErr w:type="spellStart"/>
            <w:r w:rsidRPr="00245892">
              <w:t>Original</w:t>
            </w:r>
            <w:proofErr w:type="spellEnd"/>
            <w:r w:rsidRPr="00245892">
              <w:t xml:space="preserve">: </w:t>
            </w:r>
            <w:bookmarkStart w:id="2" w:name="ПолеСоСписком2"/>
            <w:r w:rsidRPr="00245892">
              <w:fldChar w:fldCharType="begin">
                <w:ffData>
                  <w:name w:val="ПолеСоСписком2"/>
                  <w:enabled/>
                  <w:calcOnExit w:val="0"/>
                  <w:ddList>
                    <w:result w:val="6"/>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Pr="00245892">
              <w:fldChar w:fldCharType="end"/>
            </w:r>
            <w:bookmarkEnd w:id="2"/>
          </w:p>
          <w:p w:rsidR="00A658DB" w:rsidRPr="00245892" w:rsidRDefault="00A658DB" w:rsidP="004A2521"/>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4A2521" w:rsidRPr="004A2521" w:rsidRDefault="004A2521" w:rsidP="004A2521">
      <w:pPr>
        <w:spacing w:before="120"/>
        <w:rPr>
          <w:sz w:val="28"/>
          <w:szCs w:val="28"/>
        </w:rPr>
      </w:pPr>
      <w:r w:rsidRPr="004A2521">
        <w:rPr>
          <w:sz w:val="28"/>
          <w:szCs w:val="28"/>
        </w:rPr>
        <w:t>Комитет по внутреннему транспорту</w:t>
      </w:r>
    </w:p>
    <w:p w:rsidR="004A2521" w:rsidRPr="00250BC3" w:rsidRDefault="004A2521" w:rsidP="00250BC3">
      <w:pPr>
        <w:spacing w:before="120"/>
        <w:rPr>
          <w:b/>
          <w:bCs/>
          <w:sz w:val="24"/>
          <w:szCs w:val="24"/>
        </w:rPr>
      </w:pPr>
      <w:r w:rsidRPr="00250BC3">
        <w:rPr>
          <w:b/>
          <w:bCs/>
          <w:sz w:val="24"/>
          <w:szCs w:val="24"/>
        </w:rPr>
        <w:t>Рабочая группа по перевозкам опасных грузов</w:t>
      </w:r>
    </w:p>
    <w:p w:rsidR="004A2521" w:rsidRPr="00250BC3" w:rsidRDefault="004A2521" w:rsidP="00250BC3">
      <w:pPr>
        <w:spacing w:before="120"/>
        <w:rPr>
          <w:b/>
          <w:bCs/>
        </w:rPr>
      </w:pPr>
      <w:r w:rsidRPr="00250BC3">
        <w:rPr>
          <w:b/>
          <w:bCs/>
        </w:rPr>
        <w:t xml:space="preserve">Совместное совещание Комиссии экспертов МПОГ </w:t>
      </w:r>
      <w:r w:rsidRPr="00250BC3">
        <w:rPr>
          <w:b/>
          <w:bCs/>
        </w:rPr>
        <w:br/>
        <w:t>и Рабочей группы по перевозкам опасных грузов</w:t>
      </w:r>
    </w:p>
    <w:p w:rsidR="004A2521" w:rsidRPr="00250BC3" w:rsidRDefault="004A2521" w:rsidP="00250BC3">
      <w:pPr>
        <w:pStyle w:val="HChGR"/>
      </w:pPr>
      <w:r w:rsidRPr="004A2521">
        <w:rPr>
          <w:bCs/>
        </w:rPr>
        <w:tab/>
      </w:r>
      <w:r w:rsidRPr="004A2521">
        <w:rPr>
          <w:bCs/>
        </w:rPr>
        <w:tab/>
      </w:r>
      <w:r w:rsidRPr="004A2521">
        <w:t>Доклад Совместного совещания Комиссии экспертов МПОГ и Рабочей группы по перевозкам опасных грузов о рабо</w:t>
      </w:r>
      <w:r w:rsidR="00250BC3">
        <w:t>те его осенней сессии 2016 года</w:t>
      </w:r>
      <w:r w:rsidRPr="00250BC3">
        <w:rPr>
          <w:b w:val="0"/>
          <w:bCs/>
          <w:sz w:val="18"/>
          <w:szCs w:val="18"/>
          <w:vertAlign w:val="superscript"/>
        </w:rPr>
        <w:footnoteReference w:id="1"/>
      </w:r>
      <w:r w:rsidR="00250BC3" w:rsidRPr="00250BC3">
        <w:t>,</w:t>
      </w:r>
    </w:p>
    <w:p w:rsidR="004A2521" w:rsidRPr="004A2521" w:rsidRDefault="004A2521" w:rsidP="00250BC3">
      <w:pPr>
        <w:pStyle w:val="SingleTxtGR"/>
      </w:pPr>
      <w:proofErr w:type="gramStart"/>
      <w:r w:rsidRPr="004A2521">
        <w:t>состоявшейся в Женеве 19–23 сентября 2016 года</w:t>
      </w:r>
      <w:proofErr w:type="gramEnd"/>
    </w:p>
    <w:p w:rsidR="00250BC3" w:rsidRPr="00250BC3" w:rsidRDefault="00250BC3" w:rsidP="00250BC3">
      <w:pPr>
        <w:pStyle w:val="SingleTxtGR"/>
        <w:suppressAutoHyphens/>
        <w:ind w:left="0" w:right="0"/>
        <w:jc w:val="left"/>
        <w:rPr>
          <w:sz w:val="28"/>
        </w:rPr>
      </w:pPr>
      <w:r w:rsidRPr="00250BC3">
        <w:rPr>
          <w:sz w:val="28"/>
        </w:rPr>
        <w:t>Содержание</w:t>
      </w:r>
    </w:p>
    <w:p w:rsidR="00250BC3" w:rsidRPr="00164E11" w:rsidRDefault="00250BC3" w:rsidP="00250BC3">
      <w:pPr>
        <w:pStyle w:val="SingleTxtGR"/>
        <w:tabs>
          <w:tab w:val="clear" w:pos="1701"/>
          <w:tab w:val="clear" w:pos="2268"/>
          <w:tab w:val="clear" w:pos="2835"/>
          <w:tab w:val="clear" w:pos="3402"/>
          <w:tab w:val="clear" w:pos="3969"/>
          <w:tab w:val="right" w:pos="8929"/>
          <w:tab w:val="right" w:pos="9638"/>
        </w:tabs>
        <w:suppressAutoHyphens/>
        <w:ind w:left="283" w:right="0"/>
        <w:jc w:val="left"/>
      </w:pPr>
      <w:r w:rsidRPr="00250BC3">
        <w:rPr>
          <w:i/>
          <w:sz w:val="18"/>
        </w:rPr>
        <w:tab/>
      </w:r>
      <w:r w:rsidRPr="00164E11">
        <w:rPr>
          <w:i/>
          <w:sz w:val="18"/>
        </w:rPr>
        <w:t>Пункты</w:t>
      </w:r>
      <w:proofErr w:type="gramStart"/>
      <w:r w:rsidRPr="00164E11">
        <w:rPr>
          <w:i/>
          <w:sz w:val="18"/>
        </w:rPr>
        <w:tab/>
        <w:t>С</w:t>
      </w:r>
      <w:proofErr w:type="gramEnd"/>
      <w:r w:rsidRPr="00164E11">
        <w:rPr>
          <w:i/>
          <w:sz w:val="18"/>
        </w:rPr>
        <w:t>тр.</w:t>
      </w:r>
    </w:p>
    <w:p w:rsidR="00250BC3" w:rsidRPr="00250BC3" w:rsidRDefault="00250BC3" w:rsidP="00C9341C">
      <w:pPr>
        <w:pStyle w:val="SingleTxtGR"/>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164E11">
        <w:tab/>
      </w:r>
      <w:r w:rsidRPr="00250BC3">
        <w:t>I.</w:t>
      </w:r>
      <w:r w:rsidRPr="00250BC3">
        <w:tab/>
        <w:t xml:space="preserve">Участники </w:t>
      </w:r>
      <w:r>
        <w:tab/>
      </w:r>
      <w:r>
        <w:tab/>
        <w:t>1</w:t>
      </w:r>
      <w:r w:rsidRPr="00250BC3">
        <w:t>–3</w:t>
      </w:r>
      <w:r w:rsidRPr="00250BC3">
        <w:tab/>
      </w:r>
      <w:r w:rsidR="0022656A">
        <w:t>4</w:t>
      </w:r>
    </w:p>
    <w:p w:rsidR="00250BC3" w:rsidRPr="00250BC3" w:rsidRDefault="00250BC3" w:rsidP="00C9341C">
      <w:pPr>
        <w:pStyle w:val="SingleTxtGR"/>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250BC3">
        <w:tab/>
        <w:t>II.</w:t>
      </w:r>
      <w:r w:rsidRPr="00250BC3">
        <w:tab/>
        <w:t>Утверждение повестки д</w:t>
      </w:r>
      <w:r>
        <w:t>ня (пункт 1 повестки дня)</w:t>
      </w:r>
      <w:r w:rsidRPr="00250BC3">
        <w:t xml:space="preserve"> </w:t>
      </w:r>
      <w:r>
        <w:tab/>
      </w:r>
      <w:r>
        <w:tab/>
        <w:t>4</w:t>
      </w:r>
      <w:r w:rsidRPr="00250BC3">
        <w:t>–5</w:t>
      </w:r>
      <w:r w:rsidRPr="00250BC3">
        <w:tab/>
      </w:r>
      <w:r w:rsidR="0022656A">
        <w:t>4</w:t>
      </w:r>
    </w:p>
    <w:p w:rsidR="00250BC3" w:rsidRPr="00250BC3" w:rsidRDefault="00250BC3" w:rsidP="00C9341C">
      <w:pPr>
        <w:pStyle w:val="SingleTxtGR"/>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250BC3">
        <w:tab/>
        <w:t>III.</w:t>
      </w:r>
      <w:r w:rsidRPr="00250BC3">
        <w:tab/>
        <w:t>Цис</w:t>
      </w:r>
      <w:r>
        <w:t>терны (пункт 2 повестки дня)</w:t>
      </w:r>
      <w:r w:rsidRPr="00250BC3">
        <w:t xml:space="preserve"> </w:t>
      </w:r>
      <w:r>
        <w:tab/>
      </w:r>
      <w:r>
        <w:tab/>
        <w:t>6</w:t>
      </w:r>
      <w:r w:rsidRPr="00250BC3">
        <w:t>–13</w:t>
      </w:r>
      <w:r w:rsidRPr="00250BC3">
        <w:tab/>
      </w:r>
      <w:r w:rsidR="0022656A">
        <w:t>5</w:t>
      </w:r>
    </w:p>
    <w:p w:rsidR="00250BC3" w:rsidRPr="00250BC3" w:rsidRDefault="00250BC3" w:rsidP="00C9341C">
      <w:pPr>
        <w:pStyle w:val="SingleTxtGR"/>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250BC3">
        <w:tab/>
      </w:r>
      <w:r w:rsidRPr="00250BC3">
        <w:tab/>
        <w:t>Доклад</w:t>
      </w:r>
      <w:r>
        <w:t xml:space="preserve"> Рабочей группы по цистернам</w:t>
      </w:r>
      <w:r w:rsidRPr="00250BC3">
        <w:t xml:space="preserve"> </w:t>
      </w:r>
      <w:r>
        <w:tab/>
      </w:r>
      <w:r>
        <w:tab/>
        <w:t>7</w:t>
      </w:r>
      <w:r w:rsidRPr="00250BC3">
        <w:t>–13</w:t>
      </w:r>
      <w:r w:rsidRPr="00250BC3">
        <w:tab/>
      </w:r>
      <w:r w:rsidR="0022656A">
        <w:t>6</w:t>
      </w:r>
    </w:p>
    <w:p w:rsidR="00250BC3" w:rsidRPr="00250BC3" w:rsidRDefault="004333F1" w:rsidP="00C9341C">
      <w:pPr>
        <w:pStyle w:val="SingleTxtGR"/>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C9341C">
        <w:tab/>
      </w:r>
      <w:r w:rsidR="00250BC3" w:rsidRPr="00250BC3">
        <w:t>IV.</w:t>
      </w:r>
      <w:r w:rsidR="00250BC3" w:rsidRPr="00250BC3">
        <w:tab/>
        <w:t>Стандарты (пункт 3 повестки дня)</w:t>
      </w:r>
      <w:r w:rsidRPr="004333F1">
        <w:t xml:space="preserve"> </w:t>
      </w:r>
      <w:r w:rsidR="00250BC3" w:rsidRPr="00250BC3">
        <w:tab/>
      </w:r>
      <w:r w:rsidR="00250BC3" w:rsidRPr="00250BC3">
        <w:tab/>
        <w:t>14–16</w:t>
      </w:r>
      <w:r w:rsidR="00250BC3" w:rsidRPr="00250BC3">
        <w:tab/>
      </w:r>
      <w:r w:rsidR="0022656A">
        <w:t>7</w:t>
      </w:r>
    </w:p>
    <w:p w:rsidR="00250BC3" w:rsidRPr="00250BC3" w:rsidRDefault="00250BC3" w:rsidP="00C9341C">
      <w:pPr>
        <w:pStyle w:val="SingleTxtGR"/>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250BC3">
        <w:tab/>
        <w:t>V.</w:t>
      </w:r>
      <w:r w:rsidRPr="00250BC3">
        <w:tab/>
        <w:t>Толкование МПОГ/ДОПОГ/В</w:t>
      </w:r>
      <w:r>
        <w:t>ОПОГ (пункт 4 повестки дня)</w:t>
      </w:r>
      <w:r w:rsidR="004333F1" w:rsidRPr="004333F1">
        <w:t xml:space="preserve"> </w:t>
      </w:r>
      <w:r>
        <w:tab/>
      </w:r>
      <w:r>
        <w:tab/>
        <w:t>17</w:t>
      </w:r>
      <w:r w:rsidRPr="00250BC3">
        <w:t>–21</w:t>
      </w:r>
      <w:r w:rsidRPr="00250BC3">
        <w:tab/>
      </w:r>
      <w:r w:rsidR="0022656A">
        <w:t>7</w:t>
      </w:r>
    </w:p>
    <w:p w:rsidR="00250BC3" w:rsidRPr="00250BC3" w:rsidRDefault="00250BC3" w:rsidP="00C9341C">
      <w:pPr>
        <w:pStyle w:val="SingleTxtGR"/>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250BC3">
        <w:tab/>
      </w:r>
      <w:r w:rsidRPr="00250BC3">
        <w:tab/>
        <w:t>A.</w:t>
      </w:r>
      <w:r w:rsidRPr="00250BC3">
        <w:tab/>
        <w:t>Указание технического наименования в транспортном доку</w:t>
      </w:r>
      <w:r>
        <w:t>менте</w:t>
      </w:r>
      <w:r w:rsidR="004333F1" w:rsidRPr="004333F1">
        <w:t xml:space="preserve"> </w:t>
      </w:r>
      <w:r>
        <w:tab/>
      </w:r>
      <w:r>
        <w:tab/>
        <w:t>17</w:t>
      </w:r>
      <w:r w:rsidRPr="00250BC3">
        <w:t>–20</w:t>
      </w:r>
      <w:r w:rsidRPr="00250BC3">
        <w:tab/>
      </w:r>
      <w:r w:rsidR="0022656A">
        <w:t>7</w:t>
      </w:r>
    </w:p>
    <w:p w:rsidR="00250BC3" w:rsidRPr="00250BC3" w:rsidRDefault="00250BC3" w:rsidP="00C9341C">
      <w:pPr>
        <w:pStyle w:val="SingleTxtGR"/>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250BC3">
        <w:tab/>
      </w:r>
      <w:r w:rsidRPr="00250BC3">
        <w:tab/>
        <w:t>B.</w:t>
      </w:r>
      <w:r w:rsidRPr="00250BC3">
        <w:tab/>
        <w:t>Переходные положения 1.6.2.13 и 1.6.2.15</w:t>
      </w:r>
      <w:r w:rsidR="004333F1" w:rsidRPr="004333F1">
        <w:t xml:space="preserve"> </w:t>
      </w:r>
      <w:r w:rsidRPr="00250BC3">
        <w:tab/>
      </w:r>
      <w:r w:rsidRPr="00250BC3">
        <w:tab/>
        <w:t>21</w:t>
      </w:r>
      <w:r w:rsidRPr="00250BC3">
        <w:tab/>
      </w:r>
      <w:r w:rsidR="0022656A">
        <w:t>8</w:t>
      </w:r>
    </w:p>
    <w:p w:rsidR="004333F1" w:rsidRDefault="004333F1">
      <w:pPr>
        <w:spacing w:line="240" w:lineRule="auto"/>
      </w:pPr>
      <w:r>
        <w:br w:type="page"/>
      </w:r>
    </w:p>
    <w:p w:rsidR="00250BC3" w:rsidRPr="00250BC3" w:rsidRDefault="00250BC3" w:rsidP="00C9341C">
      <w:pPr>
        <w:pStyle w:val="SingleTxtGR"/>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250BC3">
        <w:lastRenderedPageBreak/>
        <w:tab/>
        <w:t>VI.</w:t>
      </w:r>
      <w:r w:rsidRPr="00250BC3">
        <w:tab/>
        <w:t xml:space="preserve">Предложения о внесении поправок в МПОГ/ДОПОГ/ВОПОГ </w:t>
      </w:r>
      <w:r w:rsidR="004333F1" w:rsidRPr="004333F1">
        <w:br/>
      </w:r>
      <w:r w:rsidR="004333F1" w:rsidRPr="004333F1">
        <w:tab/>
      </w:r>
      <w:r w:rsidR="004333F1" w:rsidRPr="004333F1">
        <w:tab/>
      </w:r>
      <w:r w:rsidRPr="00250BC3">
        <w:t>(пункт 5 повестки дня)</w:t>
      </w:r>
      <w:r w:rsidR="004333F1" w:rsidRPr="004333F1">
        <w:t xml:space="preserve"> </w:t>
      </w:r>
      <w:r w:rsidRPr="00250BC3">
        <w:tab/>
      </w:r>
      <w:r w:rsidRPr="00250BC3">
        <w:tab/>
        <w:t>22</w:t>
      </w:r>
      <w:r w:rsidR="004333F1" w:rsidRPr="004333F1">
        <w:t>–</w:t>
      </w:r>
      <w:r w:rsidRPr="00250BC3">
        <w:t>48</w:t>
      </w:r>
      <w:r w:rsidRPr="00250BC3">
        <w:tab/>
      </w:r>
      <w:r w:rsidR="0022656A">
        <w:t>8</w:t>
      </w:r>
    </w:p>
    <w:p w:rsidR="00250BC3" w:rsidRPr="00250BC3" w:rsidRDefault="00250BC3" w:rsidP="00C9341C">
      <w:pPr>
        <w:pStyle w:val="SingleTxtGR"/>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250BC3">
        <w:tab/>
      </w:r>
      <w:r w:rsidRPr="00250BC3">
        <w:tab/>
        <w:t>A.</w:t>
      </w:r>
      <w:r w:rsidRPr="00250BC3">
        <w:tab/>
        <w:t>Нерассмотренные вопросы</w:t>
      </w:r>
      <w:r w:rsidR="004333F1" w:rsidRPr="004333F1">
        <w:t xml:space="preserve"> </w:t>
      </w:r>
      <w:r w:rsidR="004333F1">
        <w:tab/>
      </w:r>
      <w:r w:rsidR="004333F1">
        <w:tab/>
        <w:t>22</w:t>
      </w:r>
      <w:r w:rsidR="004333F1" w:rsidRPr="004333F1">
        <w:t>–</w:t>
      </w:r>
      <w:r w:rsidRPr="00250BC3">
        <w:t>31</w:t>
      </w:r>
      <w:r w:rsidRPr="00250BC3">
        <w:tab/>
      </w:r>
      <w:r w:rsidR="0022656A">
        <w:t>8</w:t>
      </w:r>
    </w:p>
    <w:p w:rsidR="00250BC3" w:rsidRPr="00250BC3" w:rsidRDefault="00250BC3" w:rsidP="00C9341C">
      <w:pPr>
        <w:pStyle w:val="SingleTxtGR"/>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250BC3">
        <w:tab/>
      </w:r>
      <w:r w:rsidRPr="00250BC3">
        <w:tab/>
      </w:r>
      <w:r w:rsidRPr="00250BC3">
        <w:tab/>
        <w:t>1.</w:t>
      </w:r>
      <w:r w:rsidRPr="00250BC3">
        <w:tab/>
        <w:t xml:space="preserve">Исправление формулировки специального положения 363 </w:t>
      </w:r>
      <w:r w:rsidR="004333F1" w:rsidRPr="004333F1">
        <w:br/>
      </w:r>
      <w:r w:rsidR="004333F1" w:rsidRPr="004333F1">
        <w:tab/>
      </w:r>
      <w:r w:rsidR="004333F1" w:rsidRPr="004333F1">
        <w:tab/>
      </w:r>
      <w:r w:rsidR="004333F1" w:rsidRPr="004333F1">
        <w:tab/>
      </w:r>
      <w:r w:rsidR="004333F1" w:rsidRPr="004333F1">
        <w:tab/>
      </w:r>
      <w:r w:rsidRPr="00250BC3">
        <w:t xml:space="preserve">с внесенными в него поправками, вступающими в силу </w:t>
      </w:r>
      <w:r w:rsidR="004333F1" w:rsidRPr="004333F1">
        <w:br/>
      </w:r>
      <w:r w:rsidR="004333F1" w:rsidRPr="004333F1">
        <w:tab/>
      </w:r>
      <w:r w:rsidR="004333F1" w:rsidRPr="004333F1">
        <w:tab/>
      </w:r>
      <w:r w:rsidR="004333F1" w:rsidRPr="004333F1">
        <w:tab/>
      </w:r>
      <w:r w:rsidR="004333F1" w:rsidRPr="004333F1">
        <w:tab/>
      </w:r>
      <w:r w:rsidRPr="00250BC3">
        <w:t>1 января 2017 года</w:t>
      </w:r>
      <w:r w:rsidR="004333F1" w:rsidRPr="004333F1">
        <w:t xml:space="preserve"> </w:t>
      </w:r>
      <w:r w:rsidRPr="00250BC3">
        <w:tab/>
      </w:r>
      <w:r w:rsidRPr="00250BC3">
        <w:tab/>
        <w:t>22</w:t>
      </w:r>
      <w:r w:rsidRPr="00250BC3">
        <w:tab/>
      </w:r>
      <w:r w:rsidR="0022656A">
        <w:t>8</w:t>
      </w:r>
    </w:p>
    <w:p w:rsidR="00250BC3" w:rsidRPr="00250BC3" w:rsidRDefault="00250BC3" w:rsidP="00C9341C">
      <w:pPr>
        <w:pStyle w:val="SingleTxtGR"/>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250BC3">
        <w:tab/>
      </w:r>
      <w:r w:rsidRPr="00250BC3">
        <w:tab/>
      </w:r>
      <w:r w:rsidRPr="00250BC3">
        <w:tab/>
        <w:t>2.</w:t>
      </w:r>
      <w:r w:rsidRPr="00250BC3">
        <w:tab/>
        <w:t>Сопутствующая поправка к пункту 7.5.2.1</w:t>
      </w:r>
      <w:r w:rsidR="004333F1" w:rsidRPr="004333F1">
        <w:t xml:space="preserve"> </w:t>
      </w:r>
      <w:r w:rsidRPr="00250BC3">
        <w:tab/>
      </w:r>
      <w:r w:rsidRPr="00250BC3">
        <w:tab/>
        <w:t>23</w:t>
      </w:r>
      <w:r w:rsidRPr="00250BC3">
        <w:tab/>
      </w:r>
      <w:r w:rsidR="0022656A">
        <w:t>8</w:t>
      </w:r>
    </w:p>
    <w:p w:rsidR="00250BC3" w:rsidRPr="00250BC3" w:rsidRDefault="00250BC3" w:rsidP="00C9341C">
      <w:pPr>
        <w:pStyle w:val="SingleTxtGR"/>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250BC3">
        <w:tab/>
      </w:r>
      <w:r w:rsidRPr="00250BC3">
        <w:tab/>
      </w:r>
      <w:r w:rsidRPr="00250BC3">
        <w:tab/>
        <w:t>3.</w:t>
      </w:r>
      <w:r w:rsidRPr="00250BC3">
        <w:tab/>
        <w:t xml:space="preserve">Вопросы, касающиеся консультантов по вопросам </w:t>
      </w:r>
      <w:r w:rsidR="00C9341C">
        <w:br/>
      </w:r>
      <w:r w:rsidR="00C9341C">
        <w:tab/>
      </w:r>
      <w:r w:rsidR="00C9341C">
        <w:tab/>
      </w:r>
      <w:r w:rsidR="00C9341C">
        <w:tab/>
      </w:r>
      <w:r w:rsidR="00C9341C">
        <w:tab/>
      </w:r>
      <w:r w:rsidRPr="00250BC3">
        <w:t>безопасности</w:t>
      </w:r>
      <w:r w:rsidR="004333F1" w:rsidRPr="004333F1">
        <w:t xml:space="preserve"> </w:t>
      </w:r>
      <w:r w:rsidRPr="00250BC3">
        <w:tab/>
      </w:r>
      <w:r w:rsidR="004333F1" w:rsidRPr="004333F1">
        <w:tab/>
      </w:r>
      <w:r w:rsidRPr="00250BC3">
        <w:t>24</w:t>
      </w:r>
      <w:r w:rsidR="004333F1" w:rsidRPr="004333F1">
        <w:t>–</w:t>
      </w:r>
      <w:r w:rsidRPr="00250BC3">
        <w:t>28</w:t>
      </w:r>
      <w:r w:rsidRPr="00250BC3">
        <w:tab/>
      </w:r>
      <w:r w:rsidR="0022656A">
        <w:t>9</w:t>
      </w:r>
    </w:p>
    <w:p w:rsidR="00250BC3" w:rsidRPr="00250BC3" w:rsidRDefault="00250BC3" w:rsidP="00C9341C">
      <w:pPr>
        <w:pStyle w:val="SingleTxtGR"/>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250BC3">
        <w:tab/>
      </w:r>
      <w:r w:rsidRPr="00250BC3">
        <w:tab/>
      </w:r>
      <w:r w:rsidRPr="00250BC3">
        <w:tab/>
        <w:t>4.</w:t>
      </w:r>
      <w:r w:rsidRPr="00250BC3">
        <w:tab/>
        <w:t xml:space="preserve">Альтернативные методы периодической проверки сосудов </w:t>
      </w:r>
      <w:r w:rsidR="004333F1" w:rsidRPr="004333F1">
        <w:br/>
      </w:r>
      <w:r w:rsidR="004333F1" w:rsidRPr="004333F1">
        <w:tab/>
      </w:r>
      <w:r w:rsidR="004333F1" w:rsidRPr="004333F1">
        <w:tab/>
      </w:r>
      <w:r w:rsidR="004333F1" w:rsidRPr="004333F1">
        <w:tab/>
      </w:r>
      <w:r w:rsidR="004333F1" w:rsidRPr="004333F1">
        <w:tab/>
      </w:r>
      <w:r w:rsidRPr="00250BC3">
        <w:t>под давлением многоразового использования</w:t>
      </w:r>
      <w:r w:rsidR="004333F1" w:rsidRPr="004333F1">
        <w:t xml:space="preserve"> </w:t>
      </w:r>
      <w:r w:rsidRPr="00250BC3">
        <w:tab/>
      </w:r>
      <w:r w:rsidRPr="00250BC3">
        <w:tab/>
        <w:t>29</w:t>
      </w:r>
      <w:r w:rsidR="004333F1" w:rsidRPr="004333F1">
        <w:t>–</w:t>
      </w:r>
      <w:r w:rsidRPr="00250BC3">
        <w:t>31</w:t>
      </w:r>
      <w:r w:rsidRPr="00250BC3">
        <w:tab/>
      </w:r>
      <w:r w:rsidR="0022656A">
        <w:t>10</w:t>
      </w:r>
    </w:p>
    <w:p w:rsidR="00250BC3" w:rsidRPr="00250BC3" w:rsidRDefault="00250BC3" w:rsidP="00C9341C">
      <w:pPr>
        <w:pStyle w:val="SingleTxtGR"/>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250BC3">
        <w:tab/>
      </w:r>
      <w:r w:rsidRPr="00250BC3">
        <w:tab/>
        <w:t>B.</w:t>
      </w:r>
      <w:r w:rsidRPr="00250BC3">
        <w:tab/>
        <w:t>Новые предложения</w:t>
      </w:r>
      <w:r w:rsidR="004333F1" w:rsidRPr="004333F1">
        <w:t xml:space="preserve"> </w:t>
      </w:r>
      <w:r w:rsidRPr="00250BC3">
        <w:tab/>
      </w:r>
      <w:r w:rsidRPr="00250BC3">
        <w:tab/>
        <w:t>32</w:t>
      </w:r>
      <w:r w:rsidR="004333F1" w:rsidRPr="004333F1">
        <w:t>–</w:t>
      </w:r>
      <w:r w:rsidRPr="00250BC3">
        <w:t>48</w:t>
      </w:r>
      <w:r w:rsidRPr="00250BC3">
        <w:tab/>
      </w:r>
      <w:r w:rsidR="0022656A">
        <w:t>10</w:t>
      </w:r>
    </w:p>
    <w:p w:rsidR="00250BC3" w:rsidRPr="00250BC3" w:rsidRDefault="00250BC3" w:rsidP="00C9341C">
      <w:pPr>
        <w:pStyle w:val="SingleTxtGR"/>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250BC3">
        <w:tab/>
      </w:r>
      <w:r w:rsidRPr="00250BC3">
        <w:tab/>
      </w:r>
      <w:r w:rsidRPr="00250BC3">
        <w:tab/>
        <w:t>1.</w:t>
      </w:r>
      <w:r w:rsidRPr="00250BC3">
        <w:tab/>
        <w:t xml:space="preserve">Поправка к пункту 6.2.3.9.6, касающемуся сосудов </w:t>
      </w:r>
      <w:r w:rsidR="004333F1" w:rsidRPr="004333F1">
        <w:br/>
      </w:r>
      <w:r w:rsidR="004333F1" w:rsidRPr="004333F1">
        <w:tab/>
      </w:r>
      <w:r w:rsidR="004333F1" w:rsidRPr="004333F1">
        <w:tab/>
      </w:r>
      <w:r w:rsidR="004333F1" w:rsidRPr="004333F1">
        <w:tab/>
      </w:r>
      <w:r w:rsidR="004333F1" w:rsidRPr="004333F1">
        <w:tab/>
      </w:r>
      <w:r w:rsidRPr="00250BC3">
        <w:t>под давлением</w:t>
      </w:r>
      <w:r w:rsidR="004333F1" w:rsidRPr="004333F1">
        <w:t xml:space="preserve"> </w:t>
      </w:r>
      <w:r w:rsidRPr="00250BC3">
        <w:tab/>
      </w:r>
      <w:r w:rsidR="004333F1" w:rsidRPr="004333F1">
        <w:tab/>
      </w:r>
      <w:r w:rsidRPr="00250BC3">
        <w:t>32</w:t>
      </w:r>
      <w:r w:rsidRPr="00250BC3">
        <w:tab/>
      </w:r>
      <w:r w:rsidR="0022656A">
        <w:t>10</w:t>
      </w:r>
    </w:p>
    <w:p w:rsidR="00250BC3" w:rsidRPr="00250BC3" w:rsidRDefault="00250BC3" w:rsidP="00C9341C">
      <w:pPr>
        <w:pStyle w:val="SingleTxtGR"/>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250BC3">
        <w:tab/>
      </w:r>
      <w:r w:rsidRPr="00250BC3">
        <w:tab/>
      </w:r>
      <w:r w:rsidRPr="00250BC3">
        <w:tab/>
        <w:t>2.</w:t>
      </w:r>
      <w:r w:rsidRPr="00250BC3">
        <w:tab/>
        <w:t xml:space="preserve">Использование позиции под № ООН 1202 для перевозки </w:t>
      </w:r>
      <w:r w:rsidR="004333F1" w:rsidRPr="004333F1">
        <w:br/>
      </w:r>
      <w:r w:rsidR="004333F1" w:rsidRPr="004333F1">
        <w:tab/>
      </w:r>
      <w:r w:rsidR="004333F1" w:rsidRPr="004333F1">
        <w:tab/>
      </w:r>
      <w:r w:rsidR="004333F1" w:rsidRPr="004333F1">
        <w:tab/>
      </w:r>
      <w:r w:rsidR="004333F1" w:rsidRPr="004333F1">
        <w:tab/>
      </w:r>
      <w:r w:rsidRPr="00250BC3">
        <w:t>мазута</w:t>
      </w:r>
      <w:r w:rsidR="004333F1" w:rsidRPr="004333F1">
        <w:t xml:space="preserve"> </w:t>
      </w:r>
      <w:r w:rsidRPr="00250BC3">
        <w:tab/>
      </w:r>
      <w:r w:rsidR="004333F1" w:rsidRPr="004333F1">
        <w:tab/>
      </w:r>
      <w:r w:rsidRPr="00250BC3">
        <w:t>33</w:t>
      </w:r>
      <w:r w:rsidR="004333F1" w:rsidRPr="004333F1">
        <w:t>–</w:t>
      </w:r>
      <w:r w:rsidRPr="00250BC3">
        <w:t>35</w:t>
      </w:r>
      <w:r w:rsidRPr="00250BC3">
        <w:tab/>
      </w:r>
      <w:r w:rsidR="0022656A">
        <w:t>10</w:t>
      </w:r>
    </w:p>
    <w:p w:rsidR="00250BC3" w:rsidRPr="00250BC3" w:rsidRDefault="00250BC3" w:rsidP="00C9341C">
      <w:pPr>
        <w:pStyle w:val="SingleTxtGR"/>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250BC3">
        <w:tab/>
      </w:r>
      <w:r w:rsidRPr="00250BC3">
        <w:tab/>
      </w:r>
      <w:r w:rsidRPr="00250BC3">
        <w:tab/>
        <w:t>3.</w:t>
      </w:r>
      <w:r w:rsidRPr="00250BC3">
        <w:tab/>
        <w:t xml:space="preserve">Обязанности участников перевозки и </w:t>
      </w:r>
      <w:proofErr w:type="spellStart"/>
      <w:r w:rsidRPr="00250BC3">
        <w:t>прослеживаемость</w:t>
      </w:r>
      <w:proofErr w:type="spellEnd"/>
      <w:r w:rsidR="004333F1" w:rsidRPr="004333F1">
        <w:t xml:space="preserve"> </w:t>
      </w:r>
      <w:r w:rsidRPr="00250BC3">
        <w:tab/>
      </w:r>
      <w:r w:rsidRPr="00250BC3">
        <w:tab/>
        <w:t>36</w:t>
      </w:r>
      <w:r w:rsidR="004333F1" w:rsidRPr="004333F1">
        <w:t>–</w:t>
      </w:r>
      <w:r w:rsidRPr="00250BC3">
        <w:t>38</w:t>
      </w:r>
      <w:r w:rsidRPr="00250BC3">
        <w:tab/>
      </w:r>
      <w:r w:rsidR="0022656A">
        <w:t>11</w:t>
      </w:r>
    </w:p>
    <w:p w:rsidR="00250BC3" w:rsidRPr="00250BC3" w:rsidRDefault="00250BC3" w:rsidP="00C9341C">
      <w:pPr>
        <w:pStyle w:val="SingleTxtGR"/>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250BC3">
        <w:tab/>
      </w:r>
      <w:r w:rsidRPr="00250BC3">
        <w:tab/>
      </w:r>
      <w:r w:rsidRPr="00250BC3">
        <w:tab/>
        <w:t>4.</w:t>
      </w:r>
      <w:r w:rsidRPr="00250BC3">
        <w:tab/>
        <w:t>Использование терминов «опасность» и «риск»</w:t>
      </w:r>
      <w:r w:rsidR="000C6A59" w:rsidRPr="000C6A59">
        <w:t xml:space="preserve"> </w:t>
      </w:r>
      <w:r w:rsidR="00C9341C">
        <w:br/>
      </w:r>
      <w:r w:rsidR="00C9341C">
        <w:tab/>
      </w:r>
      <w:r w:rsidR="00C9341C">
        <w:tab/>
      </w:r>
      <w:r w:rsidR="00C9341C">
        <w:tab/>
      </w:r>
      <w:r w:rsidR="00C9341C">
        <w:tab/>
      </w:r>
      <w:r w:rsidR="00853877">
        <w:t xml:space="preserve">в </w:t>
      </w:r>
      <w:r w:rsidRPr="00250BC3">
        <w:t>пункте 1.4.1.1</w:t>
      </w:r>
      <w:r w:rsidR="004333F1" w:rsidRPr="004333F1">
        <w:t xml:space="preserve"> </w:t>
      </w:r>
      <w:r w:rsidR="004333F1" w:rsidRPr="004333F1">
        <w:tab/>
      </w:r>
      <w:r w:rsidRPr="00250BC3">
        <w:tab/>
        <w:t>39</w:t>
      </w:r>
      <w:r w:rsidRPr="00250BC3">
        <w:tab/>
      </w:r>
      <w:r w:rsidR="0022656A">
        <w:t>11</w:t>
      </w:r>
    </w:p>
    <w:p w:rsidR="00250BC3" w:rsidRPr="00250BC3" w:rsidRDefault="00250BC3" w:rsidP="00C9341C">
      <w:pPr>
        <w:pStyle w:val="SingleTxtGR"/>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250BC3">
        <w:tab/>
      </w:r>
      <w:r w:rsidRPr="00250BC3">
        <w:tab/>
      </w:r>
      <w:r w:rsidRPr="00250BC3">
        <w:tab/>
        <w:t>5.</w:t>
      </w:r>
      <w:r w:rsidRPr="00250BC3">
        <w:tab/>
        <w:t xml:space="preserve">Обязанности перевозчика; осмотр груза в опломбированных </w:t>
      </w:r>
      <w:r w:rsidR="004333F1" w:rsidRPr="004333F1">
        <w:br/>
      </w:r>
      <w:r w:rsidR="004333F1" w:rsidRPr="004333F1">
        <w:tab/>
      </w:r>
      <w:r w:rsidR="004333F1" w:rsidRPr="004333F1">
        <w:tab/>
      </w:r>
      <w:r w:rsidR="004333F1" w:rsidRPr="004333F1">
        <w:tab/>
      </w:r>
      <w:r w:rsidR="004333F1" w:rsidRPr="004333F1">
        <w:tab/>
      </w:r>
      <w:r w:rsidRPr="00250BC3">
        <w:t>грузовых транспортных единицах</w:t>
      </w:r>
      <w:r w:rsidR="004333F1" w:rsidRPr="004333F1">
        <w:t xml:space="preserve"> </w:t>
      </w:r>
      <w:r w:rsidRPr="00250BC3">
        <w:tab/>
      </w:r>
      <w:r w:rsidRPr="00250BC3">
        <w:tab/>
        <w:t>40</w:t>
      </w:r>
      <w:r w:rsidRPr="00250BC3">
        <w:tab/>
      </w:r>
      <w:r w:rsidR="0022656A">
        <w:t>11</w:t>
      </w:r>
    </w:p>
    <w:p w:rsidR="00250BC3" w:rsidRPr="00250BC3" w:rsidRDefault="00250BC3" w:rsidP="00C9341C">
      <w:pPr>
        <w:pStyle w:val="SingleTxtGR"/>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250BC3">
        <w:tab/>
      </w:r>
      <w:r w:rsidRPr="00250BC3">
        <w:tab/>
      </w:r>
      <w:r w:rsidRPr="00250BC3">
        <w:tab/>
        <w:t>6.</w:t>
      </w:r>
      <w:r w:rsidRPr="00250BC3">
        <w:tab/>
        <w:t xml:space="preserve">Использование емкостей для сбора отходов, удовлетворяющих </w:t>
      </w:r>
      <w:r w:rsidRPr="00250BC3">
        <w:br/>
      </w:r>
      <w:r w:rsidR="004333F1" w:rsidRPr="004333F1">
        <w:tab/>
      </w:r>
      <w:r w:rsidR="004333F1" w:rsidRPr="004333F1">
        <w:tab/>
      </w:r>
      <w:r w:rsidR="004333F1" w:rsidRPr="004333F1">
        <w:tab/>
      </w:r>
      <w:r w:rsidR="004333F1" w:rsidRPr="004333F1">
        <w:tab/>
      </w:r>
      <w:r w:rsidRPr="00250BC3">
        <w:t xml:space="preserve">как требованиям главы 6.1 в отношении тары, так и требованиям </w:t>
      </w:r>
      <w:r w:rsidRPr="00250BC3">
        <w:br/>
      </w:r>
      <w:r w:rsidR="000C6A59" w:rsidRPr="000C6A59">
        <w:tab/>
      </w:r>
      <w:r w:rsidR="000C6A59" w:rsidRPr="000C6A59">
        <w:tab/>
      </w:r>
      <w:r w:rsidR="000C6A59" w:rsidRPr="000C6A59">
        <w:tab/>
      </w:r>
      <w:r w:rsidR="000C6A59" w:rsidRPr="000C6A59">
        <w:tab/>
      </w:r>
      <w:r w:rsidRPr="00250BC3">
        <w:t xml:space="preserve">главы 6.5 в отношении контейнеров средней грузоподъемности </w:t>
      </w:r>
      <w:r w:rsidRPr="00250BC3">
        <w:br/>
      </w:r>
      <w:r w:rsidR="000C6A59" w:rsidRPr="000C6A59">
        <w:tab/>
      </w:r>
      <w:r w:rsidR="000C6A59" w:rsidRPr="000C6A59">
        <w:tab/>
      </w:r>
      <w:r w:rsidR="000C6A59" w:rsidRPr="000C6A59">
        <w:tab/>
      </w:r>
      <w:r w:rsidR="000C6A59" w:rsidRPr="000C6A59">
        <w:tab/>
      </w:r>
      <w:r w:rsidRPr="00250BC3">
        <w:t>для массовых грузов</w:t>
      </w:r>
      <w:r w:rsidR="000C6A59" w:rsidRPr="000C6A59">
        <w:t xml:space="preserve"> </w:t>
      </w:r>
      <w:r w:rsidRPr="00250BC3">
        <w:tab/>
      </w:r>
      <w:r w:rsidRPr="00250BC3">
        <w:tab/>
        <w:t>41</w:t>
      </w:r>
      <w:r w:rsidR="004333F1" w:rsidRPr="004333F1">
        <w:t>–</w:t>
      </w:r>
      <w:r w:rsidRPr="00250BC3">
        <w:t>43</w:t>
      </w:r>
      <w:r w:rsidRPr="00250BC3">
        <w:tab/>
      </w:r>
      <w:r w:rsidR="00CB6DCB">
        <w:t>12</w:t>
      </w:r>
    </w:p>
    <w:p w:rsidR="00250BC3" w:rsidRPr="00250BC3" w:rsidRDefault="00250BC3" w:rsidP="00C9341C">
      <w:pPr>
        <w:pStyle w:val="SingleTxtGR"/>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250BC3">
        <w:tab/>
      </w:r>
      <w:r w:rsidRPr="00250BC3">
        <w:tab/>
      </w:r>
      <w:r w:rsidRPr="00250BC3">
        <w:tab/>
        <w:t>7.</w:t>
      </w:r>
      <w:r w:rsidRPr="00250BC3">
        <w:tab/>
        <w:t xml:space="preserve">Перевозка отработанных газоразрядных ламп «TL» </w:t>
      </w:r>
      <w:r w:rsidR="000C6A59" w:rsidRPr="000C6A59">
        <w:br/>
      </w:r>
      <w:r w:rsidR="000C6A59" w:rsidRPr="000C6A59">
        <w:tab/>
      </w:r>
      <w:r w:rsidR="000C6A59" w:rsidRPr="000C6A59">
        <w:tab/>
      </w:r>
      <w:r w:rsidR="000C6A59" w:rsidRPr="000C6A59">
        <w:tab/>
      </w:r>
      <w:r w:rsidR="000C6A59" w:rsidRPr="000C6A59">
        <w:tab/>
      </w:r>
      <w:r w:rsidRPr="00250BC3">
        <w:t>низкого давления</w:t>
      </w:r>
      <w:r w:rsidR="000C6A59" w:rsidRPr="000C6A59">
        <w:t xml:space="preserve"> </w:t>
      </w:r>
      <w:r w:rsidRPr="00250BC3">
        <w:tab/>
      </w:r>
      <w:r w:rsidR="000C6A59" w:rsidRPr="000C6A59">
        <w:tab/>
      </w:r>
      <w:r w:rsidRPr="00250BC3">
        <w:t>44</w:t>
      </w:r>
      <w:r w:rsidR="004333F1" w:rsidRPr="004333F1">
        <w:t>–</w:t>
      </w:r>
      <w:r w:rsidRPr="00250BC3">
        <w:t>48</w:t>
      </w:r>
      <w:r w:rsidRPr="00250BC3">
        <w:tab/>
      </w:r>
      <w:r w:rsidR="00CB6DCB">
        <w:t>12</w:t>
      </w:r>
    </w:p>
    <w:p w:rsidR="00250BC3" w:rsidRPr="00250BC3" w:rsidRDefault="00250BC3" w:rsidP="00C9341C">
      <w:pPr>
        <w:pStyle w:val="SingleTxtGR"/>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250BC3">
        <w:tab/>
        <w:t>VII.</w:t>
      </w:r>
      <w:r w:rsidRPr="00250BC3">
        <w:tab/>
        <w:t>Доклады неофициальных рабочих групп (пункт 6 повестки дня)</w:t>
      </w:r>
      <w:r w:rsidR="000C6A59" w:rsidRPr="000C6A59">
        <w:t xml:space="preserve"> </w:t>
      </w:r>
      <w:r w:rsidRPr="00250BC3">
        <w:tab/>
      </w:r>
      <w:r w:rsidRPr="00250BC3">
        <w:tab/>
        <w:t>49</w:t>
      </w:r>
      <w:r w:rsidR="004333F1" w:rsidRPr="004333F1">
        <w:t>–</w:t>
      </w:r>
      <w:r w:rsidRPr="00250BC3">
        <w:t>54</w:t>
      </w:r>
      <w:r w:rsidRPr="00250BC3">
        <w:tab/>
      </w:r>
      <w:r w:rsidR="00CB6DCB">
        <w:t>13</w:t>
      </w:r>
    </w:p>
    <w:p w:rsidR="00250BC3" w:rsidRPr="00250BC3" w:rsidRDefault="00250BC3" w:rsidP="00C9341C">
      <w:pPr>
        <w:pStyle w:val="SingleTxtGR"/>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250BC3">
        <w:tab/>
      </w:r>
      <w:r w:rsidRPr="00250BC3">
        <w:tab/>
        <w:t>A.</w:t>
      </w:r>
      <w:r w:rsidRPr="00250BC3">
        <w:tab/>
        <w:t xml:space="preserve">Дискуссии по вопросу о допуске сосудов, утвержденных </w:t>
      </w:r>
      <w:r w:rsidR="000C6A59" w:rsidRPr="000C6A59">
        <w:br/>
      </w:r>
      <w:r w:rsidR="000C6A59" w:rsidRPr="000C6A59">
        <w:tab/>
      </w:r>
      <w:r w:rsidR="000C6A59" w:rsidRPr="000C6A59">
        <w:tab/>
      </w:r>
      <w:r w:rsidR="000C6A59" w:rsidRPr="000C6A59">
        <w:tab/>
      </w:r>
      <w:r w:rsidRPr="00250BC3">
        <w:t>Министерством транспорта Соединенных Штатов Америки</w:t>
      </w:r>
      <w:r w:rsidR="000C6A59" w:rsidRPr="000C6A59">
        <w:t xml:space="preserve"> </w:t>
      </w:r>
      <w:r w:rsidRPr="00250BC3">
        <w:tab/>
      </w:r>
      <w:r w:rsidRPr="00250BC3">
        <w:tab/>
        <w:t>49</w:t>
      </w:r>
      <w:r w:rsidRPr="00250BC3">
        <w:tab/>
      </w:r>
      <w:r w:rsidR="00CB6DCB">
        <w:t>13</w:t>
      </w:r>
    </w:p>
    <w:p w:rsidR="00250BC3" w:rsidRPr="00250BC3" w:rsidRDefault="00250BC3" w:rsidP="00C9341C">
      <w:pPr>
        <w:pStyle w:val="SingleTxtGR"/>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250BC3">
        <w:tab/>
      </w:r>
      <w:r w:rsidRPr="00250BC3">
        <w:tab/>
        <w:t>B.</w:t>
      </w:r>
      <w:r w:rsidRPr="00250BC3">
        <w:tab/>
        <w:t xml:space="preserve">Неофициальная рабочая группа по перевозке отходов электрического </w:t>
      </w:r>
      <w:r w:rsidR="000C6A59" w:rsidRPr="000C6A59">
        <w:br/>
      </w:r>
      <w:r w:rsidR="000C6A59" w:rsidRPr="000C6A59">
        <w:tab/>
      </w:r>
      <w:r w:rsidR="000C6A59" w:rsidRPr="000C6A59">
        <w:tab/>
      </w:r>
      <w:r w:rsidR="000C6A59" w:rsidRPr="000C6A59">
        <w:tab/>
      </w:r>
      <w:r w:rsidRPr="00250BC3">
        <w:t>и электронного оборудования, с</w:t>
      </w:r>
      <w:r w:rsidR="004333F1">
        <w:t>одержащего литиевые батареи</w:t>
      </w:r>
      <w:r w:rsidR="000C6A59" w:rsidRPr="000C6A59">
        <w:t xml:space="preserve"> </w:t>
      </w:r>
      <w:r w:rsidR="004333F1">
        <w:tab/>
      </w:r>
      <w:r w:rsidR="004333F1">
        <w:tab/>
        <w:t>50</w:t>
      </w:r>
      <w:r w:rsidR="004333F1" w:rsidRPr="004333F1">
        <w:t>–</w:t>
      </w:r>
      <w:r w:rsidRPr="00250BC3">
        <w:t>51</w:t>
      </w:r>
      <w:r w:rsidRPr="00250BC3">
        <w:tab/>
      </w:r>
      <w:r w:rsidR="00CB6DCB">
        <w:t>13</w:t>
      </w:r>
    </w:p>
    <w:p w:rsidR="00250BC3" w:rsidRPr="00250BC3" w:rsidRDefault="00250BC3" w:rsidP="00C9341C">
      <w:pPr>
        <w:pStyle w:val="SingleTxtGR"/>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250BC3">
        <w:tab/>
      </w:r>
      <w:r w:rsidRPr="00250BC3">
        <w:tab/>
        <w:t>C.</w:t>
      </w:r>
      <w:r w:rsidRPr="00250BC3">
        <w:tab/>
        <w:t xml:space="preserve">Седьмое рабочее совещание Европейского железнодорожного </w:t>
      </w:r>
      <w:r w:rsidR="000C6A59" w:rsidRPr="000C6A59">
        <w:br/>
      </w:r>
      <w:r w:rsidR="000C6A59" w:rsidRPr="000C6A59">
        <w:tab/>
      </w:r>
      <w:r w:rsidR="000C6A59" w:rsidRPr="000C6A59">
        <w:tab/>
      </w:r>
      <w:r w:rsidR="000C6A59" w:rsidRPr="000C6A59">
        <w:tab/>
      </w:r>
      <w:r w:rsidRPr="00250BC3">
        <w:t xml:space="preserve">агентства (ЕЖДА) по осуществлению «дорожной карты» </w:t>
      </w:r>
      <w:r w:rsidR="009870FF" w:rsidRPr="009870FF">
        <w:br/>
      </w:r>
      <w:r w:rsidR="009870FF" w:rsidRPr="009870FF">
        <w:tab/>
      </w:r>
      <w:r w:rsidR="009870FF" w:rsidRPr="009870FF">
        <w:tab/>
      </w:r>
      <w:r w:rsidR="009870FF" w:rsidRPr="009870FF">
        <w:tab/>
      </w:r>
      <w:r w:rsidRPr="00250BC3">
        <w:t xml:space="preserve">по вопросам управления рисками в контексте перевозок опасных </w:t>
      </w:r>
      <w:r w:rsidR="009870FF" w:rsidRPr="009870FF">
        <w:br/>
      </w:r>
      <w:r w:rsidR="009870FF" w:rsidRPr="009870FF">
        <w:tab/>
      </w:r>
      <w:r w:rsidR="009870FF" w:rsidRPr="009870FF">
        <w:tab/>
      </w:r>
      <w:r w:rsidR="009870FF" w:rsidRPr="009870FF">
        <w:tab/>
      </w:r>
      <w:r w:rsidRPr="00250BC3">
        <w:t xml:space="preserve">грузов железнодорожным, автомобильным и внутренним водным </w:t>
      </w:r>
      <w:r w:rsidR="009870FF" w:rsidRPr="009870FF">
        <w:br/>
      </w:r>
      <w:r w:rsidR="009870FF" w:rsidRPr="009870FF">
        <w:tab/>
      </w:r>
      <w:r w:rsidR="009870FF" w:rsidRPr="009870FF">
        <w:tab/>
      </w:r>
      <w:r w:rsidR="009870FF" w:rsidRPr="009870FF">
        <w:tab/>
      </w:r>
      <w:r w:rsidRPr="00250BC3">
        <w:t>транспортом (Валансьен, 14–16 июня 2016 года)</w:t>
      </w:r>
      <w:r w:rsidR="009870FF" w:rsidRPr="009870FF">
        <w:t xml:space="preserve"> </w:t>
      </w:r>
      <w:r w:rsidRPr="00250BC3">
        <w:tab/>
      </w:r>
      <w:r w:rsidRPr="00250BC3">
        <w:tab/>
        <w:t>52</w:t>
      </w:r>
      <w:r w:rsidR="009870FF" w:rsidRPr="009870FF">
        <w:t>–</w:t>
      </w:r>
      <w:r w:rsidRPr="00250BC3">
        <w:t>54</w:t>
      </w:r>
      <w:r w:rsidRPr="00250BC3">
        <w:tab/>
      </w:r>
      <w:r w:rsidR="00CB6DCB">
        <w:t>14</w:t>
      </w:r>
    </w:p>
    <w:p w:rsidR="00250BC3" w:rsidRPr="00250BC3" w:rsidRDefault="00250BC3" w:rsidP="00C9341C">
      <w:pPr>
        <w:pStyle w:val="SingleTxtGR"/>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250BC3">
        <w:tab/>
        <w:t>VIII.</w:t>
      </w:r>
      <w:r w:rsidRPr="00250BC3">
        <w:tab/>
        <w:t>Выборы должностных лиц на 2017 год (пункт 7 повестки дня)</w:t>
      </w:r>
      <w:r w:rsidR="009870FF" w:rsidRPr="009870FF">
        <w:t xml:space="preserve"> </w:t>
      </w:r>
      <w:r w:rsidRPr="00250BC3">
        <w:tab/>
      </w:r>
      <w:r w:rsidRPr="00250BC3">
        <w:tab/>
        <w:t>55</w:t>
      </w:r>
      <w:r w:rsidRPr="00250BC3">
        <w:tab/>
      </w:r>
      <w:r w:rsidR="00CB6DCB">
        <w:t>14</w:t>
      </w:r>
    </w:p>
    <w:p w:rsidR="00250BC3" w:rsidRPr="00250BC3" w:rsidRDefault="00250BC3" w:rsidP="00C9341C">
      <w:pPr>
        <w:pStyle w:val="SingleTxtGR"/>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250BC3">
        <w:tab/>
        <w:t>IX.</w:t>
      </w:r>
      <w:r w:rsidRPr="00250BC3">
        <w:tab/>
        <w:t>Будущая работа (пункт 8 повестки дня)</w:t>
      </w:r>
      <w:r w:rsidR="009870FF" w:rsidRPr="009870FF">
        <w:t xml:space="preserve"> </w:t>
      </w:r>
      <w:r w:rsidRPr="00250BC3">
        <w:tab/>
      </w:r>
      <w:r w:rsidRPr="00250BC3">
        <w:tab/>
        <w:t>56</w:t>
      </w:r>
      <w:r w:rsidRPr="00250BC3">
        <w:tab/>
      </w:r>
      <w:r w:rsidR="00CB6DCB">
        <w:t>14</w:t>
      </w:r>
    </w:p>
    <w:p w:rsidR="00250BC3" w:rsidRPr="00250BC3" w:rsidRDefault="00250BC3" w:rsidP="00164E11">
      <w:pPr>
        <w:pStyle w:val="SingleTxtGR"/>
        <w:pageBreakBefore/>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250BC3">
        <w:lastRenderedPageBreak/>
        <w:tab/>
        <w:t>X.</w:t>
      </w:r>
      <w:r w:rsidRPr="00250BC3">
        <w:tab/>
        <w:t>Прочие вопросы (пункт 9 повес</w:t>
      </w:r>
      <w:r w:rsidR="004333F1">
        <w:t>тки дня)</w:t>
      </w:r>
      <w:r w:rsidR="009870FF" w:rsidRPr="009870FF">
        <w:t xml:space="preserve"> </w:t>
      </w:r>
      <w:r w:rsidR="004333F1">
        <w:tab/>
      </w:r>
      <w:r w:rsidR="004333F1">
        <w:tab/>
        <w:t>57</w:t>
      </w:r>
      <w:r w:rsidR="004333F1" w:rsidRPr="004333F1">
        <w:t>–</w:t>
      </w:r>
      <w:r w:rsidRPr="00250BC3">
        <w:t>65</w:t>
      </w:r>
      <w:r w:rsidRPr="00250BC3">
        <w:tab/>
      </w:r>
      <w:r w:rsidR="00CB6DCB">
        <w:t>15</w:t>
      </w:r>
    </w:p>
    <w:p w:rsidR="00250BC3" w:rsidRPr="00250BC3" w:rsidRDefault="00250BC3" w:rsidP="00C9341C">
      <w:pPr>
        <w:pStyle w:val="SingleTxtGR"/>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250BC3">
        <w:tab/>
      </w:r>
      <w:r w:rsidRPr="00250BC3">
        <w:tab/>
        <w:t>A.</w:t>
      </w:r>
      <w:r w:rsidRPr="00250BC3">
        <w:tab/>
        <w:t>Просьба о предоставлен</w:t>
      </w:r>
      <w:r w:rsidR="004333F1">
        <w:t>ии консультативного статуса</w:t>
      </w:r>
      <w:r w:rsidR="009870FF" w:rsidRPr="009870FF">
        <w:t xml:space="preserve"> </w:t>
      </w:r>
      <w:r w:rsidR="004333F1">
        <w:tab/>
      </w:r>
      <w:r w:rsidR="004333F1">
        <w:tab/>
        <w:t>57</w:t>
      </w:r>
      <w:r w:rsidR="004333F1" w:rsidRPr="004333F1">
        <w:t>–</w:t>
      </w:r>
      <w:r w:rsidRPr="00250BC3">
        <w:t>58</w:t>
      </w:r>
      <w:r w:rsidRPr="00250BC3">
        <w:tab/>
      </w:r>
      <w:r w:rsidR="00CB6DCB">
        <w:t>15</w:t>
      </w:r>
    </w:p>
    <w:p w:rsidR="00250BC3" w:rsidRPr="00250BC3" w:rsidRDefault="00250BC3" w:rsidP="00C9341C">
      <w:pPr>
        <w:pStyle w:val="SingleTxtGR"/>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250BC3">
        <w:tab/>
      </w:r>
      <w:r w:rsidRPr="00250BC3">
        <w:tab/>
        <w:t>B.</w:t>
      </w:r>
      <w:r w:rsidRPr="00250BC3">
        <w:tab/>
        <w:t xml:space="preserve">Создание неофициальной рабочей группы по редакционным </w:t>
      </w:r>
      <w:r w:rsidR="009870FF" w:rsidRPr="009870FF">
        <w:br/>
      </w:r>
      <w:r w:rsidR="009870FF" w:rsidRPr="009870FF">
        <w:tab/>
      </w:r>
      <w:r w:rsidR="009870FF" w:rsidRPr="009870FF">
        <w:tab/>
      </w:r>
      <w:r w:rsidR="009870FF" w:rsidRPr="009870FF">
        <w:tab/>
      </w:r>
      <w:r w:rsidRPr="00250BC3">
        <w:t>изменениям в текстах правил</w:t>
      </w:r>
      <w:r w:rsidR="009870FF" w:rsidRPr="009870FF">
        <w:t xml:space="preserve"> </w:t>
      </w:r>
      <w:r w:rsidR="009870FF">
        <w:tab/>
      </w:r>
      <w:r w:rsidR="009870FF">
        <w:tab/>
        <w:t>59</w:t>
      </w:r>
      <w:r w:rsidR="009870FF" w:rsidRPr="009870FF">
        <w:t>–</w:t>
      </w:r>
      <w:r w:rsidRPr="00250BC3">
        <w:t>61</w:t>
      </w:r>
      <w:r w:rsidRPr="00250BC3">
        <w:tab/>
      </w:r>
      <w:r w:rsidR="00CB6DCB">
        <w:t>15</w:t>
      </w:r>
    </w:p>
    <w:p w:rsidR="00250BC3" w:rsidRPr="00250BC3" w:rsidRDefault="00250BC3" w:rsidP="00C9341C">
      <w:pPr>
        <w:pStyle w:val="SingleTxtGR"/>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250BC3">
        <w:tab/>
      </w:r>
      <w:r w:rsidRPr="00250BC3">
        <w:tab/>
        <w:t>C.</w:t>
      </w:r>
      <w:r w:rsidRPr="00250BC3">
        <w:tab/>
        <w:t xml:space="preserve">Выражение признательности г-ну </w:t>
      </w:r>
      <w:proofErr w:type="spellStart"/>
      <w:r w:rsidRPr="00250BC3">
        <w:t>Томсену</w:t>
      </w:r>
      <w:proofErr w:type="spellEnd"/>
      <w:r w:rsidR="009870FF" w:rsidRPr="009870FF">
        <w:t xml:space="preserve"> </w:t>
      </w:r>
      <w:r w:rsidRPr="00250BC3">
        <w:tab/>
      </w:r>
      <w:r w:rsidRPr="00250BC3">
        <w:tab/>
        <w:t>62</w:t>
      </w:r>
      <w:r w:rsidRPr="00250BC3">
        <w:tab/>
      </w:r>
      <w:r w:rsidR="00CB6DCB">
        <w:t>16</w:t>
      </w:r>
    </w:p>
    <w:p w:rsidR="00250BC3" w:rsidRPr="00250BC3" w:rsidRDefault="00250BC3" w:rsidP="00C9341C">
      <w:pPr>
        <w:pStyle w:val="SingleTxtGR"/>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250BC3">
        <w:tab/>
      </w:r>
      <w:r w:rsidRPr="00250BC3">
        <w:tab/>
        <w:t>D.</w:t>
      </w:r>
      <w:r w:rsidRPr="00250BC3">
        <w:tab/>
        <w:t xml:space="preserve">Глобальное и региональное влияние правил ЕЭК ООН </w:t>
      </w:r>
      <w:r w:rsidR="009870FF" w:rsidRPr="009870FF">
        <w:br/>
      </w:r>
      <w:r w:rsidR="009870FF" w:rsidRPr="009870FF">
        <w:tab/>
      </w:r>
      <w:r w:rsidR="009870FF" w:rsidRPr="009870FF">
        <w:tab/>
      </w:r>
      <w:r w:rsidR="009870FF" w:rsidRPr="009870FF">
        <w:tab/>
      </w:r>
      <w:r w:rsidRPr="00250BC3">
        <w:t>и Рекомендаций ООН по перевозке опасных грузов</w:t>
      </w:r>
      <w:r w:rsidR="009870FF" w:rsidRPr="009870FF">
        <w:t xml:space="preserve"> </w:t>
      </w:r>
      <w:r w:rsidRPr="00250BC3">
        <w:tab/>
      </w:r>
      <w:r w:rsidRPr="00250BC3">
        <w:tab/>
        <w:t>63</w:t>
      </w:r>
      <w:r w:rsidRPr="00250BC3">
        <w:tab/>
      </w:r>
      <w:r w:rsidR="00CB6DCB">
        <w:t>16</w:t>
      </w:r>
    </w:p>
    <w:p w:rsidR="00250BC3" w:rsidRPr="00250BC3" w:rsidRDefault="00250BC3" w:rsidP="00C9341C">
      <w:pPr>
        <w:pStyle w:val="SingleTxtGR"/>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250BC3">
        <w:tab/>
      </w:r>
      <w:r w:rsidRPr="00250BC3">
        <w:tab/>
        <w:t>E.</w:t>
      </w:r>
      <w:r w:rsidRPr="00250BC3">
        <w:tab/>
        <w:t xml:space="preserve">Семидесятая годовщина Комитета по внутреннему </w:t>
      </w:r>
      <w:r w:rsidR="009870FF" w:rsidRPr="009870FF">
        <w:br/>
      </w:r>
      <w:r w:rsidR="009870FF" w:rsidRPr="009870FF">
        <w:tab/>
      </w:r>
      <w:r w:rsidR="009870FF" w:rsidRPr="009870FF">
        <w:tab/>
      </w:r>
      <w:r w:rsidR="009870FF" w:rsidRPr="009870FF">
        <w:tab/>
      </w:r>
      <w:r w:rsidRPr="00250BC3">
        <w:t>транспорту ЕЭК ООН</w:t>
      </w:r>
      <w:r w:rsidR="009870FF" w:rsidRPr="009870FF">
        <w:t xml:space="preserve"> </w:t>
      </w:r>
      <w:r w:rsidRPr="00250BC3">
        <w:tab/>
      </w:r>
      <w:r w:rsidR="009870FF" w:rsidRPr="009870FF">
        <w:tab/>
      </w:r>
      <w:r w:rsidRPr="00250BC3">
        <w:t>64</w:t>
      </w:r>
      <w:r w:rsidRPr="00250BC3">
        <w:tab/>
      </w:r>
      <w:r w:rsidR="00CB6DCB">
        <w:t>16</w:t>
      </w:r>
    </w:p>
    <w:p w:rsidR="00250BC3" w:rsidRPr="00C9341C" w:rsidRDefault="00250BC3" w:rsidP="00C9341C">
      <w:pPr>
        <w:pStyle w:val="SingleTxtGR"/>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250BC3">
        <w:tab/>
      </w:r>
      <w:r w:rsidRPr="00250BC3">
        <w:tab/>
        <w:t>F.</w:t>
      </w:r>
      <w:r w:rsidRPr="00250BC3">
        <w:tab/>
        <w:t xml:space="preserve">Русская терминология, касающаяся терминов «информационные </w:t>
      </w:r>
      <w:r w:rsidR="009870FF" w:rsidRPr="009870FF">
        <w:br/>
      </w:r>
      <w:r w:rsidR="009870FF" w:rsidRPr="009870FF">
        <w:tab/>
      </w:r>
      <w:r w:rsidR="009870FF" w:rsidRPr="009870FF">
        <w:tab/>
      </w:r>
      <w:r w:rsidR="009870FF" w:rsidRPr="009870FF">
        <w:tab/>
      </w:r>
      <w:r w:rsidRPr="00250BC3">
        <w:t>табло» и «размещение информационных табло»</w:t>
      </w:r>
      <w:r w:rsidR="009870FF" w:rsidRPr="009870FF">
        <w:t xml:space="preserve"> </w:t>
      </w:r>
      <w:r w:rsidRPr="00250BC3">
        <w:tab/>
      </w:r>
      <w:r w:rsidRPr="00250BC3">
        <w:tab/>
        <w:t>65</w:t>
      </w:r>
      <w:r w:rsidR="009870FF" w:rsidRPr="00C9341C">
        <w:tab/>
      </w:r>
      <w:r w:rsidR="00CB6DCB">
        <w:t>17</w:t>
      </w:r>
    </w:p>
    <w:p w:rsidR="00250BC3" w:rsidRPr="00250BC3" w:rsidRDefault="00250BC3" w:rsidP="00C9341C">
      <w:pPr>
        <w:pStyle w:val="SingleTxtGR"/>
        <w:tabs>
          <w:tab w:val="clear" w:pos="1701"/>
          <w:tab w:val="clear" w:pos="2268"/>
          <w:tab w:val="clear" w:pos="2835"/>
          <w:tab w:val="clear" w:pos="3402"/>
          <w:tab w:val="clear" w:pos="3969"/>
          <w:tab w:val="right" w:pos="850"/>
          <w:tab w:val="left" w:pos="1134"/>
          <w:tab w:val="left" w:pos="1559"/>
          <w:tab w:val="left" w:pos="1984"/>
          <w:tab w:val="left" w:leader="dot" w:pos="8007"/>
          <w:tab w:val="right" w:pos="8929"/>
          <w:tab w:val="right" w:pos="9638"/>
        </w:tabs>
        <w:suppressAutoHyphens/>
        <w:ind w:left="0" w:right="0"/>
        <w:jc w:val="left"/>
      </w:pPr>
      <w:r w:rsidRPr="00250BC3">
        <w:tab/>
        <w:t>XI.</w:t>
      </w:r>
      <w:r w:rsidRPr="00250BC3">
        <w:tab/>
        <w:t>Утверждение доклада (пункт 10 повестки дня)</w:t>
      </w:r>
      <w:r w:rsidR="009870FF" w:rsidRPr="009870FF">
        <w:t xml:space="preserve"> </w:t>
      </w:r>
      <w:r w:rsidRPr="00250BC3">
        <w:tab/>
      </w:r>
      <w:r w:rsidRPr="00250BC3">
        <w:tab/>
        <w:t>66</w:t>
      </w:r>
      <w:r w:rsidRPr="00250BC3">
        <w:tab/>
      </w:r>
      <w:r w:rsidR="00CB6DCB">
        <w:t>17</w:t>
      </w:r>
    </w:p>
    <w:p w:rsidR="00250BC3" w:rsidRPr="00250BC3" w:rsidRDefault="00250BC3" w:rsidP="000C6A59">
      <w:pPr>
        <w:pStyle w:val="SingleTxtGR"/>
        <w:tabs>
          <w:tab w:val="clear" w:pos="1701"/>
          <w:tab w:val="clear" w:pos="2268"/>
          <w:tab w:val="clear" w:pos="2835"/>
          <w:tab w:val="clear" w:pos="3402"/>
          <w:tab w:val="clear" w:pos="3969"/>
          <w:tab w:val="right" w:pos="850"/>
          <w:tab w:val="left" w:pos="1134"/>
          <w:tab w:val="left" w:pos="1559"/>
          <w:tab w:val="left" w:pos="1984"/>
          <w:tab w:val="left" w:leader="dot" w:pos="7937"/>
          <w:tab w:val="right" w:pos="8929"/>
          <w:tab w:val="right" w:pos="9638"/>
        </w:tabs>
        <w:suppressAutoHyphens/>
        <w:ind w:left="0" w:right="0"/>
        <w:jc w:val="left"/>
      </w:pPr>
      <w:r w:rsidRPr="00250BC3">
        <w:t>Приложения</w:t>
      </w:r>
    </w:p>
    <w:p w:rsidR="00250BC3" w:rsidRPr="00CB6DCB" w:rsidRDefault="00250BC3" w:rsidP="00164E11">
      <w:pPr>
        <w:pStyle w:val="SingleTxtGR"/>
        <w:tabs>
          <w:tab w:val="clear" w:pos="1701"/>
          <w:tab w:val="clear" w:pos="2268"/>
          <w:tab w:val="clear" w:pos="2835"/>
          <w:tab w:val="clear" w:pos="3402"/>
          <w:tab w:val="clear" w:pos="3969"/>
          <w:tab w:val="right" w:pos="850"/>
          <w:tab w:val="left" w:pos="1134"/>
          <w:tab w:val="left" w:pos="1559"/>
          <w:tab w:val="left" w:pos="1984"/>
          <w:tab w:val="left" w:leader="dot" w:pos="9253"/>
          <w:tab w:val="right" w:pos="9638"/>
        </w:tabs>
        <w:suppressAutoHyphens/>
        <w:ind w:left="0" w:right="0"/>
        <w:jc w:val="left"/>
        <w:rPr>
          <w:lang w:val="en-US"/>
        </w:rPr>
      </w:pPr>
      <w:r w:rsidRPr="00250BC3">
        <w:tab/>
        <w:t>I.</w:t>
      </w:r>
      <w:r w:rsidRPr="00250BC3">
        <w:tab/>
        <w:t xml:space="preserve">Доклад Рабочей группы по цистернам </w:t>
      </w:r>
      <w:r w:rsidR="009870FF" w:rsidRPr="009870FF">
        <w:br/>
      </w:r>
      <w:r w:rsidR="009870FF" w:rsidRPr="009870FF">
        <w:tab/>
      </w:r>
      <w:r w:rsidR="009870FF" w:rsidRPr="009870FF">
        <w:tab/>
      </w:r>
      <w:r w:rsidRPr="00250BC3">
        <w:t xml:space="preserve">(см. </w:t>
      </w:r>
      <w:r w:rsidRPr="009870FF">
        <w:rPr>
          <w:lang w:val="en-US"/>
        </w:rPr>
        <w:t>ECE/TRANS/WP.15/AC.1/144/Add.1)</w:t>
      </w:r>
      <w:r w:rsidR="009870FF">
        <w:rPr>
          <w:lang w:val="en-US"/>
        </w:rPr>
        <w:t xml:space="preserve"> </w:t>
      </w:r>
      <w:r w:rsidRPr="009870FF">
        <w:rPr>
          <w:lang w:val="en-US"/>
        </w:rPr>
        <w:tab/>
      </w:r>
      <w:r w:rsidRPr="00CB6DCB">
        <w:rPr>
          <w:lang w:val="en-US"/>
        </w:rPr>
        <w:tab/>
      </w:r>
      <w:r w:rsidR="00CB6DCB" w:rsidRPr="00CB6DCB">
        <w:rPr>
          <w:lang w:val="en-US"/>
        </w:rPr>
        <w:t>18</w:t>
      </w:r>
    </w:p>
    <w:p w:rsidR="00250BC3" w:rsidRPr="00250BC3" w:rsidRDefault="00250BC3" w:rsidP="00164E11">
      <w:pPr>
        <w:pStyle w:val="SingleTxtGR"/>
        <w:tabs>
          <w:tab w:val="clear" w:pos="1701"/>
          <w:tab w:val="clear" w:pos="2268"/>
          <w:tab w:val="clear" w:pos="2835"/>
          <w:tab w:val="clear" w:pos="3402"/>
          <w:tab w:val="clear" w:pos="3969"/>
          <w:tab w:val="right" w:pos="850"/>
          <w:tab w:val="left" w:pos="1134"/>
          <w:tab w:val="left" w:pos="1559"/>
          <w:tab w:val="left" w:pos="1984"/>
          <w:tab w:val="left" w:leader="dot" w:pos="9253"/>
          <w:tab w:val="right" w:pos="9638"/>
        </w:tabs>
        <w:suppressAutoHyphens/>
        <w:ind w:left="0" w:right="0"/>
        <w:jc w:val="left"/>
      </w:pPr>
      <w:r w:rsidRPr="00CB6DCB">
        <w:rPr>
          <w:lang w:val="en-US"/>
        </w:rPr>
        <w:tab/>
      </w:r>
      <w:r w:rsidRPr="00250BC3">
        <w:t>II.</w:t>
      </w:r>
      <w:r w:rsidRPr="00250BC3">
        <w:tab/>
        <w:t>Предложения о поправках к МПОГ/ДОПОГ/ВОПОГ</w:t>
      </w:r>
      <w:r w:rsidR="009870FF" w:rsidRPr="009870FF">
        <w:t xml:space="preserve"> </w:t>
      </w:r>
      <w:r w:rsidR="00164E11">
        <w:tab/>
      </w:r>
      <w:r w:rsidR="00164E11">
        <w:tab/>
      </w:r>
      <w:r w:rsidR="00CB6DCB">
        <w:t>19</w:t>
      </w:r>
    </w:p>
    <w:p w:rsidR="00250BC3" w:rsidRPr="00293D66" w:rsidRDefault="00250BC3" w:rsidP="00164E11">
      <w:pPr>
        <w:pStyle w:val="SingleTxtGR"/>
        <w:tabs>
          <w:tab w:val="clear" w:pos="1701"/>
          <w:tab w:val="clear" w:pos="2268"/>
          <w:tab w:val="clear" w:pos="2835"/>
          <w:tab w:val="clear" w:pos="3402"/>
          <w:tab w:val="clear" w:pos="3969"/>
          <w:tab w:val="right" w:pos="850"/>
          <w:tab w:val="left" w:pos="1134"/>
          <w:tab w:val="left" w:pos="1559"/>
          <w:tab w:val="left" w:pos="1984"/>
          <w:tab w:val="left" w:leader="dot" w:pos="9253"/>
          <w:tab w:val="right" w:pos="9638"/>
        </w:tabs>
        <w:suppressAutoHyphens/>
        <w:ind w:left="0" w:right="0"/>
        <w:jc w:val="left"/>
      </w:pPr>
      <w:r w:rsidRPr="00250BC3">
        <w:tab/>
        <w:t>III.</w:t>
      </w:r>
      <w:r w:rsidRPr="00250BC3">
        <w:tab/>
        <w:t xml:space="preserve">Проект исправлений к МПОГ/ДОПОГ/ВОПОГ, </w:t>
      </w:r>
      <w:proofErr w:type="gramStart"/>
      <w:r w:rsidRPr="00250BC3">
        <w:t>измененному</w:t>
      </w:r>
      <w:proofErr w:type="gramEnd"/>
      <w:r w:rsidRPr="00250BC3">
        <w:t xml:space="preserve"> </w:t>
      </w:r>
      <w:r w:rsidR="009870FF" w:rsidRPr="009870FF">
        <w:br/>
      </w:r>
      <w:r w:rsidR="009870FF" w:rsidRPr="009870FF">
        <w:tab/>
      </w:r>
      <w:r w:rsidR="009870FF" w:rsidRPr="009870FF">
        <w:tab/>
      </w:r>
      <w:r w:rsidRPr="00250BC3">
        <w:t>в соответствии с поправками, вступающими в силу 1 января 2017 года</w:t>
      </w:r>
      <w:r w:rsidR="009870FF" w:rsidRPr="009870FF">
        <w:t xml:space="preserve"> </w:t>
      </w:r>
      <w:r w:rsidR="009870FF" w:rsidRPr="009870FF">
        <w:tab/>
      </w:r>
      <w:r w:rsidR="009870FF" w:rsidRPr="00293D66">
        <w:tab/>
      </w:r>
      <w:r w:rsidR="00293D66">
        <w:t>27</w:t>
      </w:r>
    </w:p>
    <w:p w:rsidR="004A2521" w:rsidRPr="004A2521" w:rsidRDefault="004A2521" w:rsidP="00164E11">
      <w:pPr>
        <w:pStyle w:val="HChGR"/>
        <w:pageBreakBefore/>
      </w:pPr>
      <w:r w:rsidRPr="004A2521">
        <w:lastRenderedPageBreak/>
        <w:tab/>
      </w:r>
      <w:r w:rsidRPr="004A2521">
        <w:tab/>
        <w:t>Доклад</w:t>
      </w:r>
    </w:p>
    <w:p w:rsidR="004A2521" w:rsidRPr="004A2521" w:rsidRDefault="004A2521" w:rsidP="00301D47">
      <w:pPr>
        <w:pStyle w:val="HChGR"/>
      </w:pPr>
      <w:r w:rsidRPr="004A2521">
        <w:tab/>
        <w:t>I.</w:t>
      </w:r>
      <w:r w:rsidRPr="004A2521">
        <w:tab/>
        <w:t>Участники</w:t>
      </w:r>
    </w:p>
    <w:p w:rsidR="004A2521" w:rsidRPr="004A2521" w:rsidRDefault="004A2521" w:rsidP="004A2521">
      <w:pPr>
        <w:pStyle w:val="SingleTxtGR"/>
      </w:pPr>
      <w:r w:rsidRPr="004A2521">
        <w:t>1.</w:t>
      </w:r>
      <w:r w:rsidRPr="004A2521">
        <w:tab/>
        <w:t xml:space="preserve">Совместное совещание Комиссии экспертов МПОГ и Рабочей группы по перевозкам опасных грузов ЕЭК ООН провело свою сессию в Женеве </w:t>
      </w:r>
      <w:r w:rsidRPr="004A2521">
        <w:br/>
        <w:t>19–23 сентября 2016 года под руководством Председателя г-на К. </w:t>
      </w:r>
      <w:proofErr w:type="spellStart"/>
      <w:r w:rsidRPr="004A2521">
        <w:t>Пфоваделя</w:t>
      </w:r>
      <w:proofErr w:type="spellEnd"/>
      <w:r w:rsidRPr="004A2521">
        <w:t xml:space="preserve"> (Франция) и заместителя Председателя г-на Х. </w:t>
      </w:r>
      <w:proofErr w:type="spellStart"/>
      <w:r w:rsidRPr="004A2521">
        <w:t>Райна</w:t>
      </w:r>
      <w:proofErr w:type="spellEnd"/>
      <w:r w:rsidRPr="004A2521">
        <w:t xml:space="preserve"> (Германия).</w:t>
      </w:r>
    </w:p>
    <w:p w:rsidR="004A2521" w:rsidRPr="004A2521" w:rsidRDefault="004A2521" w:rsidP="004A2521">
      <w:pPr>
        <w:pStyle w:val="SingleTxtGR"/>
      </w:pPr>
      <w:r w:rsidRPr="004A2521">
        <w:t>2.</w:t>
      </w:r>
      <w:r w:rsidRPr="004A2521">
        <w:tab/>
        <w:t>В соответствии с пунктом </w:t>
      </w:r>
      <w:r w:rsidR="001D00B5">
        <w:rPr>
          <w:iCs/>
        </w:rPr>
        <w:t>а)</w:t>
      </w:r>
      <w:r w:rsidRPr="004A2521">
        <w:t xml:space="preserve"> правила 1 правил процедуры Совместного совещания (ECE/TRANS/WP.15/AC.1/112/Add.2) в работе сессии на полнопра</w:t>
      </w:r>
      <w:r w:rsidRPr="004A2521">
        <w:t>в</w:t>
      </w:r>
      <w:r w:rsidRPr="004A2521">
        <w:t xml:space="preserve">ных началах участвовали представители следующих стран: </w:t>
      </w:r>
      <w:proofErr w:type="gramStart"/>
      <w:r w:rsidRPr="004A2521">
        <w:t>Австрии, Бельгии, Германии, Дании, Испании, Италии, Латвии, Литвы, Люксембурга, Нидерла</w:t>
      </w:r>
      <w:r w:rsidRPr="004A2521">
        <w:t>н</w:t>
      </w:r>
      <w:r w:rsidRPr="004A2521">
        <w:t>дов, Норвегии, Польши, Португалии, Российской Федерации, Румынии, Слов</w:t>
      </w:r>
      <w:r w:rsidRPr="004A2521">
        <w:t>а</w:t>
      </w:r>
      <w:r w:rsidRPr="004A2521">
        <w:t>кии, Соединенного Королевства, Соединенных Штатов Америки, Турции, Фи</w:t>
      </w:r>
      <w:r w:rsidRPr="004A2521">
        <w:t>н</w:t>
      </w:r>
      <w:r w:rsidRPr="004A2521">
        <w:t>ляндии, Франции, Хорватии, Чешской Республики, Швейцарии и Швеции.</w:t>
      </w:r>
      <w:proofErr w:type="gramEnd"/>
    </w:p>
    <w:p w:rsidR="004A2521" w:rsidRPr="004A2521" w:rsidRDefault="004A2521" w:rsidP="004A2521">
      <w:pPr>
        <w:pStyle w:val="SingleTxtGR"/>
      </w:pPr>
      <w:r w:rsidRPr="004A2521">
        <w:t>3.</w:t>
      </w:r>
      <w:r w:rsidRPr="004A2521">
        <w:tab/>
        <w:t>В соответствии с пунктами </w:t>
      </w:r>
      <w:r w:rsidRPr="001D00B5">
        <w:rPr>
          <w:iCs/>
        </w:rPr>
        <w:t>с</w:t>
      </w:r>
      <w:r w:rsidR="001D00B5">
        <w:rPr>
          <w:iCs/>
        </w:rPr>
        <w:t>)</w:t>
      </w:r>
      <w:r w:rsidRPr="001D00B5">
        <w:rPr>
          <w:iCs/>
        </w:rPr>
        <w:t xml:space="preserve"> и d</w:t>
      </w:r>
      <w:r w:rsidR="001D00B5">
        <w:rPr>
          <w:iCs/>
        </w:rPr>
        <w:t>)</w:t>
      </w:r>
      <w:r w:rsidRPr="001D00B5">
        <w:rPr>
          <w:iCs/>
        </w:rPr>
        <w:t xml:space="preserve"> </w:t>
      </w:r>
      <w:r w:rsidRPr="004A2521">
        <w:t>правила 1 правил процедуры в работе сессии на консультативных началах участвовали представители:</w:t>
      </w:r>
    </w:p>
    <w:p w:rsidR="004A2521" w:rsidRPr="004A2521" w:rsidRDefault="004A2521" w:rsidP="004A2521">
      <w:pPr>
        <w:pStyle w:val="SingleTxtGR"/>
      </w:pPr>
      <w:r w:rsidRPr="004A2521">
        <w:tab/>
        <w:t>а)</w:t>
      </w:r>
      <w:r w:rsidRPr="004A2521">
        <w:tab/>
        <w:t xml:space="preserve">Европейского союза и Организации </w:t>
      </w:r>
      <w:proofErr w:type="gramStart"/>
      <w:r w:rsidRPr="004A2521">
        <w:t>сотрудничества</w:t>
      </w:r>
      <w:proofErr w:type="gramEnd"/>
      <w:r w:rsidRPr="004A2521">
        <w:t xml:space="preserve"> железных д</w:t>
      </w:r>
      <w:r w:rsidRPr="004A2521">
        <w:t>о</w:t>
      </w:r>
      <w:r w:rsidRPr="004A2521">
        <w:t>рог (ОСЖД);</w:t>
      </w:r>
    </w:p>
    <w:p w:rsidR="004A2521" w:rsidRPr="004A2521" w:rsidRDefault="004A2521" w:rsidP="004A2521">
      <w:pPr>
        <w:pStyle w:val="SingleTxtGR"/>
      </w:pPr>
      <w:r w:rsidRPr="004A2521">
        <w:tab/>
        <w:t>b)</w:t>
      </w:r>
      <w:r w:rsidRPr="004A2521">
        <w:tab/>
        <w:t xml:space="preserve">следующих международных неправительственных организаций: </w:t>
      </w:r>
      <w:proofErr w:type="gramStart"/>
      <w:r w:rsidRPr="004A2521">
        <w:t>Европейского комитета по стандартизации (ЕКС), Европейского совета химич</w:t>
      </w:r>
      <w:r w:rsidRPr="004A2521">
        <w:t>е</w:t>
      </w:r>
      <w:r w:rsidRPr="004A2521">
        <w:t>ской промышленности (ЕСФХП), Европейской ассоциации консультантов по вопросам безопасности при перевозке опасных грузов (EASA), Европейской а</w:t>
      </w:r>
      <w:r w:rsidRPr="004A2521">
        <w:t>с</w:t>
      </w:r>
      <w:r w:rsidRPr="004A2521">
        <w:t>социации по промышленным газам (ЕАПГ), Европейской ассоциации по сж</w:t>
      </w:r>
      <w:r w:rsidRPr="004A2521">
        <w:t>и</w:t>
      </w:r>
      <w:r w:rsidRPr="004A2521">
        <w:t>женным нефтяным газам (ЕАСНГ), Европейской ассоциации по усоверше</w:t>
      </w:r>
      <w:r w:rsidRPr="004A2521">
        <w:t>н</w:t>
      </w:r>
      <w:r w:rsidRPr="004A2521">
        <w:t>ствованным перезаряжаемым батареям (</w:t>
      </w:r>
      <w:bookmarkStart w:id="3" w:name="hit2"/>
      <w:bookmarkEnd w:id="3"/>
      <w:r w:rsidRPr="004A2521">
        <w:t>RECHARGE), Европейской ассоциации производителей баллонов (ЕАПБ), Европейской конференции поставщиков топлива (ЕКПТ), Европейской федерации по управлению отходами и природ</w:t>
      </w:r>
      <w:r w:rsidRPr="004A2521">
        <w:t>о</w:t>
      </w:r>
      <w:r w:rsidRPr="004A2521">
        <w:t>охранным технологиям (ФЕАД</w:t>
      </w:r>
      <w:proofErr w:type="gramEnd"/>
      <w:r w:rsidRPr="004A2521">
        <w:t>), «</w:t>
      </w:r>
      <w:proofErr w:type="spellStart"/>
      <w:proofErr w:type="gramStart"/>
      <w:r w:rsidRPr="004A2521">
        <w:t>Косметикс</w:t>
      </w:r>
      <w:proofErr w:type="spellEnd"/>
      <w:r w:rsidRPr="004A2521">
        <w:t xml:space="preserve"> </w:t>
      </w:r>
      <w:proofErr w:type="spellStart"/>
      <w:r w:rsidRPr="004A2521">
        <w:t>Еуроп</w:t>
      </w:r>
      <w:proofErr w:type="spellEnd"/>
      <w:r w:rsidRPr="004A2521">
        <w:t>», Международного союза автомобильного транспорта (МСАТ), Международного союза ассоциаций час</w:t>
      </w:r>
      <w:r w:rsidRPr="004A2521">
        <w:t>т</w:t>
      </w:r>
      <w:r w:rsidRPr="004A2521">
        <w:t>ных владельцев грузовых вагонов (МСАГВ), Международного союза железных дорог (МСЖД), Международной ассоциации изготовителей автомобильных к</w:t>
      </w:r>
      <w:r w:rsidRPr="004A2521">
        <w:t>у</w:t>
      </w:r>
      <w:r w:rsidRPr="004A2521">
        <w:t>зовов и прицепов (МАИАКП), Международной ассоциации производителей мыла детергентов и средств бытовой химии (МАПМ), Международной орган</w:t>
      </w:r>
      <w:r w:rsidRPr="004A2521">
        <w:t>и</w:t>
      </w:r>
      <w:r w:rsidRPr="004A2521">
        <w:t xml:space="preserve">зации производителей контейнеров-цистерн (МОКЦ), Федерации европейских ассоциаций производителей аэрозолей (ФЕА) и </w:t>
      </w:r>
      <w:proofErr w:type="spellStart"/>
      <w:r w:rsidRPr="004A2521">
        <w:t>ФьюэлзЕуроп</w:t>
      </w:r>
      <w:proofErr w:type="spellEnd"/>
      <w:r w:rsidRPr="004A2521">
        <w:t>;</w:t>
      </w:r>
      <w:proofErr w:type="gramEnd"/>
    </w:p>
    <w:p w:rsidR="004A2521" w:rsidRPr="004A2521" w:rsidRDefault="004A2521" w:rsidP="004A2521">
      <w:pPr>
        <w:pStyle w:val="SingleTxtGR"/>
      </w:pPr>
      <w:r w:rsidRPr="004A2521">
        <w:tab/>
        <w:t>c)</w:t>
      </w:r>
      <w:r w:rsidRPr="004A2521">
        <w:tab/>
        <w:t>Совета по безопасной перевозке опасных изделий (COSTHA) тол</w:t>
      </w:r>
      <w:r w:rsidRPr="004A2521">
        <w:t>ь</w:t>
      </w:r>
      <w:r w:rsidRPr="004A2521">
        <w:t>ко в связи с его просьбой о предоставлени</w:t>
      </w:r>
      <w:r w:rsidR="00301D47">
        <w:t>и консультативного статуса (см.</w:t>
      </w:r>
      <w:r w:rsidR="00301D47">
        <w:rPr>
          <w:lang w:val="en-US"/>
        </w:rPr>
        <w:t> </w:t>
      </w:r>
      <w:r w:rsidRPr="004A2521">
        <w:t>пункты 57–58).</w:t>
      </w:r>
    </w:p>
    <w:p w:rsidR="004A2521" w:rsidRPr="004A2521" w:rsidRDefault="004A2521" w:rsidP="00301D47">
      <w:pPr>
        <w:pStyle w:val="HChGR"/>
      </w:pPr>
      <w:r w:rsidRPr="004A2521">
        <w:tab/>
        <w:t>II.</w:t>
      </w:r>
      <w:r w:rsidRPr="004A2521">
        <w:tab/>
        <w:t>Утверждение повестки дня (пункт 1 повестки дня)</w:t>
      </w:r>
    </w:p>
    <w:p w:rsidR="004A2521" w:rsidRPr="004A2521" w:rsidRDefault="004A2521" w:rsidP="004A2521">
      <w:pPr>
        <w:pStyle w:val="SingleTxtGR"/>
      </w:pPr>
      <w:r w:rsidRPr="004A2521">
        <w:rPr>
          <w:i/>
        </w:rPr>
        <w:t>Документы:</w:t>
      </w:r>
      <w:r w:rsidR="00301D47" w:rsidRPr="00301D47">
        <w:rPr>
          <w:i/>
        </w:rPr>
        <w:tab/>
      </w:r>
      <w:r w:rsidRPr="004A2521">
        <w:t>ECE/TRANS/WP.15/AC.1/143 и Add.1</w:t>
      </w:r>
    </w:p>
    <w:p w:rsidR="004A2521" w:rsidRPr="004A2521" w:rsidRDefault="004A2521" w:rsidP="004A2521">
      <w:pPr>
        <w:pStyle w:val="SingleTxtGR"/>
      </w:pPr>
      <w:r w:rsidRPr="004A2521">
        <w:rPr>
          <w:i/>
        </w:rPr>
        <w:t>Неофициальные документы:</w:t>
      </w:r>
      <w:r w:rsidRPr="004A2521">
        <w:rPr>
          <w:i/>
        </w:rPr>
        <w:tab/>
      </w:r>
      <w:r w:rsidRPr="004A2521">
        <w:t>INF.1 и INF.2 (секретариат)</w:t>
      </w:r>
    </w:p>
    <w:p w:rsidR="004A2521" w:rsidRPr="004A2521" w:rsidRDefault="004A2521" w:rsidP="004A2521">
      <w:pPr>
        <w:pStyle w:val="SingleTxtGR"/>
      </w:pPr>
      <w:r w:rsidRPr="004A2521">
        <w:t>4.</w:t>
      </w:r>
      <w:r w:rsidRPr="004A2521">
        <w:tab/>
        <w:t>Совместное совещание утвердило повестку дня, предложенную секрет</w:t>
      </w:r>
      <w:r w:rsidRPr="004A2521">
        <w:t>а</w:t>
      </w:r>
      <w:r w:rsidRPr="004A2521">
        <w:t>риатом в документах ECE/TRANS/WP.15/AC.1/143 и Add.1 (письмо </w:t>
      </w:r>
      <w:r w:rsidRPr="004A2521">
        <w:rPr>
          <w:iCs/>
        </w:rPr>
        <w:t>A </w:t>
      </w:r>
      <w:r w:rsidRPr="004A2521">
        <w:t>81-02/503.2016</w:t>
      </w:r>
      <w:r w:rsidRPr="004A2521">
        <w:rPr>
          <w:i/>
        </w:rPr>
        <w:t xml:space="preserve"> </w:t>
      </w:r>
      <w:r w:rsidRPr="004A2521">
        <w:t>ОТИФ), обновленных в неофициальных документах INF.1 и INF.2.</w:t>
      </w:r>
    </w:p>
    <w:p w:rsidR="004A2521" w:rsidRPr="004A2521" w:rsidRDefault="004A2521" w:rsidP="004A2521">
      <w:pPr>
        <w:pStyle w:val="SingleTxtGR"/>
      </w:pPr>
      <w:r w:rsidRPr="004A2521">
        <w:lastRenderedPageBreak/>
        <w:t>5.</w:t>
      </w:r>
      <w:r w:rsidRPr="004A2521">
        <w:tab/>
        <w:t>Представитель Франции отметила, что документация, относящаяся к н</w:t>
      </w:r>
      <w:r w:rsidRPr="004A2521">
        <w:t>ы</w:t>
      </w:r>
      <w:r w:rsidRPr="004A2521">
        <w:t>нешней сессии, была подготовлена заблаговременно, и выразила удовлетвор</w:t>
      </w:r>
      <w:r w:rsidRPr="004A2521">
        <w:t>е</w:t>
      </w:r>
      <w:r w:rsidRPr="004A2521">
        <w:t>ние в связи с этим явным улучшением работы служб письменного перевода и управления документацией.</w:t>
      </w:r>
    </w:p>
    <w:p w:rsidR="004A2521" w:rsidRPr="004A2521" w:rsidRDefault="004A2521" w:rsidP="003C31FC">
      <w:pPr>
        <w:pStyle w:val="HChGR"/>
      </w:pPr>
      <w:r w:rsidRPr="004A2521">
        <w:tab/>
        <w:t>III.</w:t>
      </w:r>
      <w:r w:rsidRPr="004A2521">
        <w:tab/>
        <w:t>Цистерны (пункт 2 повестки дня)</w:t>
      </w:r>
    </w:p>
    <w:p w:rsidR="004A2521" w:rsidRPr="004A2521" w:rsidRDefault="004A2521" w:rsidP="00301D47">
      <w:pPr>
        <w:pStyle w:val="SingleTxtGR"/>
        <w:jc w:val="left"/>
        <w:rPr>
          <w:i/>
        </w:rPr>
      </w:pPr>
      <w:r w:rsidRPr="004A2521">
        <w:rPr>
          <w:i/>
        </w:rPr>
        <w:t>Документы:</w:t>
      </w:r>
      <w:r w:rsidRPr="004A2521">
        <w:tab/>
        <w:t xml:space="preserve">ECE/TRANS/WP.15/AC.1/2016/20 (ЕКС) (Запрос </w:t>
      </w:r>
      <w:r w:rsidR="00B96456" w:rsidRPr="00B96456">
        <w:br/>
      </w:r>
      <w:r w:rsidR="00B96456" w:rsidRPr="00B96456">
        <w:tab/>
      </w:r>
      <w:r w:rsidR="00B96456" w:rsidRPr="00B96456">
        <w:tab/>
      </w:r>
      <w:r w:rsidR="00B96456" w:rsidRPr="00B96456">
        <w:tab/>
      </w:r>
      <w:r w:rsidRPr="004A2521">
        <w:t xml:space="preserve">о предоставлении заключения относительно стандартов </w:t>
      </w:r>
      <w:r w:rsidR="00B96456" w:rsidRPr="00B96456">
        <w:br/>
      </w:r>
      <w:r w:rsidR="00B96456" w:rsidRPr="00B96456">
        <w:tab/>
      </w:r>
      <w:r w:rsidR="00B96456" w:rsidRPr="00B96456">
        <w:tab/>
      </w:r>
      <w:r w:rsidR="00B96456" w:rsidRPr="00B96456">
        <w:tab/>
      </w:r>
      <w:r w:rsidRPr="004A2521">
        <w:t>EN 16522 и ISO 16852)</w:t>
      </w:r>
    </w:p>
    <w:p w:rsidR="004A2521" w:rsidRPr="004A2521" w:rsidRDefault="004A2521" w:rsidP="00B96456">
      <w:pPr>
        <w:pStyle w:val="SingleTxtGR"/>
        <w:ind w:left="2835"/>
        <w:jc w:val="left"/>
      </w:pPr>
      <w:r w:rsidRPr="004A2521">
        <w:t>ECE/TRANS/WP.15/AC.1/2016/21 (ЕАПГ) (Эксплуатационное оборудование цистерн)</w:t>
      </w:r>
    </w:p>
    <w:p w:rsidR="004A2521" w:rsidRPr="004A2521" w:rsidRDefault="004A2521" w:rsidP="00B96456">
      <w:pPr>
        <w:pStyle w:val="SingleTxtGR"/>
        <w:ind w:left="2835"/>
        <w:jc w:val="left"/>
      </w:pPr>
      <w:r w:rsidRPr="004A2521">
        <w:t>ECE/TRANS/WP.15/AC.1/2016/23 (Российская Федерация) (Указание в транспортном документе остаточного давления в</w:t>
      </w:r>
      <w:r w:rsidR="00B96456">
        <w:rPr>
          <w:lang w:val="en-US"/>
        </w:rPr>
        <w:t> </w:t>
      </w:r>
      <w:r w:rsidRPr="004A2521">
        <w:t>порожних цистернах, содержавших газы)</w:t>
      </w:r>
    </w:p>
    <w:p w:rsidR="004A2521" w:rsidRPr="004A2521" w:rsidRDefault="004A2521" w:rsidP="00B96456">
      <w:pPr>
        <w:pStyle w:val="SingleTxtGR"/>
        <w:ind w:left="2835"/>
        <w:jc w:val="left"/>
      </w:pPr>
      <w:r w:rsidRPr="004A2521">
        <w:t xml:space="preserve">ECE/TRANS/WP.15/AC.1/2016/25 (Нидерланды) (Общие </w:t>
      </w:r>
      <w:r w:rsidR="00B96456" w:rsidRPr="00B96456">
        <w:br/>
      </w:r>
      <w:r w:rsidRPr="004A2521">
        <w:t xml:space="preserve">требования, касающиеся предохранительных клапанов </w:t>
      </w:r>
      <w:r w:rsidR="003C31FC" w:rsidRPr="003C31FC">
        <w:br/>
      </w:r>
      <w:r w:rsidRPr="004A2521">
        <w:t>на цистернах и номинального давления разрывных мембран)</w:t>
      </w:r>
    </w:p>
    <w:p w:rsidR="004A2521" w:rsidRPr="004A2521" w:rsidRDefault="004A2521" w:rsidP="00B96456">
      <w:pPr>
        <w:pStyle w:val="SingleTxtGR"/>
        <w:ind w:left="2835"/>
        <w:jc w:val="left"/>
      </w:pPr>
      <w:r w:rsidRPr="004A2521">
        <w:t>ECE/TRANS/WP.15/AC.1/2016/26 (Нидерланды) (Различные темы, касающиеся цистерн)</w:t>
      </w:r>
    </w:p>
    <w:p w:rsidR="004A2521" w:rsidRPr="004A2521" w:rsidRDefault="004A2521" w:rsidP="00B96456">
      <w:pPr>
        <w:pStyle w:val="SingleTxtGR"/>
        <w:ind w:left="2835"/>
        <w:jc w:val="left"/>
      </w:pPr>
      <w:r w:rsidRPr="004A2521">
        <w:t xml:space="preserve">ECE/TRANS/WP.15/AC.1/2016/31 (Нидерланды) (Доклад </w:t>
      </w:r>
      <w:r w:rsidR="003C31FC" w:rsidRPr="003C31FC">
        <w:br/>
      </w:r>
      <w:r w:rsidRPr="004A2521">
        <w:t>Рабочей группы по цистернам с защитной облицовкой или защитным покрытием)</w:t>
      </w:r>
    </w:p>
    <w:p w:rsidR="004A2521" w:rsidRPr="004A2521" w:rsidRDefault="004A2521" w:rsidP="00B96456">
      <w:pPr>
        <w:pStyle w:val="SingleTxtGR"/>
        <w:ind w:left="2835"/>
        <w:jc w:val="left"/>
      </w:pPr>
      <w:r w:rsidRPr="004A2521">
        <w:t>ECE/TRANS/WP.15/AC.1/2016/36 (ЕКС) (Просьба об уточн</w:t>
      </w:r>
      <w:r w:rsidRPr="004A2521">
        <w:t>е</w:t>
      </w:r>
      <w:r w:rsidRPr="004A2521">
        <w:t xml:space="preserve">ния значения выражения «в особых случаях» в сноске 10 </w:t>
      </w:r>
      <w:r w:rsidR="003C31FC" w:rsidRPr="003C31FC">
        <w:br/>
      </w:r>
      <w:r w:rsidRPr="004A2521">
        <w:t>к пунктам 6.8.2.4.1 и 6.8.2.4.2)</w:t>
      </w:r>
    </w:p>
    <w:p w:rsidR="004A2521" w:rsidRPr="004A2521" w:rsidRDefault="004A2521" w:rsidP="00B96456">
      <w:pPr>
        <w:pStyle w:val="SingleTxtGR"/>
        <w:ind w:left="2835"/>
        <w:jc w:val="left"/>
      </w:pPr>
      <w:r w:rsidRPr="004A2521">
        <w:t xml:space="preserve">ECE/TRANS/WP.15/AC.1/2016/37 (Франция) (Перевозка </w:t>
      </w:r>
      <w:r w:rsidR="003C31FC" w:rsidRPr="003C31FC">
        <w:br/>
      </w:r>
      <w:r w:rsidRPr="004A2521">
        <w:t>цистерн для брома после истечения срока действия ежего</w:t>
      </w:r>
      <w:r w:rsidRPr="004A2521">
        <w:t>д</w:t>
      </w:r>
      <w:r w:rsidRPr="004A2521">
        <w:t>ной проверки внутренней облицовки)</w:t>
      </w:r>
    </w:p>
    <w:p w:rsidR="004A2521" w:rsidRPr="004A2521" w:rsidRDefault="004A2521" w:rsidP="00301D47">
      <w:pPr>
        <w:pStyle w:val="SingleTxtGR"/>
        <w:jc w:val="left"/>
      </w:pPr>
      <w:r w:rsidRPr="004A2521">
        <w:rPr>
          <w:i/>
        </w:rPr>
        <w:t>Неофициальные документы</w:t>
      </w:r>
      <w:r w:rsidRPr="00A34E63">
        <w:rPr>
          <w:i/>
          <w:iCs/>
        </w:rPr>
        <w:t>:</w:t>
      </w:r>
      <w:r w:rsidRPr="004A2521">
        <w:t xml:space="preserve"> </w:t>
      </w:r>
      <w:r w:rsidRPr="004A2521">
        <w:tab/>
        <w:t xml:space="preserve">INF.6 (Российская Федерация) (Предложение </w:t>
      </w:r>
      <w:r w:rsidR="00301D47" w:rsidRPr="00301D47">
        <w:br/>
      </w:r>
      <w:r w:rsidR="00301D47" w:rsidRPr="00301D47">
        <w:tab/>
      </w:r>
      <w:r w:rsidR="00301D47" w:rsidRPr="00301D47">
        <w:tab/>
      </w:r>
      <w:r w:rsidR="00301D47" w:rsidRPr="00301D47">
        <w:tab/>
      </w:r>
      <w:r w:rsidR="00301D47" w:rsidRPr="00301D47">
        <w:tab/>
      </w:r>
      <w:r w:rsidR="00301D47" w:rsidRPr="00301D47">
        <w:tab/>
      </w:r>
      <w:r w:rsidRPr="004A2521">
        <w:t>по корректировке пункта 4.3.4.1.3)</w:t>
      </w:r>
    </w:p>
    <w:p w:rsidR="004A2521" w:rsidRPr="004A2521" w:rsidRDefault="004A2521" w:rsidP="00B96456">
      <w:pPr>
        <w:pStyle w:val="SingleTxtGR"/>
        <w:ind w:left="3969"/>
        <w:jc w:val="left"/>
      </w:pPr>
      <w:r w:rsidRPr="004A2521">
        <w:tab/>
        <w:t xml:space="preserve">INF.8 (ЕАСНГ) (Замечания по документу </w:t>
      </w:r>
      <w:r w:rsidR="00B96456" w:rsidRPr="00B96456">
        <w:br/>
      </w:r>
      <w:r w:rsidRPr="004A2521">
        <w:t>-/2016/26)</w:t>
      </w:r>
    </w:p>
    <w:p w:rsidR="004A2521" w:rsidRPr="004A2521" w:rsidRDefault="004A2521" w:rsidP="00B96456">
      <w:pPr>
        <w:pStyle w:val="SingleTxtGR"/>
        <w:ind w:left="3969"/>
        <w:jc w:val="left"/>
      </w:pPr>
      <w:r w:rsidRPr="004A2521">
        <w:tab/>
        <w:t xml:space="preserve">INF.9 (ЕАСНГ) (Замечания по документу </w:t>
      </w:r>
      <w:r w:rsidRPr="004A2521">
        <w:br/>
        <w:t>-/2016/25)</w:t>
      </w:r>
    </w:p>
    <w:p w:rsidR="004A2521" w:rsidRPr="004A2521" w:rsidRDefault="004A2521" w:rsidP="00B96456">
      <w:pPr>
        <w:pStyle w:val="SingleTxtGR"/>
        <w:ind w:left="3969"/>
        <w:jc w:val="left"/>
      </w:pPr>
      <w:r w:rsidRPr="004A2521">
        <w:tab/>
        <w:t xml:space="preserve">INF.12 (Соединенное Королевство) (Доклад </w:t>
      </w:r>
      <w:r w:rsidR="00B96456" w:rsidRPr="00B96456">
        <w:br/>
      </w:r>
      <w:r w:rsidRPr="004A2521">
        <w:t xml:space="preserve">неофициальной рабочей группы по проверке </w:t>
      </w:r>
      <w:r w:rsidR="003C31FC" w:rsidRPr="003C31FC">
        <w:br/>
      </w:r>
      <w:r w:rsidRPr="004A2521">
        <w:t>и утверждению цистерн)</w:t>
      </w:r>
    </w:p>
    <w:p w:rsidR="004A2521" w:rsidRPr="004A2521" w:rsidRDefault="004A2521" w:rsidP="00B96456">
      <w:pPr>
        <w:pStyle w:val="SingleTxtGR"/>
        <w:ind w:left="3969"/>
        <w:jc w:val="left"/>
      </w:pPr>
      <w:r w:rsidRPr="004A2521">
        <w:tab/>
        <w:t>INF.16 (Соединенное Королевство) (Замечания по документу -/2016/37)</w:t>
      </w:r>
    </w:p>
    <w:p w:rsidR="004A2521" w:rsidRPr="004A2521" w:rsidRDefault="004A2521" w:rsidP="00B96456">
      <w:pPr>
        <w:pStyle w:val="SingleTxtGR"/>
        <w:ind w:left="3969"/>
        <w:jc w:val="left"/>
      </w:pPr>
      <w:r w:rsidRPr="004A2521">
        <w:tab/>
        <w:t>INF.19 (Соединенное Королевство) (Замечания по неофициальному документу INF.6)</w:t>
      </w:r>
    </w:p>
    <w:p w:rsidR="004A2521" w:rsidRPr="004A2521" w:rsidRDefault="004A2521" w:rsidP="00B96456">
      <w:pPr>
        <w:pStyle w:val="SingleTxtGR"/>
        <w:ind w:left="3969"/>
        <w:jc w:val="left"/>
      </w:pPr>
      <w:r w:rsidRPr="004A2521">
        <w:tab/>
        <w:t>INF.21 (Германия) (Опасные грузы, использу</w:t>
      </w:r>
      <w:r w:rsidRPr="004A2521">
        <w:t>е</w:t>
      </w:r>
      <w:r w:rsidRPr="004A2521">
        <w:t>мые для охлаждения цистерн)</w:t>
      </w:r>
    </w:p>
    <w:p w:rsidR="004A2521" w:rsidRPr="004A2521" w:rsidRDefault="004A2521" w:rsidP="00B96456">
      <w:pPr>
        <w:pStyle w:val="SingleTxtGR"/>
        <w:ind w:left="3969"/>
        <w:jc w:val="left"/>
      </w:pPr>
      <w:r w:rsidRPr="004A2521">
        <w:lastRenderedPageBreak/>
        <w:tab/>
        <w:t>INF.23 (Германия) (Толкование ссылки на ди</w:t>
      </w:r>
      <w:r w:rsidRPr="004A2521">
        <w:t>а</w:t>
      </w:r>
      <w:r w:rsidRPr="004A2521">
        <w:t>метр в пунктах 6.8.2.1.18 и 6.8.2.1.19)</w:t>
      </w:r>
    </w:p>
    <w:p w:rsidR="004A2521" w:rsidRPr="004A2521" w:rsidRDefault="004A2521" w:rsidP="00B96456">
      <w:pPr>
        <w:pStyle w:val="SingleTxtGR"/>
        <w:ind w:left="3969"/>
        <w:jc w:val="left"/>
      </w:pPr>
      <w:r w:rsidRPr="004A2521">
        <w:tab/>
        <w:t xml:space="preserve">INF.28 (Португалия) (Сведения, указываемые </w:t>
      </w:r>
      <w:r w:rsidR="00B96456" w:rsidRPr="00B96456">
        <w:br/>
      </w:r>
      <w:r w:rsidRPr="004A2521">
        <w:t>на табличках, прикрепленных к цистернам)</w:t>
      </w:r>
    </w:p>
    <w:p w:rsidR="004A2521" w:rsidRPr="004A2521" w:rsidRDefault="004A2521" w:rsidP="00B96456">
      <w:pPr>
        <w:pStyle w:val="SingleTxtGR"/>
        <w:ind w:left="3969"/>
        <w:jc w:val="left"/>
      </w:pPr>
      <w:r w:rsidRPr="004A2521">
        <w:tab/>
        <w:t>INF.31 (Соединенные Штаты Америки) (Замеч</w:t>
      </w:r>
      <w:r w:rsidRPr="004A2521">
        <w:t>а</w:t>
      </w:r>
      <w:r w:rsidRPr="004A2521">
        <w:t>ния по документу -/2016/37)</w:t>
      </w:r>
    </w:p>
    <w:p w:rsidR="004A2521" w:rsidRPr="004A2521" w:rsidRDefault="004A2521" w:rsidP="004A2521">
      <w:pPr>
        <w:pStyle w:val="SingleTxtGR"/>
      </w:pPr>
      <w:r w:rsidRPr="004A2521">
        <w:t>6.</w:t>
      </w:r>
      <w:r w:rsidRPr="004A2521">
        <w:tab/>
        <w:t xml:space="preserve">Рассмотрение этих документов было поручено Рабочей группе, которая заседала 19–21 сентября 2016 года под председательством г-на А. </w:t>
      </w:r>
      <w:proofErr w:type="spellStart"/>
      <w:r w:rsidRPr="004A2521">
        <w:t>Бейла</w:t>
      </w:r>
      <w:proofErr w:type="spellEnd"/>
      <w:r w:rsidRPr="004A2521">
        <w:t xml:space="preserve"> </w:t>
      </w:r>
      <w:r w:rsidR="001D00B5">
        <w:br/>
      </w:r>
      <w:r w:rsidRPr="004A2521">
        <w:t>(Соединенное Королевство).</w:t>
      </w:r>
    </w:p>
    <w:p w:rsidR="004A2521" w:rsidRPr="004A2521" w:rsidRDefault="004A2521" w:rsidP="003A577B">
      <w:pPr>
        <w:pStyle w:val="H1GR"/>
      </w:pPr>
      <w:r w:rsidRPr="004A2521">
        <w:tab/>
      </w:r>
      <w:r w:rsidRPr="004A2521">
        <w:tab/>
        <w:t>Доклад Рабочей группы по цистернам</w:t>
      </w:r>
    </w:p>
    <w:p w:rsidR="004A2521" w:rsidRPr="004A2521" w:rsidRDefault="004A2521" w:rsidP="004A2521">
      <w:pPr>
        <w:pStyle w:val="SingleTxtGR"/>
      </w:pPr>
      <w:r w:rsidRPr="004A2521">
        <w:rPr>
          <w:i/>
          <w:iCs/>
        </w:rPr>
        <w:t>Неофициальный документ:</w:t>
      </w:r>
      <w:r w:rsidRPr="004A2521">
        <w:tab/>
        <w:t>INF.38</w:t>
      </w:r>
    </w:p>
    <w:p w:rsidR="004A2521" w:rsidRPr="004A2521" w:rsidRDefault="004A2521" w:rsidP="004A2521">
      <w:pPr>
        <w:pStyle w:val="SingleTxtGR"/>
      </w:pPr>
      <w:r w:rsidRPr="004A2521">
        <w:t>7.</w:t>
      </w:r>
      <w:r w:rsidRPr="004A2521">
        <w:tab/>
        <w:t>Совместное совещание одобрило выводы и рекомендации Рабочей гру</w:t>
      </w:r>
      <w:r w:rsidRPr="004A2521">
        <w:t>п</w:t>
      </w:r>
      <w:r w:rsidRPr="004A2521">
        <w:t>пы, доклад которой приводится в приложении I в качестве добавления 1 к настоящему докладу, сформулировав следующие комментарии или замечания. Принятые предложения о внесении поправок в МПОГ/ДОПОГ/ВОПОГ для вступления в силу 1 января 2019 года приводятся в приложении II к настоящему докладу.</w:t>
      </w:r>
    </w:p>
    <w:p w:rsidR="004A2521" w:rsidRPr="004A2521" w:rsidRDefault="004A2521" w:rsidP="004A2521">
      <w:pPr>
        <w:pStyle w:val="SingleTxtGR"/>
      </w:pPr>
      <w:r w:rsidRPr="004A2521">
        <w:t>8.</w:t>
      </w:r>
      <w:r w:rsidRPr="004A2521">
        <w:tab/>
        <w:t>Предлагаемый новый абзац в конце пункта 6.8.3.2.9, изложенный в пун</w:t>
      </w:r>
      <w:r w:rsidRPr="004A2521">
        <w:t>к</w:t>
      </w:r>
      <w:r w:rsidRPr="004A2521">
        <w:t>те 5 предложения 4, был заключен в квадратные скобки, чтобы позволить ЕАПГ проверить, что предохранительные колпаки не будут мешать надлежащему функционированию предохранительных клапанов.</w:t>
      </w:r>
    </w:p>
    <w:p w:rsidR="004A2521" w:rsidRPr="004A2521" w:rsidRDefault="004A2521" w:rsidP="004A2521">
      <w:pPr>
        <w:pStyle w:val="SingleTxtGR"/>
      </w:pPr>
      <w:r w:rsidRPr="004A2521">
        <w:t>9.</w:t>
      </w:r>
      <w:r w:rsidRPr="004A2521">
        <w:tab/>
        <w:t>По просьбе представителя Нидерландов Совместное совещание соглас</w:t>
      </w:r>
      <w:r w:rsidRPr="004A2521">
        <w:t>и</w:t>
      </w:r>
      <w:r w:rsidRPr="004A2521">
        <w:t>лось с тем, что тема, рассматриваемая в рамках пункта 4, должна оставаться на повестке дня следующей сессии.</w:t>
      </w:r>
    </w:p>
    <w:p w:rsidR="004A2521" w:rsidRPr="004A2521" w:rsidRDefault="004A2521" w:rsidP="004A2521">
      <w:pPr>
        <w:pStyle w:val="SingleTxtGR"/>
      </w:pPr>
      <w:r w:rsidRPr="004A2521">
        <w:t>10.</w:t>
      </w:r>
      <w:r w:rsidRPr="004A2521">
        <w:tab/>
        <w:t>Что касается пункта 11, то представитель Германии подготовит к след</w:t>
      </w:r>
      <w:r w:rsidRPr="004A2521">
        <w:t>у</w:t>
      </w:r>
      <w:r w:rsidRPr="004A2521">
        <w:t>ющей сессии предложение о поправках с целью отразить толкование, согласно которому ссылки на диаметр цистерн являются ссылками на внутренний ди</w:t>
      </w:r>
      <w:r w:rsidRPr="004A2521">
        <w:t>а</w:t>
      </w:r>
      <w:r w:rsidRPr="004A2521">
        <w:t>метр.</w:t>
      </w:r>
    </w:p>
    <w:p w:rsidR="004A2521" w:rsidRPr="004A2521" w:rsidRDefault="004A2521" w:rsidP="004A2521">
      <w:pPr>
        <w:pStyle w:val="SingleTxtGR"/>
      </w:pPr>
      <w:r w:rsidRPr="004A2521">
        <w:t>11.</w:t>
      </w:r>
      <w:r w:rsidRPr="004A2521">
        <w:tab/>
        <w:t>Что касается пункта 12, то Совместное совещание подтвердило, что было бы целесообразно дополнительно изучить поднятый Португалией вопрос о св</w:t>
      </w:r>
      <w:r w:rsidRPr="004A2521">
        <w:t>е</w:t>
      </w:r>
      <w:r w:rsidRPr="004A2521">
        <w:t>дениях, наносимых на таблички или на саму цистерну. Следует проинформир</w:t>
      </w:r>
      <w:r w:rsidRPr="004A2521">
        <w:t>о</w:t>
      </w:r>
      <w:r w:rsidRPr="004A2521">
        <w:t>вать контролирующие органы об этом вопросе.</w:t>
      </w:r>
    </w:p>
    <w:p w:rsidR="004A2521" w:rsidRPr="004A2521" w:rsidRDefault="004A2521" w:rsidP="004A2521">
      <w:pPr>
        <w:pStyle w:val="SingleTxtGR"/>
      </w:pPr>
      <w:r w:rsidRPr="004A2521">
        <w:t>12.</w:t>
      </w:r>
      <w:r w:rsidRPr="004A2521">
        <w:tab/>
        <w:t>Председатель Рабочей группы заявил, что Рабочая группа также обсудила неофициальный документ INF.12 (Доклад неофициальной рабочей группы по проверке и утверждению цистерн) и что по невнимательности результаты этих обсуждений не были отражены в докладе. Рабочая группа приняла к сведению информацию, представленную в неофициальном документе INF.12. Что касае</w:t>
      </w:r>
      <w:r w:rsidRPr="004A2521">
        <w:t>т</w:t>
      </w:r>
      <w:r w:rsidRPr="004A2521">
        <w:t>ся вопросника по проверке и утверждению цистерн, то представителю Соед</w:t>
      </w:r>
      <w:r w:rsidRPr="004A2521">
        <w:t>и</w:t>
      </w:r>
      <w:r w:rsidRPr="004A2521">
        <w:t>ненного Королевства было предложено проверить, все ли компетентные органы получили этот вопросник.</w:t>
      </w:r>
    </w:p>
    <w:p w:rsidR="004A2521" w:rsidRPr="004A2521" w:rsidRDefault="004A2521" w:rsidP="004A2521">
      <w:pPr>
        <w:pStyle w:val="SingleTxtGR"/>
      </w:pPr>
      <w:r w:rsidRPr="004A2521">
        <w:t>13.</w:t>
      </w:r>
      <w:r w:rsidRPr="004A2521">
        <w:tab/>
        <w:t>По рекомендации Рабочей группы Совместное совещание одобрило и</w:t>
      </w:r>
      <w:r w:rsidRPr="004A2521">
        <w:t>з</w:t>
      </w:r>
      <w:r w:rsidRPr="004A2521">
        <w:t>ложенную в пункте 9 неофициального документа INF.12 предлагаемую дал</w:t>
      </w:r>
      <w:r w:rsidRPr="004A2521">
        <w:t>ь</w:t>
      </w:r>
      <w:r w:rsidRPr="004A2521">
        <w:t>нейшую работу, которая будет проведена на следующем совещании (13–15 д</w:t>
      </w:r>
      <w:r w:rsidRPr="004A2521">
        <w:t>е</w:t>
      </w:r>
      <w:r w:rsidRPr="004A2521">
        <w:t>кабря 2016 года, Лондон).</w:t>
      </w:r>
    </w:p>
    <w:p w:rsidR="004A2521" w:rsidRPr="004A2521" w:rsidRDefault="004A2521" w:rsidP="003A577B">
      <w:pPr>
        <w:pStyle w:val="HChGR"/>
      </w:pPr>
      <w:r w:rsidRPr="004A2521">
        <w:lastRenderedPageBreak/>
        <w:tab/>
        <w:t>IV.</w:t>
      </w:r>
      <w:r w:rsidRPr="004A2521">
        <w:tab/>
        <w:t>Стандарты (пункт 3 повестки дня)</w:t>
      </w:r>
    </w:p>
    <w:p w:rsidR="004A2521" w:rsidRPr="004A2521" w:rsidRDefault="004A2521" w:rsidP="00C74B48">
      <w:pPr>
        <w:pStyle w:val="SingleTxtGR"/>
        <w:jc w:val="left"/>
      </w:pPr>
      <w:r w:rsidRPr="004A2521">
        <w:rPr>
          <w:i/>
        </w:rPr>
        <w:t>Документы:</w:t>
      </w:r>
      <w:r w:rsidRPr="004A2521">
        <w:tab/>
        <w:t>ECE/TRANS/WP.15/AC.1/2016/28 (ЕКС)</w:t>
      </w:r>
      <w:r w:rsidRPr="004A2521">
        <w:br/>
      </w:r>
      <w:r w:rsidR="00C74B48" w:rsidRPr="00C74B48">
        <w:tab/>
      </w:r>
      <w:r w:rsidR="00C74B48" w:rsidRPr="00C74B48">
        <w:tab/>
      </w:r>
      <w:r w:rsidR="00C74B48" w:rsidRPr="00C74B48">
        <w:tab/>
      </w:r>
      <w:r w:rsidRPr="004A2521">
        <w:t>ECE/TRANS/WP.15/AC.1/2016/38 (ЕАПБ)</w:t>
      </w:r>
    </w:p>
    <w:p w:rsidR="004A2521" w:rsidRPr="004A2521" w:rsidRDefault="004A2521" w:rsidP="00C74B48">
      <w:pPr>
        <w:pStyle w:val="SingleTxtGR"/>
        <w:jc w:val="left"/>
      </w:pPr>
      <w:r w:rsidRPr="004A2521">
        <w:rPr>
          <w:i/>
        </w:rPr>
        <w:t>Неофициальные документы:</w:t>
      </w:r>
      <w:r w:rsidRPr="004A2521">
        <w:rPr>
          <w:i/>
        </w:rPr>
        <w:tab/>
      </w:r>
      <w:r w:rsidRPr="004A2521">
        <w:t>INF.11 (ЕАПБ)</w:t>
      </w:r>
      <w:r w:rsidRPr="004A2521">
        <w:br/>
      </w:r>
      <w:r w:rsidRPr="004A2521">
        <w:tab/>
      </w:r>
      <w:r w:rsidRPr="004A2521">
        <w:tab/>
      </w:r>
      <w:r w:rsidRPr="004A2521">
        <w:tab/>
      </w:r>
      <w:r w:rsidRPr="004A2521">
        <w:tab/>
      </w:r>
      <w:r w:rsidRPr="004A2521">
        <w:tab/>
        <w:t>INF.15 (ЕКС)</w:t>
      </w:r>
    </w:p>
    <w:p w:rsidR="004A2521" w:rsidRPr="004A2521" w:rsidRDefault="004A2521" w:rsidP="004A2521">
      <w:pPr>
        <w:pStyle w:val="SingleTxtGR"/>
      </w:pPr>
      <w:r w:rsidRPr="004A2521">
        <w:t>14.</w:t>
      </w:r>
      <w:r w:rsidRPr="004A2521">
        <w:tab/>
        <w:t>Рассмотрение этих документов было поручено Рабочей группе по ста</w:t>
      </w:r>
      <w:r w:rsidRPr="004A2521">
        <w:t>н</w:t>
      </w:r>
      <w:r w:rsidRPr="004A2521">
        <w:t>дартам, которая заседала во время обеденных перерывов и вечером под предс</w:t>
      </w:r>
      <w:r w:rsidRPr="004A2521">
        <w:t>е</w:t>
      </w:r>
      <w:r w:rsidRPr="004A2521">
        <w:t xml:space="preserve">дательством г-на К. </w:t>
      </w:r>
      <w:proofErr w:type="spellStart"/>
      <w:r w:rsidRPr="004A2521">
        <w:t>Джабба</w:t>
      </w:r>
      <w:proofErr w:type="spellEnd"/>
      <w:r w:rsidRPr="004A2521">
        <w:t xml:space="preserve"> (ЕКС).</w:t>
      </w:r>
    </w:p>
    <w:p w:rsidR="004A2521" w:rsidRPr="004A2521" w:rsidRDefault="004A2521" w:rsidP="00C74B48">
      <w:pPr>
        <w:pStyle w:val="SingleTxtGR"/>
        <w:jc w:val="left"/>
      </w:pPr>
      <w:r w:rsidRPr="004A2521">
        <w:rPr>
          <w:i/>
        </w:rPr>
        <w:t>Неофициальный документ</w:t>
      </w:r>
      <w:r w:rsidRPr="004A2521">
        <w:t>:</w:t>
      </w:r>
      <w:r w:rsidRPr="004A2521">
        <w:tab/>
        <w:t xml:space="preserve">INF.34/Rev.1 (Доклад Рабочей группы </w:t>
      </w:r>
      <w:r w:rsidR="00C74B48" w:rsidRPr="00C74B48">
        <w:br/>
      </w:r>
      <w:r w:rsidR="00C74B48" w:rsidRPr="00C74B48">
        <w:tab/>
      </w:r>
      <w:r w:rsidR="00C74B48" w:rsidRPr="00C74B48">
        <w:tab/>
      </w:r>
      <w:r w:rsidR="00C74B48" w:rsidRPr="00C74B48">
        <w:tab/>
      </w:r>
      <w:r w:rsidR="00C74B48" w:rsidRPr="00C74B48">
        <w:tab/>
      </w:r>
      <w:r w:rsidR="00C74B48" w:rsidRPr="00C74B48">
        <w:tab/>
      </w:r>
      <w:r w:rsidRPr="004A2521">
        <w:t>по стандартам)</w:t>
      </w:r>
    </w:p>
    <w:p w:rsidR="004A2521" w:rsidRPr="004A2521" w:rsidRDefault="004A2521" w:rsidP="004A2521">
      <w:pPr>
        <w:pStyle w:val="SingleTxtGR"/>
      </w:pPr>
      <w:r w:rsidRPr="004A2521">
        <w:t>15.</w:t>
      </w:r>
      <w:r w:rsidRPr="004A2521">
        <w:tab/>
        <w:t xml:space="preserve">Совместное совещание подтвердило выводы Рабочей группы и приняло ее предложения с некоторыми изменениями (см. приложение II). </w:t>
      </w:r>
      <w:proofErr w:type="gramStart"/>
      <w:r w:rsidRPr="004A2521">
        <w:t>В частности, в отношении четвертого предложения было решено исключить конец предлага</w:t>
      </w:r>
      <w:r w:rsidRPr="004A2521">
        <w:t>е</w:t>
      </w:r>
      <w:r w:rsidRPr="004A2521">
        <w:t>мой дополнительной фразы, поскольку перевозка малых емкостей, содержащих газ (№ ООН 2037), в соответствии с положениями главы 3.4 (ограниченные к</w:t>
      </w:r>
      <w:r w:rsidRPr="004A2521">
        <w:t>о</w:t>
      </w:r>
      <w:r w:rsidRPr="004A2521">
        <w:t>личества) не является обязательной и в главе 6.2, касающейся конструкции е</w:t>
      </w:r>
      <w:r w:rsidRPr="004A2521">
        <w:t>м</w:t>
      </w:r>
      <w:r w:rsidRPr="004A2521">
        <w:t>костей, не определяется отгрузочная маркировка согласно главе 5.2 или, в соо</w:t>
      </w:r>
      <w:r w:rsidRPr="004A2521">
        <w:t>т</w:t>
      </w:r>
      <w:r w:rsidRPr="004A2521">
        <w:t>ветствующих случаях, главе 3.4.</w:t>
      </w:r>
      <w:proofErr w:type="gramEnd"/>
    </w:p>
    <w:p w:rsidR="004A2521" w:rsidRPr="004A2521" w:rsidRDefault="004A2521" w:rsidP="004A2521">
      <w:pPr>
        <w:pStyle w:val="SingleTxtGR"/>
      </w:pPr>
      <w:r w:rsidRPr="004A2521">
        <w:t>16.</w:t>
      </w:r>
      <w:r w:rsidRPr="004A2521">
        <w:tab/>
        <w:t>Совместное совещание также отметило, что, хотя под термином «</w:t>
      </w:r>
      <w:proofErr w:type="spellStart"/>
      <w:r w:rsidRPr="004A2521">
        <w:t>vessel</w:t>
      </w:r>
      <w:proofErr w:type="spellEnd"/>
      <w:r w:rsidRPr="004A2521">
        <w:t>» в Типовых правилах ООН понимается морское судно или судно внутреннего плавания, его использование в английском языке в значении «емкость» также является оправданным.</w:t>
      </w:r>
    </w:p>
    <w:p w:rsidR="004A2521" w:rsidRPr="004A2521" w:rsidRDefault="004A2521" w:rsidP="00C74B48">
      <w:pPr>
        <w:pStyle w:val="HChGR"/>
      </w:pPr>
      <w:r w:rsidRPr="004A2521">
        <w:tab/>
        <w:t>V.</w:t>
      </w:r>
      <w:r w:rsidRPr="004A2521">
        <w:tab/>
        <w:t xml:space="preserve">Толкование МПОГ/ДОПОГ/ВОПОГ </w:t>
      </w:r>
      <w:r w:rsidR="00C74B48" w:rsidRPr="00C74B48">
        <w:br/>
      </w:r>
      <w:r w:rsidRPr="004A2521">
        <w:t>(пункт 4 повестки дня)</w:t>
      </w:r>
    </w:p>
    <w:p w:rsidR="004A2521" w:rsidRPr="004A2521" w:rsidRDefault="004A2521" w:rsidP="00C74B48">
      <w:pPr>
        <w:pStyle w:val="H1GR"/>
      </w:pPr>
      <w:r w:rsidRPr="004A2521">
        <w:tab/>
        <w:t>А.</w:t>
      </w:r>
      <w:r w:rsidRPr="004A2521">
        <w:tab/>
        <w:t>Указание технического наименования в транспортном документе</w:t>
      </w:r>
    </w:p>
    <w:p w:rsidR="004A2521" w:rsidRPr="004A2521" w:rsidRDefault="004A2521" w:rsidP="004A2521">
      <w:pPr>
        <w:pStyle w:val="SingleTxtGR"/>
      </w:pPr>
      <w:r w:rsidRPr="004A2521">
        <w:rPr>
          <w:i/>
        </w:rPr>
        <w:t>Документ:</w:t>
      </w:r>
      <w:r w:rsidRPr="004A2521">
        <w:rPr>
          <w:i/>
        </w:rPr>
        <w:tab/>
      </w:r>
      <w:r w:rsidRPr="004A2521">
        <w:t>ECE/TRANS/WP.15/AC.1/2016/33 (МСЖД)</w:t>
      </w:r>
    </w:p>
    <w:p w:rsidR="004A2521" w:rsidRPr="004A2521" w:rsidRDefault="004A2521" w:rsidP="004A2521">
      <w:pPr>
        <w:pStyle w:val="SingleTxtGR"/>
      </w:pPr>
      <w:r w:rsidRPr="004A2521">
        <w:t>17.</w:t>
      </w:r>
      <w:r w:rsidRPr="004A2521">
        <w:tab/>
        <w:t>Совместное совещание подтвердило, что положения пункта 5.4.1.4.1 МПОГ/ДОПОГ/ВОПОГ применяются также в отношении технического наим</w:t>
      </w:r>
      <w:r w:rsidRPr="004A2521">
        <w:t>е</w:t>
      </w:r>
      <w:r w:rsidRPr="004A2521">
        <w:t>нования. В случае инфекционных веще</w:t>
      </w:r>
      <w:proofErr w:type="gramStart"/>
      <w:r w:rsidRPr="004A2521">
        <w:t>ств пр</w:t>
      </w:r>
      <w:proofErr w:type="gramEnd"/>
      <w:r w:rsidRPr="004A2521">
        <w:t>иемлемыми являются также нау</w:t>
      </w:r>
      <w:r w:rsidRPr="004A2521">
        <w:t>ч</w:t>
      </w:r>
      <w:r w:rsidRPr="004A2521">
        <w:t>ные названия.</w:t>
      </w:r>
    </w:p>
    <w:p w:rsidR="004A2521" w:rsidRPr="004A2521" w:rsidRDefault="004A2521" w:rsidP="004A2521">
      <w:pPr>
        <w:pStyle w:val="SingleTxtGR"/>
      </w:pPr>
      <w:r w:rsidRPr="004A2521">
        <w:t>18.</w:t>
      </w:r>
      <w:r w:rsidRPr="004A2521">
        <w:tab/>
        <w:t>По второму вопросу Совместное совещание сочло, что перевозчик не обязан быть в состоянии судить о том, правильно ли было указано техническое наименование в транспортном документе.</w:t>
      </w:r>
    </w:p>
    <w:p w:rsidR="004A2521" w:rsidRPr="004A2521" w:rsidRDefault="004A2521" w:rsidP="004A2521">
      <w:pPr>
        <w:pStyle w:val="SingleTxtGR"/>
      </w:pPr>
      <w:r w:rsidRPr="004A2521">
        <w:t>19.</w:t>
      </w:r>
      <w:r w:rsidRPr="004A2521">
        <w:tab/>
      </w:r>
      <w:proofErr w:type="gramStart"/>
      <w:r w:rsidRPr="004A2521">
        <w:t>В ходе дискуссии было отмечено, что пункт 5.4.1.4.1 МПОГ отличается от соответствующих пунктов ДОПОГ и ВОПОГ тем, что согласно МПОГ ра</w:t>
      </w:r>
      <w:r w:rsidRPr="004A2521">
        <w:t>з</w:t>
      </w:r>
      <w:r w:rsidRPr="004A2521">
        <w:t>решается использовать, при необходимости, только английский</w:t>
      </w:r>
      <w:r w:rsidR="00164E11">
        <w:t>, французский или немецкий язык</w:t>
      </w:r>
      <w:r w:rsidRPr="004A2521">
        <w:t xml:space="preserve"> независимо от стран, по территории которых осуществляе</w:t>
      </w:r>
      <w:r w:rsidRPr="004A2521">
        <w:t>т</w:t>
      </w:r>
      <w:r w:rsidRPr="004A2521">
        <w:t>ся перевозка, в то время как ДОПОГ и ВОПОГ требуют использовать, кроме т</w:t>
      </w:r>
      <w:r w:rsidRPr="004A2521">
        <w:t>о</w:t>
      </w:r>
      <w:r w:rsidRPr="004A2521">
        <w:t>го, язык страны-грузоотправителя, если он не является английским, францу</w:t>
      </w:r>
      <w:r w:rsidRPr="004A2521">
        <w:t>з</w:t>
      </w:r>
      <w:r w:rsidRPr="004A2521">
        <w:t>ским или немецким языком.</w:t>
      </w:r>
      <w:proofErr w:type="gramEnd"/>
    </w:p>
    <w:p w:rsidR="004A2521" w:rsidRPr="004A2521" w:rsidRDefault="004A2521" w:rsidP="004A2521">
      <w:pPr>
        <w:pStyle w:val="SingleTxtGR"/>
      </w:pPr>
      <w:r w:rsidRPr="004A2521">
        <w:lastRenderedPageBreak/>
        <w:t>20.</w:t>
      </w:r>
      <w:r w:rsidRPr="004A2521">
        <w:tab/>
        <w:t>Представитель секретариата заметил, что следовало бы разъяснить смысл термина «страна-грузоотправитель». Совместное совещание согласилось ра</w:t>
      </w:r>
      <w:r w:rsidRPr="004A2521">
        <w:t>с</w:t>
      </w:r>
      <w:r w:rsidRPr="004A2521">
        <w:t>смотреть этот вопрос, но только на основе письменного документа.</w:t>
      </w:r>
    </w:p>
    <w:p w:rsidR="004A2521" w:rsidRPr="004A2521" w:rsidRDefault="004A2521" w:rsidP="00C74B48">
      <w:pPr>
        <w:pStyle w:val="H1GR"/>
      </w:pPr>
      <w:r w:rsidRPr="004A2521">
        <w:tab/>
        <w:t>В.</w:t>
      </w:r>
      <w:r w:rsidRPr="004A2521">
        <w:tab/>
        <w:t>Переходные положения 1.6.2.13 и 1.6.2.15</w:t>
      </w:r>
    </w:p>
    <w:p w:rsidR="004A2521" w:rsidRPr="004A2521" w:rsidRDefault="004A2521" w:rsidP="004A2521">
      <w:pPr>
        <w:pStyle w:val="SingleTxtGR"/>
      </w:pPr>
      <w:r w:rsidRPr="004A2521">
        <w:rPr>
          <w:i/>
        </w:rPr>
        <w:t>Неофициальный документ:</w:t>
      </w:r>
      <w:r w:rsidRPr="004A2521">
        <w:tab/>
        <w:t>INF.20 (ЕАПГ)</w:t>
      </w:r>
    </w:p>
    <w:p w:rsidR="004A2521" w:rsidRPr="004A2521" w:rsidRDefault="004A2521" w:rsidP="004A2521">
      <w:pPr>
        <w:pStyle w:val="SingleTxtGR"/>
      </w:pPr>
      <w:r w:rsidRPr="004A2521">
        <w:t>21.</w:t>
      </w:r>
      <w:r w:rsidRPr="004A2521">
        <w:tab/>
        <w:t>Совместное совещание отметило, что данные переходные положения по-разному истолковываются некоторыми операторами и проверяющими орган</w:t>
      </w:r>
      <w:r w:rsidRPr="004A2521">
        <w:t>а</w:t>
      </w:r>
      <w:r w:rsidRPr="004A2521">
        <w:t>ми. С другой стороны, оно отметило, что формулировка этих положений соо</w:t>
      </w:r>
      <w:r w:rsidRPr="004A2521">
        <w:t>т</w:t>
      </w:r>
      <w:r w:rsidRPr="004A2521">
        <w:t>ветствует обычной практике и что ее изменение привело бы к пересмотру фо</w:t>
      </w:r>
      <w:r w:rsidRPr="004A2521">
        <w:t>р</w:t>
      </w:r>
      <w:r w:rsidRPr="004A2521">
        <w:t>мулировки большого числа других переходных положений. Поэтому Совмес</w:t>
      </w:r>
      <w:r w:rsidRPr="004A2521">
        <w:t>т</w:t>
      </w:r>
      <w:r w:rsidRPr="004A2521">
        <w:t>ное совещание предпочло не изменять эти переходные положения и уточнило, что:</w:t>
      </w:r>
    </w:p>
    <w:p w:rsidR="004A2521" w:rsidRPr="004A2521" w:rsidRDefault="004A2521" w:rsidP="004A2521">
      <w:pPr>
        <w:pStyle w:val="SingleTxtGR"/>
      </w:pPr>
      <w:r w:rsidRPr="004A2521">
        <w:tab/>
        <w:t>a)</w:t>
      </w:r>
      <w:r w:rsidRPr="004A2521">
        <w:tab/>
        <w:t xml:space="preserve">данное переходное положение касается </w:t>
      </w:r>
      <w:proofErr w:type="gramStart"/>
      <w:r w:rsidRPr="004A2521">
        <w:t>маркировки</w:t>
      </w:r>
      <w:proofErr w:type="gramEnd"/>
      <w:r w:rsidRPr="004A2521">
        <w:t xml:space="preserve"> и связки ба</w:t>
      </w:r>
      <w:r w:rsidRPr="004A2521">
        <w:t>л</w:t>
      </w:r>
      <w:r w:rsidRPr="004A2521">
        <w:t>лонов могут использоваться с прежним маркировочным знаком до даты след</w:t>
      </w:r>
      <w:r w:rsidRPr="004A2521">
        <w:t>у</w:t>
      </w:r>
      <w:r w:rsidRPr="004A2521">
        <w:t>ющей периодической проверки;</w:t>
      </w:r>
    </w:p>
    <w:p w:rsidR="004A2521" w:rsidRPr="004A2521" w:rsidRDefault="004A2521" w:rsidP="004A2521">
      <w:pPr>
        <w:pStyle w:val="SingleTxtGR"/>
      </w:pPr>
      <w:r w:rsidRPr="004A2521">
        <w:tab/>
        <w:t>b)</w:t>
      </w:r>
      <w:r w:rsidRPr="004A2521">
        <w:tab/>
        <w:t>во время следующей периодической проверки маркировочный знак должен быть приведен в соответствие, после чего данное переходное полож</w:t>
      </w:r>
      <w:r w:rsidRPr="004A2521">
        <w:t>е</w:t>
      </w:r>
      <w:r w:rsidRPr="004A2521">
        <w:t>ние более не применяется к соответствующим связкам баллонов, которые м</w:t>
      </w:r>
      <w:r w:rsidRPr="004A2521">
        <w:t>о</w:t>
      </w:r>
      <w:r w:rsidRPr="004A2521">
        <w:t>гут, таким образом, по-прежнему использоваться уже с новым маркировочным знаком, соответствующим установленным требованиям.</w:t>
      </w:r>
    </w:p>
    <w:p w:rsidR="004A2521" w:rsidRPr="004A2521" w:rsidRDefault="004A2521" w:rsidP="00C74B48">
      <w:pPr>
        <w:pStyle w:val="HChGR"/>
      </w:pPr>
      <w:r w:rsidRPr="004A2521">
        <w:tab/>
        <w:t>VI.</w:t>
      </w:r>
      <w:r w:rsidRPr="004A2521">
        <w:tab/>
        <w:t>Предложения о внесении поправок в</w:t>
      </w:r>
      <w:r w:rsidR="00C74B48">
        <w:rPr>
          <w:lang w:val="en-US"/>
        </w:rPr>
        <w:t> </w:t>
      </w:r>
      <w:r w:rsidRPr="004A2521">
        <w:t>МПОГ/ДОПОГ/ВОПОГ (пункт 5 повестки дня)</w:t>
      </w:r>
    </w:p>
    <w:p w:rsidR="004A2521" w:rsidRPr="004A2521" w:rsidRDefault="004A2521" w:rsidP="00C74B48">
      <w:pPr>
        <w:pStyle w:val="H1GR"/>
      </w:pPr>
      <w:r w:rsidRPr="004A2521">
        <w:tab/>
        <w:t>A.</w:t>
      </w:r>
      <w:r w:rsidRPr="004A2521">
        <w:tab/>
        <w:t>Нерассмотренные</w:t>
      </w:r>
      <w:r w:rsidRPr="00164E11">
        <w:rPr>
          <w:rStyle w:val="H1GChar"/>
          <w:lang w:val="ru-RU"/>
        </w:rPr>
        <w:t xml:space="preserve"> </w:t>
      </w:r>
      <w:r w:rsidRPr="004A2521">
        <w:t>вопросы</w:t>
      </w:r>
    </w:p>
    <w:p w:rsidR="004A2521" w:rsidRPr="004A2521" w:rsidRDefault="004A2521" w:rsidP="00C74B48">
      <w:pPr>
        <w:pStyle w:val="H23GR"/>
      </w:pPr>
      <w:r w:rsidRPr="004A2521">
        <w:tab/>
        <w:t>1.</w:t>
      </w:r>
      <w:r w:rsidRPr="004A2521">
        <w:tab/>
        <w:t xml:space="preserve">Исправление формулировки специального положения 363 с внесенными </w:t>
      </w:r>
      <w:r w:rsidR="00C74B48" w:rsidRPr="00C74B48">
        <w:br/>
      </w:r>
      <w:r w:rsidRPr="004A2521">
        <w:t>в него поправками, вступающими в силу 1 января 2017 года</w:t>
      </w:r>
    </w:p>
    <w:p w:rsidR="004A2521" w:rsidRPr="004A2521" w:rsidRDefault="004A2521" w:rsidP="004A2521">
      <w:pPr>
        <w:pStyle w:val="SingleTxtGR"/>
      </w:pPr>
      <w:r w:rsidRPr="004A2521">
        <w:rPr>
          <w:i/>
        </w:rPr>
        <w:t>Документ:</w:t>
      </w:r>
      <w:r w:rsidR="00C74B48">
        <w:tab/>
      </w:r>
      <w:r w:rsidRPr="004A2521">
        <w:t>ECE/TRANS/WP.15/AC.1/2016/27 (Швейцария)</w:t>
      </w:r>
    </w:p>
    <w:p w:rsidR="004A2521" w:rsidRPr="004A2521" w:rsidRDefault="004A2521" w:rsidP="004A2521">
      <w:pPr>
        <w:pStyle w:val="SingleTxtGR"/>
      </w:pPr>
      <w:r w:rsidRPr="004A2521">
        <w:t>22.</w:t>
      </w:r>
      <w:r w:rsidRPr="004A2521">
        <w:tab/>
        <w:t>Совместное совещание подтвердило, что исправление, предложенное Швейцарией, необходимо внести (см. приложение III).</w:t>
      </w:r>
    </w:p>
    <w:p w:rsidR="004A2521" w:rsidRPr="004A2521" w:rsidRDefault="004A2521" w:rsidP="00C74B48">
      <w:pPr>
        <w:pStyle w:val="H23GR"/>
      </w:pPr>
      <w:r w:rsidRPr="004A2521">
        <w:tab/>
        <w:t>2.</w:t>
      </w:r>
      <w:r w:rsidRPr="004A2521">
        <w:tab/>
        <w:t>Сопутствующая поправка к пункту 7.5.2.1</w:t>
      </w:r>
    </w:p>
    <w:p w:rsidR="004A2521" w:rsidRPr="004A2521" w:rsidRDefault="004A2521" w:rsidP="004A2521">
      <w:pPr>
        <w:pStyle w:val="SingleTxtGR"/>
      </w:pPr>
      <w:r w:rsidRPr="004A2521">
        <w:rPr>
          <w:i/>
        </w:rPr>
        <w:t>Неофициальный документ:</w:t>
      </w:r>
      <w:r w:rsidRPr="004A2521">
        <w:tab/>
        <w:t>INF.10 (Германия)</w:t>
      </w:r>
    </w:p>
    <w:p w:rsidR="004A2521" w:rsidRPr="004A2521" w:rsidRDefault="004A2521" w:rsidP="004A2521">
      <w:pPr>
        <w:pStyle w:val="SingleTxtGR"/>
      </w:pPr>
      <w:r w:rsidRPr="004A2521">
        <w:t>23.</w:t>
      </w:r>
      <w:r w:rsidRPr="004A2521">
        <w:tab/>
        <w:t>Совместное совещание подтвердило, что в результате включения знака образца № 9A в поправки 2017 года потребуется внести сопутствующую п</w:t>
      </w:r>
      <w:r w:rsidRPr="004A2521">
        <w:t>о</w:t>
      </w:r>
      <w:r w:rsidRPr="004A2521">
        <w:t>правку в пункт 7.5.2.1. Поэтому необходимо внести исправление, отражающее данную сопутствующую поправку (см. приложение III).</w:t>
      </w:r>
    </w:p>
    <w:p w:rsidR="00C74B48" w:rsidRDefault="00C74B48">
      <w:pPr>
        <w:spacing w:line="240" w:lineRule="auto"/>
        <w:rPr>
          <w:b/>
          <w:lang w:eastAsia="ru-RU"/>
        </w:rPr>
      </w:pPr>
      <w:r>
        <w:br w:type="page"/>
      </w:r>
    </w:p>
    <w:p w:rsidR="004A2521" w:rsidRPr="004A2521" w:rsidRDefault="004A2521" w:rsidP="00C74B48">
      <w:pPr>
        <w:pStyle w:val="H23GR"/>
      </w:pPr>
      <w:r w:rsidRPr="004A2521">
        <w:lastRenderedPageBreak/>
        <w:tab/>
        <w:t>3.</w:t>
      </w:r>
      <w:r w:rsidRPr="004A2521">
        <w:tab/>
        <w:t>Вопросы, касающиеся консультантов по вопросам безопасности</w:t>
      </w:r>
    </w:p>
    <w:p w:rsidR="004A2521" w:rsidRPr="004A2521" w:rsidRDefault="004A2521" w:rsidP="004A2521">
      <w:pPr>
        <w:pStyle w:val="SingleTxtGR"/>
      </w:pPr>
      <w:r w:rsidRPr="004A2521">
        <w:rPr>
          <w:i/>
        </w:rPr>
        <w:t>Документ:</w:t>
      </w:r>
      <w:r w:rsidR="00C74B48">
        <w:tab/>
      </w:r>
      <w:r w:rsidRPr="004A2521">
        <w:t>ECE/TRANS/WP.15/AC.1/2016/24 (ЕАКБ)</w:t>
      </w:r>
    </w:p>
    <w:p w:rsidR="004A2521" w:rsidRPr="004A2521" w:rsidRDefault="004A2521" w:rsidP="00C74B48">
      <w:pPr>
        <w:pStyle w:val="SingleTxtGR"/>
        <w:jc w:val="left"/>
      </w:pPr>
      <w:r w:rsidRPr="004A2521">
        <w:rPr>
          <w:i/>
        </w:rPr>
        <w:t>Неофициальные документы:</w:t>
      </w:r>
      <w:r w:rsidRPr="004A2521">
        <w:tab/>
        <w:t>INF.17 (ЕАКБ)</w:t>
      </w:r>
      <w:r w:rsidRPr="004A2521">
        <w:br/>
      </w:r>
      <w:r w:rsidRPr="004A2521">
        <w:rPr>
          <w:i/>
        </w:rPr>
        <w:tab/>
      </w:r>
      <w:r w:rsidRPr="004A2521">
        <w:rPr>
          <w:i/>
        </w:rPr>
        <w:tab/>
      </w:r>
      <w:r w:rsidRPr="004A2521">
        <w:rPr>
          <w:i/>
        </w:rPr>
        <w:tab/>
      </w:r>
      <w:r w:rsidRPr="004A2521">
        <w:rPr>
          <w:i/>
        </w:rPr>
        <w:tab/>
      </w:r>
      <w:r w:rsidRPr="004A2521">
        <w:rPr>
          <w:i/>
        </w:rPr>
        <w:tab/>
      </w:r>
      <w:r w:rsidRPr="004A2521">
        <w:t>INF.18 (ЕАКБ)</w:t>
      </w:r>
      <w:r w:rsidRPr="004A2521">
        <w:br/>
      </w:r>
      <w:r w:rsidRPr="004A2521">
        <w:tab/>
      </w:r>
      <w:r w:rsidRPr="004A2521">
        <w:tab/>
      </w:r>
      <w:r w:rsidRPr="004A2521">
        <w:tab/>
      </w:r>
      <w:r w:rsidRPr="004A2521">
        <w:tab/>
      </w:r>
      <w:r w:rsidRPr="004A2521">
        <w:tab/>
        <w:t>INF.30 (МСАГВ)</w:t>
      </w:r>
      <w:r w:rsidRPr="004A2521">
        <w:br/>
      </w:r>
      <w:r w:rsidRPr="004A2521">
        <w:tab/>
      </w:r>
      <w:r w:rsidRPr="004A2521">
        <w:tab/>
      </w:r>
      <w:r w:rsidRPr="004A2521">
        <w:tab/>
      </w:r>
      <w:r w:rsidRPr="004A2521">
        <w:tab/>
      </w:r>
      <w:r w:rsidRPr="004A2521">
        <w:tab/>
        <w:t>INF.35 (Германия)</w:t>
      </w:r>
    </w:p>
    <w:p w:rsidR="004A2521" w:rsidRPr="004A2521" w:rsidRDefault="004A2521" w:rsidP="004A2521">
      <w:pPr>
        <w:pStyle w:val="SingleTxtGR"/>
      </w:pPr>
      <w:r w:rsidRPr="004A2521">
        <w:t>24.</w:t>
      </w:r>
      <w:r w:rsidRPr="004A2521">
        <w:tab/>
        <w:t>Совместное совещание приняло переходные меры, касающиеся примен</w:t>
      </w:r>
      <w:r w:rsidRPr="004A2521">
        <w:t>е</w:t>
      </w:r>
      <w:r w:rsidRPr="004A2521">
        <w:t>ния требований в отношении консультантов по вопросам безопасности к пре</w:t>
      </w:r>
      <w:r w:rsidRPr="004A2521">
        <w:t>д</w:t>
      </w:r>
      <w:r w:rsidRPr="004A2521">
        <w:t xml:space="preserve">приятиям, деятельность которых ограничивается отправкой опасных грузов, на основе предложений, содержащихся в документе </w:t>
      </w:r>
      <w:r w:rsidR="00164E11" w:rsidRPr="00164E11">
        <w:rPr>
          <w:lang w:val="en-GB"/>
        </w:rPr>
        <w:t>ECE</w:t>
      </w:r>
      <w:r w:rsidR="00164E11" w:rsidRPr="00164E11">
        <w:t>/</w:t>
      </w:r>
      <w:r w:rsidR="00164E11" w:rsidRPr="00164E11">
        <w:rPr>
          <w:lang w:val="en-GB"/>
        </w:rPr>
        <w:t>TRANS</w:t>
      </w:r>
      <w:r w:rsidR="00164E11" w:rsidRPr="00164E11">
        <w:t>/</w:t>
      </w:r>
      <w:r w:rsidR="00164E11" w:rsidRPr="00164E11">
        <w:rPr>
          <w:lang w:val="en-GB"/>
        </w:rPr>
        <w:t>WP</w:t>
      </w:r>
      <w:r w:rsidR="00164E11" w:rsidRPr="00164E11">
        <w:t>.15/</w:t>
      </w:r>
      <w:r w:rsidR="00164E11" w:rsidRPr="00164E11">
        <w:rPr>
          <w:lang w:val="en-GB"/>
        </w:rPr>
        <w:t>AC</w:t>
      </w:r>
      <w:r w:rsidR="00164E11" w:rsidRPr="00164E11">
        <w:t xml:space="preserve">.1/ 2016/24 </w:t>
      </w:r>
      <w:r w:rsidRPr="004A2521">
        <w:t>и неофициальном документе INF.35, с некоторыми изменениями (см. приложение II).</w:t>
      </w:r>
    </w:p>
    <w:p w:rsidR="004A2521" w:rsidRPr="004A2521" w:rsidRDefault="004A2521" w:rsidP="004A2521">
      <w:pPr>
        <w:pStyle w:val="SingleTxtGR"/>
      </w:pPr>
      <w:r w:rsidRPr="004A2521">
        <w:t>25.</w:t>
      </w:r>
      <w:r w:rsidRPr="004A2521">
        <w:tab/>
      </w:r>
      <w:proofErr w:type="gramStart"/>
      <w:r w:rsidRPr="004A2521">
        <w:t>Что касается предложения о руководящих указаниях по подготовке еж</w:t>
      </w:r>
      <w:r w:rsidRPr="004A2521">
        <w:t>е</w:t>
      </w:r>
      <w:r w:rsidRPr="004A2521">
        <w:t>годных отчетов консультантов по вопросам безопасности в согласованном фо</w:t>
      </w:r>
      <w:r w:rsidRPr="004A2521">
        <w:t>р</w:t>
      </w:r>
      <w:r w:rsidRPr="004A2521">
        <w:t>мате, то многие делегации высказали сдержанную позицию в силу разных пр</w:t>
      </w:r>
      <w:r w:rsidRPr="004A2521">
        <w:t>и</w:t>
      </w:r>
      <w:r w:rsidRPr="004A2521">
        <w:t>чин, таких как: существование обязательных форматов в некоторых странах; адаптация отчетов к соответствующим секторам деятельности и, таким обр</w:t>
      </w:r>
      <w:r w:rsidRPr="004A2521">
        <w:t>а</w:t>
      </w:r>
      <w:r w:rsidRPr="004A2521">
        <w:t>зом, к операциям, осуществляемым предприятиями; потребности в гибком по</w:t>
      </w:r>
      <w:r w:rsidRPr="004A2521">
        <w:t>д</w:t>
      </w:r>
      <w:r w:rsidRPr="004A2521">
        <w:t>ходе;</w:t>
      </w:r>
      <w:proofErr w:type="gramEnd"/>
      <w:r w:rsidRPr="004A2521">
        <w:t xml:space="preserve"> модели, адаптированные к секторам деятельности и уже разработанные организаци</w:t>
      </w:r>
      <w:r w:rsidR="00164E11">
        <w:t>ями, представляющими эти секторы</w:t>
      </w:r>
      <w:r w:rsidRPr="004A2521">
        <w:t>.</w:t>
      </w:r>
    </w:p>
    <w:p w:rsidR="004A2521" w:rsidRPr="004A2521" w:rsidRDefault="004A2521" w:rsidP="004A2521">
      <w:pPr>
        <w:pStyle w:val="SingleTxtGR"/>
      </w:pPr>
      <w:r w:rsidRPr="004A2521">
        <w:t>26.</w:t>
      </w:r>
      <w:r w:rsidRPr="004A2521">
        <w:tab/>
      </w:r>
      <w:proofErr w:type="gramStart"/>
      <w:r w:rsidRPr="004A2521">
        <w:t>Были вновь подняты некоторые вопросы, которые уже ставились в ходе предыдущей сессии (ECE/TRANS/WP.15/AC.1/142, пункт 41), в частности в</w:t>
      </w:r>
      <w:r w:rsidRPr="004A2521">
        <w:t>о</w:t>
      </w:r>
      <w:r w:rsidRPr="004A2521">
        <w:t>просы, касающиеся цели указанных отчетов: предназначены ли они для дире</w:t>
      </w:r>
      <w:r w:rsidRPr="004A2521">
        <w:t>к</w:t>
      </w:r>
      <w:r w:rsidRPr="004A2521">
        <w:t>торов предприятий, чтобы помочь повысить уровень безопасности и соблюдать установленные правила, или же для компетентных органов, чтобы они могли определить, правильно ли выполняют предприятия свои регламентные обяза</w:t>
      </w:r>
      <w:r w:rsidRPr="004A2521">
        <w:t>н</w:t>
      </w:r>
      <w:r w:rsidRPr="004A2521">
        <w:t>ности?</w:t>
      </w:r>
      <w:proofErr w:type="gramEnd"/>
    </w:p>
    <w:p w:rsidR="004A2521" w:rsidRPr="004A2521" w:rsidRDefault="004A2521" w:rsidP="004A2521">
      <w:pPr>
        <w:pStyle w:val="SingleTxtGR"/>
      </w:pPr>
      <w:r w:rsidRPr="004A2521">
        <w:t>27.</w:t>
      </w:r>
      <w:r w:rsidRPr="004A2521">
        <w:tab/>
        <w:t>Представителю ЕАКБ было предложено обдумать данный вопрос с уч</w:t>
      </w:r>
      <w:r w:rsidRPr="004A2521">
        <w:t>е</w:t>
      </w:r>
      <w:r w:rsidRPr="004A2521">
        <w:t>том состоявшихся обсуждений и подготовить новое предложение, если он с</w:t>
      </w:r>
      <w:r w:rsidRPr="004A2521">
        <w:t>о</w:t>
      </w:r>
      <w:r w:rsidRPr="004A2521">
        <w:t>чтет это целесообразным.</w:t>
      </w:r>
    </w:p>
    <w:p w:rsidR="004A2521" w:rsidRPr="004A2521" w:rsidRDefault="004A2521" w:rsidP="001D00B5">
      <w:pPr>
        <w:pStyle w:val="SingleTxtGR"/>
      </w:pPr>
      <w:r w:rsidRPr="004A2521">
        <w:t>28.</w:t>
      </w:r>
      <w:r w:rsidRPr="004A2521">
        <w:tab/>
        <w:t>Что касается предложения распространить сферу применения действу</w:t>
      </w:r>
      <w:r w:rsidRPr="004A2521">
        <w:t>ю</w:t>
      </w:r>
      <w:r w:rsidRPr="004A2521">
        <w:t>щих требований на обработку или эксплуатацию контейнеров-цистерн, пер</w:t>
      </w:r>
      <w:r w:rsidRPr="004A2521">
        <w:t>е</w:t>
      </w:r>
      <w:r w:rsidRPr="004A2521">
        <w:t>носных цистерн и вагонов-цистерн (неофициальные документы INF.18 и</w:t>
      </w:r>
      <w:r w:rsidR="001D00B5">
        <w:t> </w:t>
      </w:r>
      <w:r w:rsidRPr="004A2521">
        <w:t>INF.30), то ряд делегаций высказали оговорки, поскольку операторы необяз</w:t>
      </w:r>
      <w:r w:rsidRPr="004A2521">
        <w:t>а</w:t>
      </w:r>
      <w:r w:rsidRPr="004A2521">
        <w:t>тельно являются обработчиками. Кроме того, данное предложение было пре</w:t>
      </w:r>
      <w:r w:rsidRPr="004A2521">
        <w:t>д</w:t>
      </w:r>
      <w:r w:rsidRPr="004A2521">
        <w:t>ставлено с большим запозданием в виде неофициального документа и не было возможности проверить возможные коллизии с другими правилами, устанавл</w:t>
      </w:r>
      <w:r w:rsidRPr="004A2521">
        <w:t>и</w:t>
      </w:r>
      <w:r w:rsidRPr="004A2521">
        <w:t>вающими обязанности операторов в более широком контексте. В этой связи представителю ЕАКБ было предложено представить с учетом высказанных з</w:t>
      </w:r>
      <w:r w:rsidRPr="004A2521">
        <w:t>а</w:t>
      </w:r>
      <w:r w:rsidRPr="004A2521">
        <w:t>мечаний новое предложение в виде официального документа, если он сочтет это по-прежнему необходимым.</w:t>
      </w:r>
    </w:p>
    <w:p w:rsidR="004A2521" w:rsidRPr="004A2521" w:rsidRDefault="004A2521" w:rsidP="00164E11">
      <w:pPr>
        <w:pStyle w:val="H23GR"/>
        <w:pageBreakBefore/>
      </w:pPr>
      <w:r w:rsidRPr="004A2521">
        <w:lastRenderedPageBreak/>
        <w:tab/>
        <w:t>4.</w:t>
      </w:r>
      <w:r w:rsidRPr="004A2521">
        <w:tab/>
        <w:t>Альтернативные методы периодической проверки сосудов под давлением многоразового использования</w:t>
      </w:r>
    </w:p>
    <w:p w:rsidR="004A2521" w:rsidRPr="004A2521" w:rsidRDefault="004A2521" w:rsidP="004A2521">
      <w:pPr>
        <w:pStyle w:val="SingleTxtGR"/>
      </w:pPr>
      <w:r w:rsidRPr="004A2521">
        <w:rPr>
          <w:i/>
        </w:rPr>
        <w:t>Документ</w:t>
      </w:r>
      <w:r w:rsidR="00C74B48" w:rsidRPr="00A34E63">
        <w:rPr>
          <w:i/>
          <w:iCs/>
        </w:rPr>
        <w:t>:</w:t>
      </w:r>
      <w:r w:rsidR="00C74B48">
        <w:tab/>
      </w:r>
      <w:r w:rsidRPr="004A2521">
        <w:t>ECE/TRANS/WP.15/AC.1/2016/22 (ЕАСНГ)</w:t>
      </w:r>
    </w:p>
    <w:p w:rsidR="004A2521" w:rsidRPr="004A2521" w:rsidRDefault="004A2521" w:rsidP="00C74B48">
      <w:pPr>
        <w:pStyle w:val="SingleTxtGR"/>
        <w:jc w:val="left"/>
      </w:pPr>
      <w:r w:rsidRPr="004A2521">
        <w:rPr>
          <w:i/>
        </w:rPr>
        <w:t>Неофициальные документы</w:t>
      </w:r>
      <w:r w:rsidRPr="00A34E63">
        <w:rPr>
          <w:i/>
          <w:iCs/>
        </w:rPr>
        <w:t>:</w:t>
      </w:r>
      <w:r w:rsidRPr="004A2521">
        <w:tab/>
        <w:t>INF.4 (Испания)</w:t>
      </w:r>
      <w:r w:rsidRPr="004A2521">
        <w:br/>
      </w:r>
      <w:r w:rsidRPr="004A2521">
        <w:tab/>
      </w:r>
      <w:r w:rsidRPr="004A2521">
        <w:tab/>
      </w:r>
      <w:r w:rsidR="00C74B48" w:rsidRPr="00C74B48">
        <w:tab/>
      </w:r>
      <w:r w:rsidR="00C74B48" w:rsidRPr="00C74B48">
        <w:tab/>
      </w:r>
      <w:r w:rsidR="00C74B48" w:rsidRPr="00C74B48">
        <w:tab/>
      </w:r>
      <w:r w:rsidRPr="004A2521">
        <w:t>INF.32 (Германия)</w:t>
      </w:r>
      <w:r w:rsidRPr="004A2521">
        <w:br/>
      </w:r>
      <w:r w:rsidRPr="004A2521">
        <w:tab/>
      </w:r>
      <w:r w:rsidR="00C74B48" w:rsidRPr="00C74B48">
        <w:tab/>
      </w:r>
      <w:r w:rsidR="00C74B48" w:rsidRPr="00C74B48">
        <w:tab/>
      </w:r>
      <w:r w:rsidR="00C74B48" w:rsidRPr="00C74B48">
        <w:tab/>
      </w:r>
      <w:r w:rsidR="00C74B48" w:rsidRPr="00C74B48">
        <w:tab/>
      </w:r>
      <w:r w:rsidRPr="004A2521">
        <w:t>INF.37 (ЕАСНГ)</w:t>
      </w:r>
      <w:r w:rsidRPr="004A2521">
        <w:br/>
      </w:r>
      <w:r w:rsidRPr="004A2521">
        <w:rPr>
          <w:i/>
        </w:rPr>
        <w:tab/>
      </w:r>
      <w:r w:rsidR="00C74B48" w:rsidRPr="00C74B48">
        <w:rPr>
          <w:i/>
        </w:rPr>
        <w:tab/>
      </w:r>
      <w:r w:rsidR="00C74B48" w:rsidRPr="00C74B48">
        <w:rPr>
          <w:i/>
        </w:rPr>
        <w:tab/>
      </w:r>
      <w:r w:rsidR="00C74B48" w:rsidRPr="00C74B48">
        <w:rPr>
          <w:i/>
        </w:rPr>
        <w:tab/>
      </w:r>
      <w:r w:rsidR="00C74B48" w:rsidRPr="00C74B48">
        <w:rPr>
          <w:i/>
        </w:rPr>
        <w:tab/>
      </w:r>
      <w:r w:rsidRPr="004A2521">
        <w:t>INF.37/Rev.1 (ЕАСНГ)</w:t>
      </w:r>
    </w:p>
    <w:p w:rsidR="004A2521" w:rsidRPr="004A2521" w:rsidRDefault="004A2521" w:rsidP="004A2521">
      <w:pPr>
        <w:pStyle w:val="SingleTxtGR"/>
      </w:pPr>
      <w:r w:rsidRPr="004A2521">
        <w:t>29.</w:t>
      </w:r>
      <w:r w:rsidRPr="004A2521">
        <w:tab/>
        <w:t>После обсуждения на пленарном заседании предложений ЕАСНГ, направленных от имени неофициальной рабочей группы по альтернативным методам проведения периодической проверки, было принято решение поручить подробное рассмотрение этих предложений рабочей группе, которая проводила свои заседания в обеденные перерывы и представила свой доклад в виде н</w:t>
      </w:r>
      <w:r w:rsidRPr="004A2521">
        <w:t>е</w:t>
      </w:r>
      <w:r w:rsidRPr="004A2521">
        <w:t>официального документа INF.37.</w:t>
      </w:r>
    </w:p>
    <w:p w:rsidR="004A2521" w:rsidRPr="004A2521" w:rsidRDefault="004A2521" w:rsidP="004A2521">
      <w:pPr>
        <w:pStyle w:val="SingleTxtGR"/>
      </w:pPr>
      <w:r w:rsidRPr="004A2521">
        <w:t>30.</w:t>
      </w:r>
      <w:r w:rsidRPr="004A2521">
        <w:tab/>
        <w:t>В этом докладе рабочая группа предложила перечень вопросов для ра</w:t>
      </w:r>
      <w:r w:rsidRPr="004A2521">
        <w:t>с</w:t>
      </w:r>
      <w:r w:rsidRPr="004A2521">
        <w:t>смотрения в ходе будущей работы и проект повестки дня следующей сессии н</w:t>
      </w:r>
      <w:r w:rsidRPr="004A2521">
        <w:t>е</w:t>
      </w:r>
      <w:r w:rsidRPr="004A2521">
        <w:t>официальной рабочей группы, которая состо</w:t>
      </w:r>
      <w:r w:rsidR="00C74B48">
        <w:t>ится в Париже 10–11 января 2017</w:t>
      </w:r>
      <w:r w:rsidR="00C74B48">
        <w:rPr>
          <w:lang w:val="en-US"/>
        </w:rPr>
        <w:t> </w:t>
      </w:r>
      <w:r w:rsidRPr="004A2521">
        <w:t>года. Некоторые делегации сочли, что предложенный перечень не отраж</w:t>
      </w:r>
      <w:r w:rsidRPr="004A2521">
        <w:t>а</w:t>
      </w:r>
      <w:r w:rsidRPr="004A2521">
        <w:t>ет должным образом некоторые озабоченности, высказанные ими в ходе сов</w:t>
      </w:r>
      <w:r w:rsidRPr="004A2521">
        <w:t>е</w:t>
      </w:r>
      <w:r w:rsidRPr="004A2521">
        <w:t>щания группы. Поэтому были составлены (INF.37/Rev.1) и приняты Совмес</w:t>
      </w:r>
      <w:r w:rsidRPr="004A2521">
        <w:t>т</w:t>
      </w:r>
      <w:r w:rsidRPr="004A2521">
        <w:t>ным совещанием пересмотренные перечень вопросов для рассмотрения и п</w:t>
      </w:r>
      <w:r w:rsidRPr="004A2521">
        <w:t>о</w:t>
      </w:r>
      <w:r w:rsidRPr="004A2521">
        <w:t>вестка дня.</w:t>
      </w:r>
    </w:p>
    <w:p w:rsidR="004A2521" w:rsidRPr="004A2521" w:rsidRDefault="004A2521" w:rsidP="004A2521">
      <w:pPr>
        <w:pStyle w:val="SingleTxtGR"/>
      </w:pPr>
      <w:r w:rsidRPr="004A2521">
        <w:t>31.</w:t>
      </w:r>
      <w:r w:rsidRPr="004A2521">
        <w:tab/>
        <w:t>Председатель напомнил о принципе, согласно которому стандарты пр</w:t>
      </w:r>
      <w:r w:rsidRPr="004A2521">
        <w:t>и</w:t>
      </w:r>
      <w:r w:rsidRPr="004A2521">
        <w:t>званы уточнять, каким образом соблюдать основные требования правил, а не подменять собой эти правила. Поэтому разработка стандартов и последующая просьба о включении в МПОГ/ДОПОГ/ВОПОГ основных требований на основе положений этих стандартов представляют собой неправильный подход, прот</w:t>
      </w:r>
      <w:r w:rsidRPr="004A2521">
        <w:t>и</w:t>
      </w:r>
      <w:r w:rsidRPr="004A2521">
        <w:t>воречащий этому принципу.</w:t>
      </w:r>
    </w:p>
    <w:p w:rsidR="004A2521" w:rsidRPr="004A2521" w:rsidRDefault="004A2521" w:rsidP="00C74B48">
      <w:pPr>
        <w:pStyle w:val="H1GR"/>
      </w:pPr>
      <w:r w:rsidRPr="004A2521">
        <w:tab/>
        <w:t>B.</w:t>
      </w:r>
      <w:r w:rsidRPr="004A2521">
        <w:tab/>
        <w:t>Новые предложения</w:t>
      </w:r>
    </w:p>
    <w:p w:rsidR="004A2521" w:rsidRPr="004A2521" w:rsidRDefault="004A2521" w:rsidP="00C74B48">
      <w:pPr>
        <w:pStyle w:val="H23GR"/>
      </w:pPr>
      <w:r w:rsidRPr="004A2521">
        <w:tab/>
        <w:t>1.</w:t>
      </w:r>
      <w:r w:rsidRPr="004A2521">
        <w:tab/>
        <w:t>Поправка к пункту 6.2.3.9.6, касающемуся сосудов под давлением</w:t>
      </w:r>
    </w:p>
    <w:p w:rsidR="004A2521" w:rsidRPr="004A2521" w:rsidRDefault="004A2521" w:rsidP="004A2521">
      <w:pPr>
        <w:pStyle w:val="SingleTxtGR"/>
      </w:pPr>
      <w:r w:rsidRPr="004A2521">
        <w:rPr>
          <w:i/>
        </w:rPr>
        <w:t>Документ:</w:t>
      </w:r>
      <w:r w:rsidR="00C74B48">
        <w:tab/>
      </w:r>
      <w:r w:rsidRPr="004A2521">
        <w:t>ECE/TRANS/WP.15/AC.1/2016/32 (ЕАПГ)</w:t>
      </w:r>
    </w:p>
    <w:p w:rsidR="004A2521" w:rsidRPr="004A2521" w:rsidRDefault="004A2521" w:rsidP="004A2521">
      <w:pPr>
        <w:pStyle w:val="SingleTxtGR"/>
      </w:pPr>
      <w:r w:rsidRPr="004A2521">
        <w:rPr>
          <w:i/>
        </w:rPr>
        <w:t>Неофициальный документ:</w:t>
      </w:r>
      <w:r w:rsidRPr="004A2521">
        <w:tab/>
        <w:t>INF.29 (ЕАПГ)</w:t>
      </w:r>
    </w:p>
    <w:p w:rsidR="004A2521" w:rsidRPr="004A2521" w:rsidRDefault="004A2521" w:rsidP="004A2521">
      <w:pPr>
        <w:pStyle w:val="SingleTxtGR"/>
      </w:pPr>
      <w:r w:rsidRPr="004A2521">
        <w:t>32.</w:t>
      </w:r>
      <w:r w:rsidRPr="004A2521">
        <w:tab/>
        <w:t>Предложение ЕАПГ было принято (см. приложение II).</w:t>
      </w:r>
    </w:p>
    <w:p w:rsidR="004A2521" w:rsidRPr="004A2521" w:rsidRDefault="004A2521" w:rsidP="00C74B48">
      <w:pPr>
        <w:pStyle w:val="H23GR"/>
      </w:pPr>
      <w:r w:rsidRPr="004A2521">
        <w:tab/>
        <w:t>2.</w:t>
      </w:r>
      <w:r w:rsidRPr="004A2521">
        <w:tab/>
        <w:t>Использование позиции под № ООН 1202 для перевозки мазута</w:t>
      </w:r>
    </w:p>
    <w:p w:rsidR="004A2521" w:rsidRPr="004A2521" w:rsidRDefault="004A2521" w:rsidP="004A2521">
      <w:pPr>
        <w:pStyle w:val="SingleTxtGR"/>
      </w:pPr>
      <w:r w:rsidRPr="004A2521">
        <w:rPr>
          <w:i/>
        </w:rPr>
        <w:t>Неофициальный документ:</w:t>
      </w:r>
      <w:r w:rsidRPr="004A2521">
        <w:tab/>
        <w:t>INF.22 (Российская Федерация)</w:t>
      </w:r>
    </w:p>
    <w:p w:rsidR="004A2521" w:rsidRPr="004A2521" w:rsidRDefault="004A2521" w:rsidP="007104F3">
      <w:pPr>
        <w:pStyle w:val="SingleTxtGR"/>
      </w:pPr>
      <w:r w:rsidRPr="004A2521">
        <w:t>33.</w:t>
      </w:r>
      <w:r w:rsidRPr="004A2521">
        <w:tab/>
      </w:r>
      <w:proofErr w:type="gramStart"/>
      <w:r w:rsidRPr="004A2521">
        <w:t>Было отмечено, что согласно Типовым правилам ООН номер ООН 1202 не должен использоваться для продуктов с температурой вспышки выше 60</w:t>
      </w:r>
      <w:r w:rsidR="007104F3">
        <w:t> </w:t>
      </w:r>
      <w:r w:rsidRPr="004A2521">
        <w:t>°C и ниже 100</w:t>
      </w:r>
      <w:r w:rsidR="007104F3">
        <w:t> </w:t>
      </w:r>
      <w:r w:rsidRPr="004A2521">
        <w:t>°С. Вместе с тем, учитывая примечание 2 к пункту 2.2.3.1.1 МПОГ/ДОПОГ/ВОПОГ, которое позволяет отнести к данному номеру ООН топливо дизельное, газойль и топливо печное легкое с температурой вспышки вы</w:t>
      </w:r>
      <w:r w:rsidR="007104F3">
        <w:t>ше 60 </w:t>
      </w:r>
      <w:r w:rsidRPr="004A2521">
        <w:t>°C и ниже 100</w:t>
      </w:r>
      <w:proofErr w:type="gramEnd"/>
      <w:r w:rsidR="007104F3">
        <w:t> </w:t>
      </w:r>
      <w:r w:rsidRPr="004A2521">
        <w:t>°С, ряд делегаций сочли, что было бы также логичным включить в позицию под этим же номером ООН мазут, имеющий аналогичные характеристики, путем добавления «мазут» в качестве возможного надлежащ</w:t>
      </w:r>
      <w:r w:rsidRPr="004A2521">
        <w:t>е</w:t>
      </w:r>
      <w:r w:rsidRPr="004A2521">
        <w:t xml:space="preserve">го отгрузочного наименования либо путем добавления специального положения </w:t>
      </w:r>
      <w:r w:rsidRPr="004A2521">
        <w:lastRenderedPageBreak/>
        <w:t>с указанием надлежащего отгрузочного наименования, которое должно испол</w:t>
      </w:r>
      <w:r w:rsidRPr="004A2521">
        <w:t>ь</w:t>
      </w:r>
      <w:r w:rsidRPr="004A2521">
        <w:t>зоваться для мазута.</w:t>
      </w:r>
    </w:p>
    <w:p w:rsidR="004A2521" w:rsidRPr="004A2521" w:rsidRDefault="004A2521" w:rsidP="004A2521">
      <w:pPr>
        <w:pStyle w:val="SingleTxtGR"/>
      </w:pPr>
      <w:r w:rsidRPr="004A2521">
        <w:t>34.</w:t>
      </w:r>
      <w:r w:rsidRPr="004A2521">
        <w:tab/>
        <w:t>С другой стороны, было отмечено, что</w:t>
      </w:r>
      <w:r w:rsidR="007104F3">
        <w:t xml:space="preserve"> если, как следует из докуме</w:t>
      </w:r>
      <w:r w:rsidR="007104F3">
        <w:t>н</w:t>
      </w:r>
      <w:r w:rsidR="007104F3">
        <w:t>та </w:t>
      </w:r>
      <w:r w:rsidRPr="004A2521">
        <w:t xml:space="preserve">INF.22, мазут перевозится при температурах, превышающих температуру вспышки, то надлежащим номером ООН является </w:t>
      </w:r>
      <w:r w:rsidR="00164E11">
        <w:t>№</w:t>
      </w:r>
      <w:r w:rsidRPr="004A2521">
        <w:t xml:space="preserve"> 3256.</w:t>
      </w:r>
    </w:p>
    <w:p w:rsidR="004A2521" w:rsidRPr="004A2521" w:rsidRDefault="004A2521" w:rsidP="004A2521">
      <w:pPr>
        <w:pStyle w:val="SingleTxtGR"/>
      </w:pPr>
      <w:r w:rsidRPr="004A2521">
        <w:t>35.</w:t>
      </w:r>
      <w:r w:rsidRPr="004A2521">
        <w:tab/>
        <w:t>Представителя Российской Федерации попросили подготовить для сл</w:t>
      </w:r>
      <w:r w:rsidRPr="004A2521">
        <w:t>е</w:t>
      </w:r>
      <w:r w:rsidRPr="004A2521">
        <w:t>дующей сессии официальное предложение с более четким разъяснением того, как перевозится мазут (а именно: при температуре ниже или выше температуры вспышки). На нынешнем этапе, по всей видимости, нет необходимости обр</w:t>
      </w:r>
      <w:r w:rsidRPr="004A2521">
        <w:t>а</w:t>
      </w:r>
      <w:r w:rsidRPr="004A2521">
        <w:t>щаться в Подкомитет экспертов ООН, если только Российская Федерация не желает распространить исключение, предусмотренное примечанием 2 в МПОГ/ДОПОГ/ВОПОГ, на все виды транспорта.</w:t>
      </w:r>
    </w:p>
    <w:p w:rsidR="004A2521" w:rsidRPr="004A2521" w:rsidRDefault="004A2521" w:rsidP="00D90532">
      <w:pPr>
        <w:pStyle w:val="H23GR"/>
      </w:pPr>
      <w:r w:rsidRPr="004A2521">
        <w:tab/>
        <w:t>3.</w:t>
      </w:r>
      <w:r w:rsidRPr="004A2521">
        <w:tab/>
        <w:t xml:space="preserve">Обязанности участников перевозки и </w:t>
      </w:r>
      <w:proofErr w:type="spellStart"/>
      <w:r w:rsidRPr="004A2521">
        <w:t>прослеживаемость</w:t>
      </w:r>
      <w:proofErr w:type="spellEnd"/>
    </w:p>
    <w:p w:rsidR="004A2521" w:rsidRPr="004A2521" w:rsidRDefault="004A2521" w:rsidP="004A2521">
      <w:pPr>
        <w:pStyle w:val="SingleTxtGR"/>
      </w:pPr>
      <w:r w:rsidRPr="004A2521">
        <w:rPr>
          <w:i/>
        </w:rPr>
        <w:t>Документ:</w:t>
      </w:r>
      <w:r w:rsidR="00D90532">
        <w:tab/>
      </w:r>
      <w:r w:rsidRPr="004A2521">
        <w:t>ECE/TRANS/WP.15/AC.1/2016/29 (Италия)</w:t>
      </w:r>
    </w:p>
    <w:p w:rsidR="004A2521" w:rsidRPr="004A2521" w:rsidRDefault="004A2521" w:rsidP="004A2521">
      <w:pPr>
        <w:pStyle w:val="SingleTxtGR"/>
      </w:pPr>
      <w:r w:rsidRPr="004A2521">
        <w:t>36.</w:t>
      </w:r>
      <w:r w:rsidRPr="004A2521">
        <w:tab/>
        <w:t xml:space="preserve">Совместное совещание с интересом рассмотрело возможность включения в МПОГ, ДОПОГ и ВОПОГ требования относительно </w:t>
      </w:r>
      <w:proofErr w:type="spellStart"/>
      <w:r w:rsidRPr="004A2521">
        <w:t>прослеживаемости</w:t>
      </w:r>
      <w:proofErr w:type="spellEnd"/>
      <w:r w:rsidRPr="004A2521">
        <w:t xml:space="preserve"> де</w:t>
      </w:r>
      <w:r w:rsidRPr="004A2521">
        <w:t>я</w:t>
      </w:r>
      <w:r w:rsidRPr="004A2521">
        <w:t>тельности участников перевозки в процессе транспортировки опасных грузов. Однако ряд делегаций не поддержали предложение, представленное в докуме</w:t>
      </w:r>
      <w:r w:rsidRPr="004A2521">
        <w:t>н</w:t>
      </w:r>
      <w:r w:rsidRPr="004A2521">
        <w:t xml:space="preserve">те </w:t>
      </w:r>
      <w:r w:rsidR="00164E11" w:rsidRPr="00164E11">
        <w:rPr>
          <w:lang w:val="en-GB"/>
        </w:rPr>
        <w:t>ECE</w:t>
      </w:r>
      <w:r w:rsidR="00164E11" w:rsidRPr="007B44C8">
        <w:t>/</w:t>
      </w:r>
      <w:r w:rsidR="00164E11" w:rsidRPr="00164E11">
        <w:rPr>
          <w:lang w:val="en-GB"/>
        </w:rPr>
        <w:t>TRANS</w:t>
      </w:r>
      <w:r w:rsidR="00164E11" w:rsidRPr="007B44C8">
        <w:t>/</w:t>
      </w:r>
      <w:r w:rsidR="00164E11" w:rsidRPr="00164E11">
        <w:rPr>
          <w:lang w:val="en-GB"/>
        </w:rPr>
        <w:t>WP</w:t>
      </w:r>
      <w:r w:rsidR="00164E11" w:rsidRPr="007B44C8">
        <w:t>.15/</w:t>
      </w:r>
      <w:r w:rsidR="00164E11" w:rsidRPr="00164E11">
        <w:rPr>
          <w:lang w:val="en-GB"/>
        </w:rPr>
        <w:t>AC</w:t>
      </w:r>
      <w:r w:rsidR="00164E11" w:rsidRPr="007B44C8">
        <w:t>.1/2016/29</w:t>
      </w:r>
      <w:r w:rsidRPr="004A2521">
        <w:t>, посчитав его, в частности, слишком о</w:t>
      </w:r>
      <w:r w:rsidRPr="004A2521">
        <w:t>б</w:t>
      </w:r>
      <w:r w:rsidRPr="004A2521">
        <w:t>щим в отношении соответствующей деятельности и сведений.</w:t>
      </w:r>
    </w:p>
    <w:p w:rsidR="004A2521" w:rsidRPr="004A2521" w:rsidRDefault="004A2521" w:rsidP="004A2521">
      <w:pPr>
        <w:pStyle w:val="SingleTxtGR"/>
      </w:pPr>
      <w:r w:rsidRPr="004A2521">
        <w:t>37.</w:t>
      </w:r>
      <w:r w:rsidRPr="004A2521">
        <w:tab/>
        <w:t>Представитель Италии сможет представить на одной из следующих се</w:t>
      </w:r>
      <w:r w:rsidRPr="004A2521">
        <w:t>с</w:t>
      </w:r>
      <w:r w:rsidRPr="004A2521">
        <w:t xml:space="preserve">сий пересмотренное предложение. В этом новом предложении нужно будет уточнить, в каких рамках требуется информация о </w:t>
      </w:r>
      <w:proofErr w:type="spellStart"/>
      <w:r w:rsidRPr="004A2521">
        <w:t>прослеживаемости</w:t>
      </w:r>
      <w:proofErr w:type="spellEnd"/>
      <w:r w:rsidRPr="004A2521">
        <w:t xml:space="preserve"> (система управления безопасностью или сведения, требуемые для проведения проверки). В случае сведений, требуемых для проведения проверки, можно было бы предусмотреть возможность дополнения пункта 1.8.1.2.</w:t>
      </w:r>
    </w:p>
    <w:p w:rsidR="004A2521" w:rsidRPr="004A2521" w:rsidRDefault="004A2521" w:rsidP="004A2521">
      <w:pPr>
        <w:pStyle w:val="SingleTxtGR"/>
      </w:pPr>
      <w:r w:rsidRPr="004A2521">
        <w:t>38.</w:t>
      </w:r>
      <w:r w:rsidRPr="004A2521">
        <w:tab/>
        <w:t>Представитель Италии предложил делегациям, желающим сделать это, передать ему свои замечания в письменном виде.</w:t>
      </w:r>
    </w:p>
    <w:p w:rsidR="004A2521" w:rsidRPr="004A2521" w:rsidRDefault="004A2521" w:rsidP="00D90532">
      <w:pPr>
        <w:pStyle w:val="H23GR"/>
      </w:pPr>
      <w:r w:rsidRPr="004A2521">
        <w:tab/>
        <w:t>4.</w:t>
      </w:r>
      <w:r w:rsidRPr="004A2521">
        <w:tab/>
        <w:t>Использование терминов «опасность» и «риск» в пункте 1.4.1.1</w:t>
      </w:r>
    </w:p>
    <w:p w:rsidR="004A2521" w:rsidRPr="004A2521" w:rsidRDefault="004A2521" w:rsidP="004A2521">
      <w:pPr>
        <w:pStyle w:val="SingleTxtGR"/>
      </w:pPr>
      <w:r w:rsidRPr="004A2521">
        <w:rPr>
          <w:i/>
        </w:rPr>
        <w:t>Неофициальный документ:</w:t>
      </w:r>
      <w:r w:rsidRPr="004A2521">
        <w:tab/>
      </w:r>
      <w:r w:rsidRPr="004A2521">
        <w:tab/>
        <w:t>INF.33 (Румыния)</w:t>
      </w:r>
    </w:p>
    <w:p w:rsidR="004A2521" w:rsidRPr="004A2521" w:rsidRDefault="004A2521" w:rsidP="004A2521">
      <w:pPr>
        <w:pStyle w:val="SingleTxtGR"/>
      </w:pPr>
      <w:r w:rsidRPr="004A2521">
        <w:t>39.</w:t>
      </w:r>
      <w:r w:rsidRPr="004A2521">
        <w:tab/>
        <w:t>Совместное совещание отметило, что Подкомитет экспертов ООН по п</w:t>
      </w:r>
      <w:r w:rsidRPr="004A2521">
        <w:t>е</w:t>
      </w:r>
      <w:r w:rsidRPr="004A2521">
        <w:t>ревозке опасных грузов принял поправки, направленные на согласование и</w:t>
      </w:r>
      <w:r w:rsidRPr="004A2521">
        <w:t>с</w:t>
      </w:r>
      <w:r w:rsidRPr="004A2521">
        <w:t>пользования терминов «опасность» и «риск» в следующем издании Типовых правил. Совместное совещание предложило представителю Румынии внести свое предложение в виде официального документа на осенней сессии 2017 года с учетом результатов работы Специальной рабочей группы по согласованию правил МПОГ/ДОПОГ/ВОПОГ с Рекомендациями ООН по перевозке опасных грузов.</w:t>
      </w:r>
    </w:p>
    <w:p w:rsidR="004A2521" w:rsidRPr="004A2521" w:rsidRDefault="004A2521" w:rsidP="00D90532">
      <w:pPr>
        <w:pStyle w:val="H23GR"/>
      </w:pPr>
      <w:r w:rsidRPr="004A2521">
        <w:tab/>
        <w:t>5.</w:t>
      </w:r>
      <w:r w:rsidRPr="004A2521">
        <w:tab/>
        <w:t>Обязанности перевозчика; осмотр груза в опломбированных грузовых транспортных единицах</w:t>
      </w:r>
    </w:p>
    <w:p w:rsidR="004A2521" w:rsidRPr="004A2521" w:rsidRDefault="004A2521" w:rsidP="004A2521">
      <w:pPr>
        <w:pStyle w:val="SingleTxtGR"/>
      </w:pPr>
      <w:r w:rsidRPr="004A2521">
        <w:rPr>
          <w:i/>
        </w:rPr>
        <w:t>Документ:</w:t>
      </w:r>
      <w:r w:rsidR="00D90532">
        <w:tab/>
      </w:r>
      <w:r w:rsidRPr="004A2521">
        <w:t>ECE/TRANS/WP.15/AC.1/2016/34 (Австрия)</w:t>
      </w:r>
    </w:p>
    <w:p w:rsidR="004A2521" w:rsidRPr="004A2521" w:rsidRDefault="004A2521" w:rsidP="004A2521">
      <w:pPr>
        <w:pStyle w:val="SingleTxtGR"/>
      </w:pPr>
      <w:r w:rsidRPr="004A2521">
        <w:rPr>
          <w:i/>
        </w:rPr>
        <w:t>Неофициальный документ:</w:t>
      </w:r>
      <w:r w:rsidRPr="004A2521">
        <w:tab/>
        <w:t>INF.36 (Австрия)</w:t>
      </w:r>
    </w:p>
    <w:p w:rsidR="004A2521" w:rsidRPr="004A2521" w:rsidRDefault="004A2521" w:rsidP="004A2521">
      <w:pPr>
        <w:pStyle w:val="SingleTxtGR"/>
      </w:pPr>
      <w:r w:rsidRPr="004A2521">
        <w:t>40.</w:t>
      </w:r>
      <w:r w:rsidRPr="004A2521">
        <w:tab/>
      </w:r>
      <w:proofErr w:type="gramStart"/>
      <w:r w:rsidRPr="004A2521">
        <w:t>После продолжительного обсуждения, в ходе которого мнения разошлись по вопросу о том, каким образом перевозчик может путем осмотра гарантир</w:t>
      </w:r>
      <w:r w:rsidRPr="004A2521">
        <w:t>о</w:t>
      </w:r>
      <w:r w:rsidRPr="004A2521">
        <w:t xml:space="preserve">вать, что груз, находящийся в контейнере или в транспортном средстве/вагоне, </w:t>
      </w:r>
      <w:r w:rsidRPr="004A2521">
        <w:lastRenderedPageBreak/>
        <w:t>не имеет каких-либо дефектов, было решено лишь внести изменение в пункт 1.4.2.2.2 в соответствии с предложением, содержащимся в неофициал</w:t>
      </w:r>
      <w:r w:rsidRPr="004A2521">
        <w:t>ь</w:t>
      </w:r>
      <w:r w:rsidRPr="004A2521">
        <w:t>ном документе INF.36, с некоторыми изменениями (см. приложение II).</w:t>
      </w:r>
      <w:proofErr w:type="gramEnd"/>
    </w:p>
    <w:p w:rsidR="004A2521" w:rsidRPr="004A2521" w:rsidRDefault="004A2521" w:rsidP="00D90532">
      <w:pPr>
        <w:pStyle w:val="H23GR"/>
      </w:pPr>
      <w:r w:rsidRPr="004A2521">
        <w:tab/>
        <w:t>6.</w:t>
      </w:r>
      <w:r w:rsidRPr="004A2521">
        <w:tab/>
        <w:t xml:space="preserve">Использование емкостей для сбора отходов, удовлетворяющих </w:t>
      </w:r>
      <w:r w:rsidR="00D90532" w:rsidRPr="00D90532">
        <w:br/>
      </w:r>
      <w:r w:rsidRPr="004A2521">
        <w:t xml:space="preserve">как требованиям главы 6.1 в отношении тары, так и требованиям </w:t>
      </w:r>
      <w:r w:rsidR="00D90532" w:rsidRPr="00D90532">
        <w:br/>
      </w:r>
      <w:r w:rsidRPr="004A2521">
        <w:t xml:space="preserve">главы 6.5 в отношении контейнеров средней грузоподъемности </w:t>
      </w:r>
      <w:r w:rsidR="00D90532" w:rsidRPr="00D90532">
        <w:br/>
      </w:r>
      <w:r w:rsidRPr="004A2521">
        <w:t>для массовых грузов</w:t>
      </w:r>
    </w:p>
    <w:p w:rsidR="004A2521" w:rsidRPr="004A2521" w:rsidRDefault="004A2521" w:rsidP="004A2521">
      <w:pPr>
        <w:pStyle w:val="SingleTxtGR"/>
      </w:pPr>
      <w:r w:rsidRPr="004A2521">
        <w:rPr>
          <w:i/>
        </w:rPr>
        <w:t>Неофициальный документ:</w:t>
      </w:r>
      <w:r w:rsidRPr="004A2521">
        <w:tab/>
        <w:t>INF.24 (ФЕАД)</w:t>
      </w:r>
    </w:p>
    <w:p w:rsidR="004A2521" w:rsidRPr="004A2521" w:rsidRDefault="004A2521" w:rsidP="007104F3">
      <w:pPr>
        <w:pStyle w:val="SingleTxtGR"/>
      </w:pPr>
      <w:r w:rsidRPr="004A2521">
        <w:t>41.</w:t>
      </w:r>
      <w:r w:rsidRPr="004A2521">
        <w:tab/>
        <w:t>Представитель ФЕАД пояснил, что в контексте сбора отходов металлич</w:t>
      </w:r>
      <w:r w:rsidRPr="004A2521">
        <w:t>е</w:t>
      </w:r>
      <w:r w:rsidRPr="004A2521">
        <w:t>ские ящики имеют двойное назначение: ящик 4A используется для перевоз</w:t>
      </w:r>
      <w:r w:rsidR="00D90532">
        <w:t>ки малых емкостей, а КСГМГ 11A</w:t>
      </w:r>
      <w:r w:rsidR="007104F3">
        <w:t xml:space="preserve"> </w:t>
      </w:r>
      <w:r w:rsidR="00D90532" w:rsidRPr="00D90532">
        <w:t>–</w:t>
      </w:r>
      <w:r w:rsidRPr="004A2521">
        <w:t xml:space="preserve"> для перевозки твердых веществ нав</w:t>
      </w:r>
      <w:r w:rsidRPr="004A2521">
        <w:t>а</w:t>
      </w:r>
      <w:r w:rsidRPr="004A2521">
        <w:t>лом/насыпью. Они оба отвечают требованиям глав 6.1 и 6.5 и в силу этого несут двойную маркировку. Вместе с тем определение КСГМГ в разделе 1.2.1 искл</w:t>
      </w:r>
      <w:r w:rsidRPr="004A2521">
        <w:t>ю</w:t>
      </w:r>
      <w:r w:rsidRPr="004A2521">
        <w:t>чает виды тары, определенные в главе 6.1. Поэтому он предложил изменить данное определение.</w:t>
      </w:r>
    </w:p>
    <w:p w:rsidR="004A2521" w:rsidRPr="004A2521" w:rsidRDefault="004A2521" w:rsidP="004A2521">
      <w:pPr>
        <w:pStyle w:val="SingleTxtGR"/>
      </w:pPr>
      <w:r w:rsidRPr="004A2521">
        <w:t>42.</w:t>
      </w:r>
      <w:r w:rsidRPr="004A2521">
        <w:tab/>
        <w:t>По мнению ряда делегаций, до внесения изменений в данное определ</w:t>
      </w:r>
      <w:r w:rsidRPr="004A2521">
        <w:t>е</w:t>
      </w:r>
      <w:r w:rsidRPr="004A2521">
        <w:t>ние необходимо довести этот вопрос до сведения Подкомитета экспертов Орг</w:t>
      </w:r>
      <w:r w:rsidRPr="004A2521">
        <w:t>а</w:t>
      </w:r>
      <w:r w:rsidRPr="004A2521">
        <w:t>низации Объединенных Наций. Предлагаемая поправка может иметь смысл в данном случае, однако в других случаях она может привести к нежелательным последствиям. Было бы также целесообразно рассмотреть вопрос о том, не м</w:t>
      </w:r>
      <w:r w:rsidRPr="004A2521">
        <w:t>о</w:t>
      </w:r>
      <w:r w:rsidRPr="004A2521">
        <w:t>жет ли данная проблема быть конкретно решена в рамках МПОГ/ДОПОГ/</w:t>
      </w:r>
      <w:r w:rsidR="00D90532" w:rsidRPr="00D90532">
        <w:br/>
      </w:r>
      <w:r w:rsidRPr="004A2521">
        <w:t>ВОПОГ каким-либо другим образом, без внесения изменений в определение, содержащееся в Типовых правилах ООН.</w:t>
      </w:r>
    </w:p>
    <w:p w:rsidR="004A2521" w:rsidRPr="004A2521" w:rsidRDefault="004A2521" w:rsidP="004A2521">
      <w:pPr>
        <w:pStyle w:val="SingleTxtGR"/>
      </w:pPr>
      <w:r w:rsidRPr="004A2521">
        <w:t>43.</w:t>
      </w:r>
      <w:r w:rsidRPr="004A2521">
        <w:tab/>
        <w:t>Представителю ФЕАД было предложено подготовить для следующей сессии новое предложение, подкрепив его более точными и подробными раз</w:t>
      </w:r>
      <w:r w:rsidRPr="004A2521">
        <w:t>ъ</w:t>
      </w:r>
      <w:r w:rsidRPr="004A2521">
        <w:t>яснениями относительно этих типов емкостей с учетом вопросов, поднятых различными делегациями.</w:t>
      </w:r>
    </w:p>
    <w:p w:rsidR="004A2521" w:rsidRPr="004A2521" w:rsidRDefault="004A2521" w:rsidP="00D90532">
      <w:pPr>
        <w:pStyle w:val="H23GR"/>
      </w:pPr>
      <w:r w:rsidRPr="004A2521">
        <w:tab/>
        <w:t>7.</w:t>
      </w:r>
      <w:r w:rsidRPr="004A2521">
        <w:tab/>
        <w:t>Перевозка отработанных газоразрядных ламп «TL» низкого давления</w:t>
      </w:r>
    </w:p>
    <w:p w:rsidR="004A2521" w:rsidRPr="004A2521" w:rsidRDefault="004A2521" w:rsidP="004A2521">
      <w:pPr>
        <w:pStyle w:val="SingleTxtGR"/>
      </w:pPr>
      <w:r w:rsidRPr="004A2521">
        <w:rPr>
          <w:i/>
        </w:rPr>
        <w:t>Неофициальный документ:</w:t>
      </w:r>
      <w:r w:rsidRPr="004A2521">
        <w:tab/>
        <w:t>INF.25 (ФЕАД)</w:t>
      </w:r>
    </w:p>
    <w:p w:rsidR="004A2521" w:rsidRPr="004A2521" w:rsidRDefault="004A2521" w:rsidP="004A2521">
      <w:pPr>
        <w:pStyle w:val="SingleTxtGR"/>
      </w:pPr>
      <w:r w:rsidRPr="004A2521">
        <w:t>44.</w:t>
      </w:r>
      <w:r w:rsidRPr="004A2521">
        <w:tab/>
        <w:t>Относительно предложения ФЕАД мнения участников разделились.</w:t>
      </w:r>
    </w:p>
    <w:p w:rsidR="004A2521" w:rsidRPr="004A2521" w:rsidRDefault="004A2521" w:rsidP="00D90532">
      <w:pPr>
        <w:pStyle w:val="SingleTxtGR"/>
      </w:pPr>
      <w:r w:rsidRPr="004A2521">
        <w:t>45.</w:t>
      </w:r>
      <w:r w:rsidRPr="004A2521">
        <w:tab/>
        <w:t>Данное предложение предусматривает распространение изъятия согласно пункту 1.1.3.10</w:t>
      </w:r>
      <w:r w:rsidR="00D90532" w:rsidRPr="00D90532">
        <w:t xml:space="preserve"> </w:t>
      </w:r>
      <w:r w:rsidR="00D90532">
        <w:rPr>
          <w:lang w:val="en-US"/>
        </w:rPr>
        <w:t>a</w:t>
      </w:r>
      <w:r w:rsidR="00D90532">
        <w:t>)</w:t>
      </w:r>
      <w:r w:rsidRPr="004A2521">
        <w:t xml:space="preserve"> на газоразрядные лампы низкого давления, собранные у предприятий, а не только у частных лиц, но в случае сбора у частных лиц огр</w:t>
      </w:r>
      <w:r w:rsidRPr="004A2521">
        <w:t>а</w:t>
      </w:r>
      <w:r w:rsidRPr="004A2521">
        <w:t>ничивает изъятие газоразрядными лампами низкого давления. Однако изъятие согласно пункту 1.1.3.10 связано с тем, что на практике трудно требовать от частных лиц соблюдения правил перевозки опасных грузов, причем независимо от типа отработанной лампы. Эта трудность существует также, вероятно, в сл</w:t>
      </w:r>
      <w:r w:rsidRPr="004A2521">
        <w:t>у</w:t>
      </w:r>
      <w:r w:rsidRPr="004A2521">
        <w:t>чае ремесленников и мелких предприятий, однако на нее нельзя ссылаться в случае крупных компаний.</w:t>
      </w:r>
    </w:p>
    <w:p w:rsidR="004A2521" w:rsidRPr="004A2521" w:rsidRDefault="004A2521" w:rsidP="00D90532">
      <w:pPr>
        <w:pStyle w:val="SingleTxtGR"/>
      </w:pPr>
      <w:r w:rsidRPr="004A2521">
        <w:t>46.</w:t>
      </w:r>
      <w:r w:rsidRPr="004A2521">
        <w:tab/>
        <w:t>Большинство делегаций не поддержали исключение пункта 1.1.3.10</w:t>
      </w:r>
      <w:r w:rsidR="00D90532">
        <w:t xml:space="preserve"> с)</w:t>
      </w:r>
      <w:r w:rsidRPr="004A2521">
        <w:t>, поскольку, по их мнению, помимо сл</w:t>
      </w:r>
      <w:r w:rsidR="00B97741">
        <w:t>учая сбора у частных лиц (пункт </w:t>
      </w:r>
      <w:r w:rsidRPr="004A2521">
        <w:t>1.1.3.10</w:t>
      </w:r>
      <w:r w:rsidR="00B97741">
        <w:t> </w:t>
      </w:r>
      <w:r w:rsidR="00D90532">
        <w:t>а</w:t>
      </w:r>
      <w:r w:rsidR="00B97741">
        <w:t>)</w:t>
      </w:r>
      <w:r w:rsidRPr="004A2521">
        <w:t>) и случая ламп, содержащих только ртуть в количестве не б</w:t>
      </w:r>
      <w:r w:rsidRPr="004A2521">
        <w:t>о</w:t>
      </w:r>
      <w:r w:rsidRPr="004A2521">
        <w:t>лее 1 кг, перевозка отработанных ламп, содержащих опасные грузы, должна осуществляться в соответствии с правилами безопасности.</w:t>
      </w:r>
    </w:p>
    <w:p w:rsidR="004A2521" w:rsidRPr="004A2521" w:rsidRDefault="004A2521" w:rsidP="004A2521">
      <w:pPr>
        <w:pStyle w:val="SingleTxtGR"/>
      </w:pPr>
      <w:r w:rsidRPr="004A2521">
        <w:t>47.</w:t>
      </w:r>
      <w:r w:rsidRPr="004A2521">
        <w:tab/>
        <w:t xml:space="preserve">Было отмечено, что в специальном положении 366 предусмотрено полное изъятие в отношении ламп, содержащих в качестве опасного вещества только ртуть в количестве не более 1 кг, в том числе в отношении газоразрядных ламп </w:t>
      </w:r>
      <w:r w:rsidRPr="004A2521">
        <w:lastRenderedPageBreak/>
        <w:t>«TL» с низким давлением паров ртути. Одна из делегаций оспорила это пол</w:t>
      </w:r>
      <w:r w:rsidRPr="004A2521">
        <w:t>о</w:t>
      </w:r>
      <w:r w:rsidRPr="004A2521">
        <w:t>жение, так как, по ее мнению, данное изъятие действительно по отношению к ртути, содержащейся в приборах или изделиях, но не в случае неупакованных поврежденных ламп, из которых могут улетучиваться пары ртути.</w:t>
      </w:r>
    </w:p>
    <w:p w:rsidR="004A2521" w:rsidRPr="004A2521" w:rsidRDefault="004A2521" w:rsidP="004A2521">
      <w:pPr>
        <w:pStyle w:val="SingleTxtGR"/>
      </w:pPr>
      <w:r w:rsidRPr="004A2521">
        <w:t>48.</w:t>
      </w:r>
      <w:r w:rsidRPr="004A2521">
        <w:tab/>
        <w:t xml:space="preserve">Представителю ФЕАД было предложено пересмотреть свое предложение с учетом этих замечаний. </w:t>
      </w:r>
      <w:proofErr w:type="gramStart"/>
      <w:r w:rsidRPr="004A2521">
        <w:t>Председатель заявил, что, принимая во внимание с</w:t>
      </w:r>
      <w:r w:rsidRPr="004A2521">
        <w:t>о</w:t>
      </w:r>
      <w:r w:rsidRPr="004A2521">
        <w:t>мнения, выраженные в отношении толкования пункта 1.1.3.10 и специального положения 366, следует, возможно, вновь ознакомиться с документами Подк</w:t>
      </w:r>
      <w:r w:rsidRPr="004A2521">
        <w:t>о</w:t>
      </w:r>
      <w:r w:rsidRPr="004A2521">
        <w:t>митета экспертов Организации Объединенных Наций, на основании которых были предусмотрены изъятия в соответствии с пунктом 1.1.1.9 Типовых правил ООН и специальное положение 366 (ST/SG/AC.10/C.3/80, пункт 29, и неофиц</w:t>
      </w:r>
      <w:r w:rsidRPr="004A2521">
        <w:t>и</w:t>
      </w:r>
      <w:r w:rsidRPr="004A2521">
        <w:t>альный документ INF.12</w:t>
      </w:r>
      <w:proofErr w:type="gramEnd"/>
      <w:r w:rsidRPr="004A2521">
        <w:t xml:space="preserve">, </w:t>
      </w:r>
      <w:proofErr w:type="gramStart"/>
      <w:r w:rsidRPr="004A2521">
        <w:t>представленный на сороковой сессии; ST/SG/AC.10/</w:t>
      </w:r>
      <w:r w:rsidR="007104F3">
        <w:br/>
      </w:r>
      <w:r w:rsidRPr="004A2521">
        <w:t>C.3/82, пункт 121, и неофициальный документ INF.18, представленный на сорок первой сессии; ST/SG/AC.10/C.3/84, пункт 50; ST/SG/AC.10/C.3/2012/76; н</w:t>
      </w:r>
      <w:r w:rsidRPr="004A2521">
        <w:t>е</w:t>
      </w:r>
      <w:r w:rsidRPr="004A2521">
        <w:t>официальные документы INF.3, INF.55, INF.6</w:t>
      </w:r>
      <w:r w:rsidR="007B44C8">
        <w:t>1 и INF.61/Rev.1, представленные</w:t>
      </w:r>
      <w:r w:rsidRPr="004A2521">
        <w:t xml:space="preserve"> на сорок второй сессии).</w:t>
      </w:r>
      <w:proofErr w:type="gramEnd"/>
    </w:p>
    <w:p w:rsidR="004A2521" w:rsidRPr="004A2521" w:rsidRDefault="004A2521" w:rsidP="00B97741">
      <w:pPr>
        <w:pStyle w:val="HChGR"/>
      </w:pPr>
      <w:r w:rsidRPr="004A2521">
        <w:tab/>
        <w:t>VII.</w:t>
      </w:r>
      <w:r w:rsidRPr="004A2521">
        <w:tab/>
        <w:t xml:space="preserve">Доклады неофициальных рабочих групп </w:t>
      </w:r>
      <w:r w:rsidR="00B97741">
        <w:br/>
      </w:r>
      <w:r w:rsidRPr="004A2521">
        <w:t>(пункт 6 повестки дня)</w:t>
      </w:r>
    </w:p>
    <w:p w:rsidR="004A2521" w:rsidRPr="004A2521" w:rsidRDefault="004A2521" w:rsidP="00B97741">
      <w:pPr>
        <w:pStyle w:val="H1GR"/>
      </w:pPr>
      <w:r w:rsidRPr="004A2521">
        <w:tab/>
        <w:t>A.</w:t>
      </w:r>
      <w:r w:rsidRPr="004A2521">
        <w:tab/>
        <w:t>Дискуссии по вопросу о допуске сосудов, утвержденных Министерством транспорта Соединенных Штатов Америки</w:t>
      </w:r>
    </w:p>
    <w:p w:rsidR="004A2521" w:rsidRPr="004A2521" w:rsidRDefault="004A2521" w:rsidP="004A2521">
      <w:pPr>
        <w:pStyle w:val="SingleTxtGR"/>
      </w:pPr>
      <w:r w:rsidRPr="004A2521">
        <w:rPr>
          <w:i/>
        </w:rPr>
        <w:t>Документ:</w:t>
      </w:r>
      <w:r w:rsidR="00B97741">
        <w:tab/>
      </w:r>
      <w:r w:rsidRPr="004A2521">
        <w:t>ECE/TRANS/WP.15/AC.1/2016/30 (ЕАПГ)</w:t>
      </w:r>
    </w:p>
    <w:p w:rsidR="004A2521" w:rsidRPr="004A2521" w:rsidRDefault="004A2521" w:rsidP="004A2521">
      <w:pPr>
        <w:pStyle w:val="SingleTxtGR"/>
      </w:pPr>
      <w:r w:rsidRPr="004A2521">
        <w:t>49.</w:t>
      </w:r>
      <w:r w:rsidRPr="004A2521">
        <w:tab/>
        <w:t>Совместное совещание с удовлетворением отметило прогресс на перег</w:t>
      </w:r>
      <w:r w:rsidRPr="004A2521">
        <w:t>о</w:t>
      </w:r>
      <w:r w:rsidRPr="004A2521">
        <w:t>ворах, которые ведутся ЕАПГ и Ассоциацией по сжатым газам с тем, чтобы обеспечить к 2019 году принятие американскими властями сосудов под давл</w:t>
      </w:r>
      <w:r w:rsidRPr="004A2521">
        <w:t>е</w:t>
      </w:r>
      <w:r w:rsidRPr="004A2521">
        <w:t>нием МПОГ/ДОПОГ в обмен на принятие европейскими властями сосудов, утвержденных Министерством транспорта, на условиях, предусмотренных в многостороннем соглашении M299. Если эти усилия окажутся успешными, можно будет рассмотреть вопрос об изменении МПОГ/ДОПОГ с целью вкл</w:t>
      </w:r>
      <w:r w:rsidRPr="004A2521">
        <w:t>ю</w:t>
      </w:r>
      <w:r w:rsidRPr="004A2521">
        <w:t>чения условий соглашения M299.</w:t>
      </w:r>
    </w:p>
    <w:p w:rsidR="004A2521" w:rsidRPr="004A2521" w:rsidRDefault="004A2521" w:rsidP="00764BEA">
      <w:pPr>
        <w:pStyle w:val="H1GR"/>
      </w:pPr>
      <w:r w:rsidRPr="004A2521">
        <w:tab/>
        <w:t>B.</w:t>
      </w:r>
      <w:r w:rsidRPr="004A2521">
        <w:tab/>
        <w:t>Неофициальная рабочая группа по перевозке отходов электрического и электронного оборудования, содержащего литиевые батареи</w:t>
      </w:r>
    </w:p>
    <w:p w:rsidR="004A2521" w:rsidRPr="004A2521" w:rsidRDefault="004A2521" w:rsidP="004A2521">
      <w:pPr>
        <w:pStyle w:val="SingleTxtGR"/>
      </w:pPr>
      <w:r w:rsidRPr="004A2521">
        <w:rPr>
          <w:i/>
        </w:rPr>
        <w:t>Документ:</w:t>
      </w:r>
      <w:r w:rsidR="00764BEA">
        <w:tab/>
      </w:r>
      <w:r w:rsidRPr="004A2521">
        <w:t>ECE/TRANS/WP.15/AC.1/2016/19 (Германия)</w:t>
      </w:r>
    </w:p>
    <w:p w:rsidR="004A2521" w:rsidRPr="004A2521" w:rsidRDefault="004A2521" w:rsidP="00764BEA">
      <w:pPr>
        <w:pStyle w:val="SingleTxtGR"/>
        <w:jc w:val="left"/>
      </w:pPr>
      <w:r w:rsidRPr="004A2521">
        <w:rPr>
          <w:i/>
        </w:rPr>
        <w:t>Неофициальные документы:</w:t>
      </w:r>
      <w:r w:rsidRPr="004A2521">
        <w:tab/>
        <w:t>INF.3 (Германия)</w:t>
      </w:r>
      <w:r w:rsidRPr="004A2521">
        <w:br/>
      </w:r>
      <w:r w:rsidRPr="004A2521">
        <w:tab/>
      </w:r>
      <w:r w:rsidRPr="004A2521">
        <w:tab/>
      </w:r>
      <w:r w:rsidRPr="004A2521">
        <w:tab/>
      </w:r>
      <w:r w:rsidRPr="004A2521">
        <w:tab/>
      </w:r>
      <w:r w:rsidRPr="004A2521">
        <w:tab/>
      </w:r>
      <w:r w:rsidRPr="004A2521">
        <w:tab/>
        <w:t>INF.13 (RECHARGE)</w:t>
      </w:r>
    </w:p>
    <w:p w:rsidR="004A2521" w:rsidRPr="004A2521" w:rsidRDefault="004A2521" w:rsidP="004A2521">
      <w:pPr>
        <w:pStyle w:val="SingleTxtGR"/>
      </w:pPr>
      <w:r w:rsidRPr="004A2521">
        <w:t>50.</w:t>
      </w:r>
      <w:r w:rsidRPr="004A2521">
        <w:tab/>
        <w:t xml:space="preserve">Совместное совещание приняло предложения неофициальной рабочей группы, изложенные в документе </w:t>
      </w:r>
      <w:r w:rsidR="007B44C8" w:rsidRPr="007B44C8">
        <w:rPr>
          <w:lang w:val="en-GB"/>
        </w:rPr>
        <w:t>ECE</w:t>
      </w:r>
      <w:r w:rsidR="007B44C8" w:rsidRPr="007B44C8">
        <w:t>/</w:t>
      </w:r>
      <w:r w:rsidR="007B44C8" w:rsidRPr="007B44C8">
        <w:rPr>
          <w:lang w:val="en-GB"/>
        </w:rPr>
        <w:t>TRANS</w:t>
      </w:r>
      <w:r w:rsidR="007B44C8" w:rsidRPr="007B44C8">
        <w:t>/</w:t>
      </w:r>
      <w:r w:rsidR="007B44C8" w:rsidRPr="007B44C8">
        <w:rPr>
          <w:lang w:val="en-GB"/>
        </w:rPr>
        <w:t>WP</w:t>
      </w:r>
      <w:r w:rsidR="007B44C8" w:rsidRPr="007B44C8">
        <w:t>.15/</w:t>
      </w:r>
      <w:r w:rsidR="007B44C8" w:rsidRPr="007B44C8">
        <w:rPr>
          <w:lang w:val="en-GB"/>
        </w:rPr>
        <w:t>AC</w:t>
      </w:r>
      <w:r w:rsidR="007B44C8" w:rsidRPr="007B44C8">
        <w:t>.1/2016/19</w:t>
      </w:r>
      <w:r w:rsidR="007B44C8">
        <w:t xml:space="preserve"> </w:t>
      </w:r>
      <w:r w:rsidRPr="004A2521">
        <w:t>с попра</w:t>
      </w:r>
      <w:r w:rsidRPr="004A2521">
        <w:t>в</w:t>
      </w:r>
      <w:r w:rsidRPr="004A2521">
        <w:t>ками, содержащимися в неофициальном документе INF.13, с учетом редакц</w:t>
      </w:r>
      <w:r w:rsidRPr="004A2521">
        <w:t>и</w:t>
      </w:r>
      <w:r w:rsidRPr="004A2521">
        <w:t>онных исправлений в тексте на английском языке, которые будут внесены се</w:t>
      </w:r>
      <w:r w:rsidRPr="004A2521">
        <w:t>к</w:t>
      </w:r>
      <w:r w:rsidRPr="004A2521">
        <w:t xml:space="preserve">ретариатом ЕЭК ООН. </w:t>
      </w:r>
      <w:proofErr w:type="gramStart"/>
      <w:r w:rsidRPr="004A2521">
        <w:t>Секретариатам ЕЭК ООН и ОТИФ было также предл</w:t>
      </w:r>
      <w:r w:rsidRPr="004A2521">
        <w:t>о</w:t>
      </w:r>
      <w:r w:rsidRPr="004A2521">
        <w:t>жено тщательно проверить тексты на французском и немецком языках, п</w:t>
      </w:r>
      <w:r w:rsidRPr="004A2521">
        <w:t>о</w:t>
      </w:r>
      <w:r w:rsidRPr="004A2521">
        <w:t>скольку в ходе перевода некоторые действующие тексты, в которые не предп</w:t>
      </w:r>
      <w:r w:rsidRPr="004A2521">
        <w:t>о</w:t>
      </w:r>
      <w:r w:rsidRPr="004A2521">
        <w:t>лагалось вносить поправки, были изменены.</w:t>
      </w:r>
      <w:proofErr w:type="gramEnd"/>
    </w:p>
    <w:p w:rsidR="004A2521" w:rsidRPr="004A2521" w:rsidRDefault="004A2521" w:rsidP="004A2521">
      <w:pPr>
        <w:pStyle w:val="SingleTxtGR"/>
      </w:pPr>
      <w:r w:rsidRPr="004A2521">
        <w:lastRenderedPageBreak/>
        <w:t>51.</w:t>
      </w:r>
      <w:r w:rsidRPr="004A2521">
        <w:tab/>
        <w:t>Представитель Германии заявил о своем намерении выступить с иници</w:t>
      </w:r>
      <w:r w:rsidRPr="004A2521">
        <w:t>а</w:t>
      </w:r>
      <w:r w:rsidRPr="004A2521">
        <w:t>тивой заключения многостороннего соглашения, как только будут готовы те</w:t>
      </w:r>
      <w:r w:rsidRPr="004A2521">
        <w:t>к</w:t>
      </w:r>
      <w:r w:rsidRPr="004A2521">
        <w:t>сты, проверенные секретариатом.</w:t>
      </w:r>
    </w:p>
    <w:p w:rsidR="004A2521" w:rsidRPr="004A2521" w:rsidRDefault="004A2521" w:rsidP="00764BEA">
      <w:pPr>
        <w:pStyle w:val="H1GR"/>
      </w:pPr>
      <w:r w:rsidRPr="004A2521">
        <w:tab/>
        <w:t>C.</w:t>
      </w:r>
      <w:r w:rsidRPr="004A2521">
        <w:tab/>
        <w:t>Седьмое рабочее совещание Европейского железнодорожного агентства (ЕЖДА) по ос</w:t>
      </w:r>
      <w:r w:rsidR="00764BEA">
        <w:t>уществлению «дорожной карты» по </w:t>
      </w:r>
      <w:r w:rsidRPr="004A2521">
        <w:t>вопросам управления рисками в контексте перевозок опасных грузов железнодорож</w:t>
      </w:r>
      <w:r w:rsidR="00764BEA">
        <w:t>ным, автомобильным и </w:t>
      </w:r>
      <w:r w:rsidRPr="004A2521">
        <w:t xml:space="preserve">внутренним водным транспортом </w:t>
      </w:r>
      <w:r w:rsidR="00764BEA">
        <w:br/>
      </w:r>
      <w:r w:rsidRPr="004A2521">
        <w:t>(Валансьен, 14–16 июня 2016 года)</w:t>
      </w:r>
    </w:p>
    <w:p w:rsidR="004A2521" w:rsidRPr="004A2521" w:rsidRDefault="004A2521" w:rsidP="004A2521">
      <w:pPr>
        <w:pStyle w:val="SingleTxtGR"/>
      </w:pPr>
      <w:r w:rsidRPr="004A2521">
        <w:rPr>
          <w:i/>
        </w:rPr>
        <w:t>Неофициальный документ</w:t>
      </w:r>
      <w:r w:rsidRPr="008710CD">
        <w:rPr>
          <w:i/>
          <w:iCs/>
        </w:rPr>
        <w:t>:</w:t>
      </w:r>
      <w:r w:rsidRPr="004A2521">
        <w:tab/>
        <w:t>INF.14 (ЕЖДА)</w:t>
      </w:r>
    </w:p>
    <w:p w:rsidR="004A2521" w:rsidRPr="004A2521" w:rsidRDefault="004A2521" w:rsidP="004A2521">
      <w:pPr>
        <w:pStyle w:val="SingleTxtGR"/>
      </w:pPr>
      <w:r w:rsidRPr="004A2521">
        <w:t>52.</w:t>
      </w:r>
      <w:r w:rsidRPr="004A2521">
        <w:tab/>
        <w:t>Совместное совещание приняло к сведению результаты этого рабочего совещания и приветствовало их. В этом контексте представитель ЕЖДА дал подробные разъяснения относительно деятельности и результатов работы ка</w:t>
      </w:r>
      <w:r w:rsidRPr="004A2521">
        <w:t>ж</w:t>
      </w:r>
      <w:r w:rsidR="007104F3">
        <w:t xml:space="preserve">дой из созданных групп </w:t>
      </w:r>
      <w:r w:rsidR="00764BEA">
        <w:t>–</w:t>
      </w:r>
      <w:r w:rsidRPr="004A2521">
        <w:t xml:space="preserve"> А, B и C (А: определение параметров, используемых в существующих базах данных, разработка параметров дорожно-транспортных происшествий и классификация соответствующих параметров; B: согласова</w:t>
      </w:r>
      <w:r w:rsidRPr="004A2521">
        <w:t>н</w:t>
      </w:r>
      <w:r w:rsidRPr="004A2521">
        <w:t>ный подход к оценке рисков; C: согласованный подход к принятию решения).</w:t>
      </w:r>
    </w:p>
    <w:p w:rsidR="004A2521" w:rsidRPr="004A2521" w:rsidRDefault="004A2521" w:rsidP="004A2521">
      <w:pPr>
        <w:pStyle w:val="SingleTxtGR"/>
      </w:pPr>
      <w:r w:rsidRPr="004A2521">
        <w:t>53.</w:t>
      </w:r>
      <w:r w:rsidRPr="004A2521">
        <w:tab/>
        <w:t>В первую очередь было замечено, что Совместному совещанию необх</w:t>
      </w:r>
      <w:r w:rsidRPr="004A2521">
        <w:t>о</w:t>
      </w:r>
      <w:r w:rsidRPr="004A2521">
        <w:t>димо будет рассмотреть результаты работы рабочего совещания в области да</w:t>
      </w:r>
      <w:r w:rsidRPr="004A2521">
        <w:t>н</w:t>
      </w:r>
      <w:r w:rsidRPr="004A2521">
        <w:t>ных. В качестве уточнения представитель ЕЖДА пояснил, что результаты в ц</w:t>
      </w:r>
      <w:r w:rsidRPr="004A2521">
        <w:t>е</w:t>
      </w:r>
      <w:r w:rsidRPr="004A2521">
        <w:t xml:space="preserve">лом предназначены для использования любой стороной, заинтересованной в оценке рисков и принятии решения в широком диапазоне областей применения, включая главу 1.9 МПОГ/ДОПОГ/ВОПОГ. Однако он подтвердил, что </w:t>
      </w:r>
      <w:proofErr w:type="gramStart"/>
      <w:r w:rsidRPr="004A2521">
        <w:t>нет намерения просить</w:t>
      </w:r>
      <w:proofErr w:type="gramEnd"/>
      <w:r w:rsidRPr="004A2521">
        <w:t xml:space="preserve"> Совместное совещание систематически применять этот подход.</w:t>
      </w:r>
    </w:p>
    <w:p w:rsidR="004A2521" w:rsidRPr="004A2521" w:rsidRDefault="004A2521" w:rsidP="004A2521">
      <w:pPr>
        <w:pStyle w:val="SingleTxtGR"/>
      </w:pPr>
      <w:r w:rsidRPr="004A2521">
        <w:t>54.</w:t>
      </w:r>
      <w:r w:rsidRPr="004A2521">
        <w:tab/>
        <w:t xml:space="preserve">Совместное совещание отметило, что делегаты могут получить доступ к документации, имеющейся в </w:t>
      </w:r>
      <w:proofErr w:type="spellStart"/>
      <w:r w:rsidRPr="004A2521">
        <w:t>экстранете</w:t>
      </w:r>
      <w:proofErr w:type="spellEnd"/>
      <w:r w:rsidRPr="004A2521">
        <w:t xml:space="preserve"> ЕЖДА, для чего им необходимо запр</w:t>
      </w:r>
      <w:r w:rsidRPr="004A2521">
        <w:t>о</w:t>
      </w:r>
      <w:r w:rsidRPr="004A2521">
        <w:t>сить пароль у представителя ЕЖДА. Им предлагается принять участие в вос</w:t>
      </w:r>
      <w:r w:rsidRPr="004A2521">
        <w:t>ь</w:t>
      </w:r>
      <w:r w:rsidRPr="004A2521">
        <w:t xml:space="preserve">мой сессии, которая будет проведена в Валансьене с 11 по 13 октября 2016 года. Делегаты, которые не могут участвовать лично, могут передать свои замечания по документации, имеющейся в </w:t>
      </w:r>
      <w:proofErr w:type="spellStart"/>
      <w:r w:rsidRPr="004A2521">
        <w:t>экстранете</w:t>
      </w:r>
      <w:proofErr w:type="spellEnd"/>
      <w:r w:rsidRPr="004A2521">
        <w:t xml:space="preserve"> ЕЖДА, или представить свои со</w:t>
      </w:r>
      <w:r w:rsidRPr="004A2521">
        <w:t>б</w:t>
      </w:r>
      <w:r w:rsidRPr="004A2521">
        <w:t>ственные документы, для чего им необхо</w:t>
      </w:r>
      <w:r w:rsidR="00560735">
        <w:t>димо связаться с представит</w:t>
      </w:r>
      <w:r w:rsidR="00560735">
        <w:t>е</w:t>
      </w:r>
      <w:r w:rsidR="00560735">
        <w:t>лем </w:t>
      </w:r>
      <w:r w:rsidRPr="004A2521">
        <w:t>ЕЖДА.</w:t>
      </w:r>
    </w:p>
    <w:p w:rsidR="004A2521" w:rsidRPr="004A2521" w:rsidRDefault="004A2521" w:rsidP="00764BEA">
      <w:pPr>
        <w:pStyle w:val="HChGR"/>
      </w:pPr>
      <w:r w:rsidRPr="004A2521">
        <w:tab/>
        <w:t>VIII.</w:t>
      </w:r>
      <w:r w:rsidRPr="004A2521">
        <w:tab/>
        <w:t xml:space="preserve">Выборы должностных лиц на 2017 год </w:t>
      </w:r>
      <w:r w:rsidR="00764BEA">
        <w:br/>
      </w:r>
      <w:r w:rsidRPr="004A2521">
        <w:t>(пункт 7 повестки дня)</w:t>
      </w:r>
    </w:p>
    <w:p w:rsidR="004A2521" w:rsidRPr="004A2521" w:rsidRDefault="004A2521" w:rsidP="004A2521">
      <w:pPr>
        <w:pStyle w:val="SingleTxtGR"/>
      </w:pPr>
      <w:r w:rsidRPr="004A2521">
        <w:t>55.</w:t>
      </w:r>
      <w:r w:rsidRPr="004A2521">
        <w:tab/>
        <w:t xml:space="preserve">По предложению представителя Бельгии г-н К. </w:t>
      </w:r>
      <w:proofErr w:type="spellStart"/>
      <w:r w:rsidRPr="004A2521">
        <w:t>Пфовадель</w:t>
      </w:r>
      <w:proofErr w:type="spellEnd"/>
      <w:r w:rsidRPr="004A2521">
        <w:t xml:space="preserve"> (Франция) </w:t>
      </w:r>
      <w:r w:rsidR="00764BEA">
        <w:br/>
      </w:r>
      <w:r w:rsidRPr="004A2521">
        <w:t xml:space="preserve">и г-н Х. </w:t>
      </w:r>
      <w:proofErr w:type="spellStart"/>
      <w:r w:rsidRPr="004A2521">
        <w:t>Райн</w:t>
      </w:r>
      <w:proofErr w:type="spellEnd"/>
      <w:r w:rsidRPr="004A2521">
        <w:t xml:space="preserve"> (Германия) были вновь избраны соответственно Председателем и заместителем Председателя Совместного совещания на 2017 год.</w:t>
      </w:r>
    </w:p>
    <w:p w:rsidR="004A2521" w:rsidRPr="004A2521" w:rsidRDefault="004A2521" w:rsidP="00764BEA">
      <w:pPr>
        <w:pStyle w:val="HChGR"/>
      </w:pPr>
      <w:r w:rsidRPr="004A2521">
        <w:tab/>
        <w:t>IX.</w:t>
      </w:r>
      <w:r w:rsidRPr="004A2521">
        <w:tab/>
        <w:t>Будущая работа (пункт 8 повестки дня)</w:t>
      </w:r>
    </w:p>
    <w:p w:rsidR="004A2521" w:rsidRPr="004A2521" w:rsidRDefault="004A2521" w:rsidP="004A2521">
      <w:pPr>
        <w:pStyle w:val="SingleTxtGR"/>
      </w:pPr>
      <w:r w:rsidRPr="004A2521">
        <w:t>56.</w:t>
      </w:r>
      <w:r w:rsidRPr="004A2521">
        <w:tab/>
        <w:t>Следующая сессия состоится в Берне 13–17 марта 2017 года, и докуме</w:t>
      </w:r>
      <w:r w:rsidRPr="004A2521">
        <w:t>н</w:t>
      </w:r>
      <w:r w:rsidRPr="004A2521">
        <w:t>ты к ней должны быть представлены не позднее 16 декабря 2016 года.</w:t>
      </w:r>
    </w:p>
    <w:p w:rsidR="004A2521" w:rsidRPr="004A2521" w:rsidRDefault="004A2521" w:rsidP="00764BEA">
      <w:pPr>
        <w:pStyle w:val="HChGR"/>
      </w:pPr>
      <w:r w:rsidRPr="004A2521">
        <w:lastRenderedPageBreak/>
        <w:tab/>
        <w:t>X.</w:t>
      </w:r>
      <w:r w:rsidRPr="004A2521">
        <w:tab/>
        <w:t>Прочие вопросы (пункт 9 повестки дня)</w:t>
      </w:r>
    </w:p>
    <w:p w:rsidR="004A2521" w:rsidRPr="004A2521" w:rsidRDefault="004A2521" w:rsidP="00764BEA">
      <w:pPr>
        <w:pStyle w:val="H1GR"/>
      </w:pPr>
      <w:r w:rsidRPr="004A2521">
        <w:tab/>
        <w:t>A.</w:t>
      </w:r>
      <w:r w:rsidRPr="004A2521">
        <w:tab/>
        <w:t>Просьба о предоставлении консультативного статуса</w:t>
      </w:r>
    </w:p>
    <w:p w:rsidR="004A2521" w:rsidRPr="004A2521" w:rsidRDefault="004A2521" w:rsidP="004A2521">
      <w:pPr>
        <w:pStyle w:val="SingleTxtGR"/>
      </w:pPr>
      <w:r w:rsidRPr="004A2521">
        <w:rPr>
          <w:i/>
        </w:rPr>
        <w:t>Неофициальный документ</w:t>
      </w:r>
      <w:r w:rsidRPr="008710CD">
        <w:rPr>
          <w:i/>
          <w:iCs/>
        </w:rPr>
        <w:t>:</w:t>
      </w:r>
      <w:r w:rsidRPr="004A2521">
        <w:tab/>
      </w:r>
      <w:r w:rsidRPr="004A2521">
        <w:tab/>
        <w:t>INF.5 (секретариат)</w:t>
      </w:r>
    </w:p>
    <w:p w:rsidR="004A2521" w:rsidRPr="004A2521" w:rsidRDefault="004A2521" w:rsidP="004A2521">
      <w:pPr>
        <w:pStyle w:val="SingleTxtGR"/>
      </w:pPr>
      <w:r w:rsidRPr="004A2521">
        <w:t>57.</w:t>
      </w:r>
      <w:r w:rsidRPr="004A2521">
        <w:tab/>
        <w:t>Совместное совещание с интересом рассмотрело просьбу Совета по бе</w:t>
      </w:r>
      <w:r w:rsidRPr="004A2521">
        <w:t>з</w:t>
      </w:r>
      <w:r w:rsidRPr="004A2521">
        <w:t>опасной транспортировке опасных изделий (COSTHA) о предоставлении ко</w:t>
      </w:r>
      <w:r w:rsidRPr="004A2521">
        <w:t>н</w:t>
      </w:r>
      <w:r w:rsidRPr="004A2521">
        <w:t>сультативного статуса. Ряд делегаций попросили представителя COSTHA пер</w:t>
      </w:r>
      <w:r w:rsidRPr="004A2521">
        <w:t>е</w:t>
      </w:r>
      <w:r w:rsidRPr="004A2521">
        <w:t>дать дополнительную информацию, в частности в подтверждение того, что данная организация полностью отвечает различным принципам, изложенным в частях I и II резолюции 1996/31 Экономического и Социального Совета, в соо</w:t>
      </w:r>
      <w:r w:rsidRPr="004A2521">
        <w:t>т</w:t>
      </w:r>
      <w:r w:rsidRPr="004A2521">
        <w:t>ветствии с пунктом d</w:t>
      </w:r>
      <w:r w:rsidR="00560735">
        <w:t>)</w:t>
      </w:r>
      <w:r w:rsidRPr="004A2521">
        <w:t xml:space="preserve"> правила 1 правил процедуры Совместного совещания. Они сочли, в частности, что в связи с пунктом 12 указанной резолюции COSTHA должен разъяснить созданные механизмы отчетности перед своими членами и то, каким образом его члены осуществляют </w:t>
      </w:r>
      <w:proofErr w:type="gramStart"/>
      <w:r w:rsidRPr="004A2521">
        <w:t>контроль за</w:t>
      </w:r>
      <w:proofErr w:type="gramEnd"/>
      <w:r w:rsidRPr="004A2521">
        <w:t xml:space="preserve"> его полит</w:t>
      </w:r>
      <w:r w:rsidRPr="004A2521">
        <w:t>и</w:t>
      </w:r>
      <w:r w:rsidRPr="004A2521">
        <w:t>кой.</w:t>
      </w:r>
    </w:p>
    <w:p w:rsidR="004A2521" w:rsidRPr="004A2521" w:rsidRDefault="004A2521" w:rsidP="004A2521">
      <w:pPr>
        <w:pStyle w:val="SingleTxtGR"/>
      </w:pPr>
      <w:r w:rsidRPr="004A2521">
        <w:t>58.</w:t>
      </w:r>
      <w:r w:rsidRPr="004A2521">
        <w:tab/>
        <w:t>После этого обсуждения, в ходе которого, кроме того, несколько делег</w:t>
      </w:r>
      <w:r w:rsidRPr="004A2521">
        <w:t>а</w:t>
      </w:r>
      <w:r w:rsidRPr="004A2521">
        <w:t>ций высказались в поддержку кандидатуры COSTHA, представителю COSTHA было предложено сформулировать новую просьбу с соответствующим обосн</w:t>
      </w:r>
      <w:r w:rsidRPr="004A2521">
        <w:t>о</w:t>
      </w:r>
      <w:r w:rsidRPr="004A2521">
        <w:t>ванием. Секретариату было поручено представить эту просьбу в виде офиц</w:t>
      </w:r>
      <w:r w:rsidRPr="004A2521">
        <w:t>и</w:t>
      </w:r>
      <w:r w:rsidRPr="004A2521">
        <w:t>ального документа и, в соответствующем виде, прилагаемую информацию.</w:t>
      </w:r>
    </w:p>
    <w:p w:rsidR="004A2521" w:rsidRPr="004A2521" w:rsidRDefault="004A2521" w:rsidP="00764BEA">
      <w:pPr>
        <w:pStyle w:val="H1GR"/>
      </w:pPr>
      <w:r w:rsidRPr="004A2521">
        <w:tab/>
        <w:t>B.</w:t>
      </w:r>
      <w:r w:rsidRPr="004A2521">
        <w:tab/>
        <w:t>Создание неофициальной рабочей группы по редакционным изменениям в текстах правил</w:t>
      </w:r>
    </w:p>
    <w:p w:rsidR="004A2521" w:rsidRPr="004A2521" w:rsidRDefault="004A2521" w:rsidP="00764BEA">
      <w:pPr>
        <w:pStyle w:val="SingleTxtGR"/>
        <w:jc w:val="left"/>
      </w:pPr>
      <w:r w:rsidRPr="004A2521">
        <w:rPr>
          <w:i/>
        </w:rPr>
        <w:t>Документ:</w:t>
      </w:r>
      <w:r w:rsidR="00764BEA">
        <w:tab/>
      </w:r>
      <w:r w:rsidRPr="004A2521">
        <w:t>ECE/TRANS/WP.15/AC.1/2016/35 (Соединенн</w:t>
      </w:r>
      <w:r w:rsidR="00764BEA">
        <w:t xml:space="preserve">ое </w:t>
      </w:r>
      <w:r w:rsidRPr="004A2521">
        <w:t>Королевство)</w:t>
      </w:r>
    </w:p>
    <w:p w:rsidR="004A2521" w:rsidRPr="004A2521" w:rsidRDefault="004A2521" w:rsidP="00560735">
      <w:pPr>
        <w:pStyle w:val="SingleTxtGR"/>
      </w:pPr>
      <w:r w:rsidRPr="004A2521">
        <w:t>59.</w:t>
      </w:r>
      <w:r w:rsidRPr="004A2521">
        <w:tab/>
        <w:t>Большинство делегаций поддержало идею повышения качества редакции нормативных положений, однако сочло, что данное предложение не учитывает весь масштаб и сложность этой задачи. Опыт изменения структуры МПОГ/ДОПОГ, деятельность неофициальной группы по редакционным улу</w:t>
      </w:r>
      <w:r w:rsidRPr="004A2521">
        <w:t>ч</w:t>
      </w:r>
      <w:r w:rsidRPr="004A2521">
        <w:t>шениям различных</w:t>
      </w:r>
      <w:r w:rsidR="007B44C8">
        <w:t xml:space="preserve"> языковых вариантов определений</w:t>
      </w:r>
      <w:r w:rsidRPr="004A2521">
        <w:t xml:space="preserve"> под руководством Рум</w:t>
      </w:r>
      <w:r w:rsidRPr="004A2521">
        <w:t>ы</w:t>
      </w:r>
      <w:r w:rsidR="007B44C8">
        <w:t>нии</w:t>
      </w:r>
      <w:r w:rsidRPr="004A2521">
        <w:t xml:space="preserve"> и само обсуждение некоторых предложений на каждой сессии продемо</w:t>
      </w:r>
      <w:r w:rsidRPr="004A2521">
        <w:t>н</w:t>
      </w:r>
      <w:r w:rsidRPr="004A2521">
        <w:t>стрировали, что рассмотрение вопросов, носящих якобы редакционный хара</w:t>
      </w:r>
      <w:r w:rsidRPr="004A2521">
        <w:t>к</w:t>
      </w:r>
      <w:r w:rsidRPr="004A2521">
        <w:t>тер, часто ведет к обсуждению вопросов существа или к толкованию текстов действующих правил. Если бы такая группа работала на английском языке, то следовало бы напомнить, что с юридической точки зрения в отношении ДОПОГ и ВОПОГ преимущественную силу имеет только текст на французском языке. Таким образом, предложения этой группы следовало бы обсудить в ходе оч</w:t>
      </w:r>
      <w:r w:rsidRPr="004A2521">
        <w:t>е</w:t>
      </w:r>
      <w:r w:rsidRPr="004A2521">
        <w:t>редных сессий, причем с устным переводом, поскольку они могут иметь п</w:t>
      </w:r>
      <w:r w:rsidRPr="004A2521">
        <w:t>о</w:t>
      </w:r>
      <w:r w:rsidRPr="004A2521">
        <w:t>следствия для тестов на французском, немецком и русском языках. В связи с этим не представляется очевидным, что работа этой группы привела бы к к</w:t>
      </w:r>
      <w:r w:rsidRPr="004A2521">
        <w:t>а</w:t>
      </w:r>
      <w:r w:rsidRPr="004A2521">
        <w:t>кой-либо экономии в том, что касается продолжительности заседаний. Было высказано мнение о том, что, напротив, объем работы мог бы возрасти. Кроме того, любая неофициальная группа не должна пользоваться услугами секрет</w:t>
      </w:r>
      <w:r w:rsidRPr="004A2521">
        <w:t>а</w:t>
      </w:r>
      <w:r w:rsidRPr="004A2521">
        <w:t>риата, и просьба об учреждении новой официальной рабочей группы только для редакционных целей вряд ли будет удовлетворена. Значительная часть текстов МПОГ/ДОПОГ/ВОПОГ заимствована непосредственно из Типовых пр</w:t>
      </w:r>
      <w:r w:rsidRPr="004A2521">
        <w:t>а</w:t>
      </w:r>
      <w:r w:rsidRPr="004A2521">
        <w:t>вил</w:t>
      </w:r>
      <w:r w:rsidR="00560735">
        <w:t> </w:t>
      </w:r>
      <w:r w:rsidRPr="004A2521">
        <w:t>ООН, и совсем не очевидно, что редакционные изменения, внесенные Со</w:t>
      </w:r>
      <w:r w:rsidRPr="004A2521">
        <w:t>в</w:t>
      </w:r>
      <w:r w:rsidRPr="004A2521">
        <w:t>местным совещанием в процессе гармонизации и доведенные до сведения По</w:t>
      </w:r>
      <w:r w:rsidRPr="004A2521">
        <w:t>д</w:t>
      </w:r>
      <w:r w:rsidRPr="004A2521">
        <w:t xml:space="preserve">комитета экспертов ООН, будут одобрены для Типовых правил. Это привело бы </w:t>
      </w:r>
      <w:r w:rsidRPr="004A2521">
        <w:lastRenderedPageBreak/>
        <w:t>к существенному риску возникновения редакционных различий между прав</w:t>
      </w:r>
      <w:r w:rsidRPr="004A2521">
        <w:t>и</w:t>
      </w:r>
      <w:r w:rsidRPr="004A2521">
        <w:t>лами, касающимися различных видов транспорта, и, даже если бы они были одобрены, к значительной дополнительной работе для организаций, занима</w:t>
      </w:r>
      <w:r w:rsidRPr="004A2521">
        <w:t>ю</w:t>
      </w:r>
      <w:r w:rsidRPr="004A2521">
        <w:t>щихся другими видами транспорта, и всех правительств, которые непосре</w:t>
      </w:r>
      <w:r w:rsidRPr="004A2521">
        <w:t>д</w:t>
      </w:r>
      <w:r w:rsidRPr="004A2521">
        <w:t>ственно используют Типовые правила.</w:t>
      </w:r>
    </w:p>
    <w:p w:rsidR="004A2521" w:rsidRPr="004A2521" w:rsidRDefault="004A2521" w:rsidP="004A2521">
      <w:pPr>
        <w:pStyle w:val="SingleTxtGR"/>
      </w:pPr>
      <w:r w:rsidRPr="004A2521">
        <w:t>60.</w:t>
      </w:r>
      <w:r w:rsidRPr="004A2521">
        <w:tab/>
        <w:t>Наконец ряд делегаций заявили, что, несмотря на их интерес к этому в</w:t>
      </w:r>
      <w:r w:rsidRPr="004A2521">
        <w:t>о</w:t>
      </w:r>
      <w:r w:rsidRPr="004A2521">
        <w:t>просу, они не могут участвовать в работе межсессионных групп. Было предл</w:t>
      </w:r>
      <w:r w:rsidRPr="004A2521">
        <w:t>о</w:t>
      </w:r>
      <w:r w:rsidRPr="004A2521">
        <w:t>жено планировать работу над редакционными вопросами на обеденные перер</w:t>
      </w:r>
      <w:r w:rsidRPr="004A2521">
        <w:t>ы</w:t>
      </w:r>
      <w:r w:rsidRPr="004A2521">
        <w:t>вы, вечернее время или на конец сессий.</w:t>
      </w:r>
    </w:p>
    <w:p w:rsidR="004A2521" w:rsidRPr="004A2521" w:rsidRDefault="004A2521" w:rsidP="004A2521">
      <w:pPr>
        <w:pStyle w:val="SingleTxtGR"/>
      </w:pPr>
      <w:r w:rsidRPr="004A2521">
        <w:t>61.</w:t>
      </w:r>
      <w:r w:rsidRPr="004A2521">
        <w:tab/>
        <w:t>Представитель Соединенного Королевства сделал вывод о том, что Со</w:t>
      </w:r>
      <w:r w:rsidRPr="004A2521">
        <w:t>в</w:t>
      </w:r>
      <w:r w:rsidRPr="004A2521">
        <w:t>местное совещание не проявило большого интереса к учреждению такой н</w:t>
      </w:r>
      <w:r w:rsidRPr="004A2521">
        <w:t>е</w:t>
      </w:r>
      <w:r w:rsidRPr="004A2521">
        <w:t>официальной группы и что он подумает об альтернативных вариантах с учетом состоявшихся обсуждений.</w:t>
      </w:r>
    </w:p>
    <w:p w:rsidR="004A2521" w:rsidRPr="004A2521" w:rsidRDefault="004A2521" w:rsidP="00764BEA">
      <w:pPr>
        <w:pStyle w:val="H1GR"/>
      </w:pPr>
      <w:r w:rsidRPr="004A2521">
        <w:tab/>
        <w:t>C.</w:t>
      </w:r>
      <w:r w:rsidRPr="004A2521">
        <w:tab/>
        <w:t xml:space="preserve">Выражение признательности г-ну </w:t>
      </w:r>
      <w:proofErr w:type="spellStart"/>
      <w:r w:rsidRPr="004A2521">
        <w:t>Томсену</w:t>
      </w:r>
      <w:proofErr w:type="spellEnd"/>
    </w:p>
    <w:p w:rsidR="004A2521" w:rsidRPr="004A2521" w:rsidRDefault="004A2521" w:rsidP="004A2521">
      <w:pPr>
        <w:pStyle w:val="SingleTxtGR"/>
      </w:pPr>
      <w:r w:rsidRPr="004A2521">
        <w:t>62.</w:t>
      </w:r>
      <w:r w:rsidRPr="004A2521">
        <w:tab/>
        <w:t xml:space="preserve">Совместное совещание было проинформировано, что г-н </w:t>
      </w:r>
      <w:proofErr w:type="spellStart"/>
      <w:r w:rsidRPr="004A2521">
        <w:t>Томсен</w:t>
      </w:r>
      <w:proofErr w:type="spellEnd"/>
      <w:r w:rsidRPr="004A2521">
        <w:t xml:space="preserve"> (Дания) участвует в работе Совместного совещания в последний раз, так как он вскоре выходит в отставку. Совместное совещание поблагодарило г-на </w:t>
      </w:r>
      <w:proofErr w:type="spellStart"/>
      <w:r w:rsidRPr="004A2521">
        <w:t>Томсена</w:t>
      </w:r>
      <w:proofErr w:type="spellEnd"/>
      <w:r w:rsidRPr="004A2521">
        <w:t xml:space="preserve"> за его длительный вклад в обеспечение безопасности перевозки опасных грузов и п</w:t>
      </w:r>
      <w:r w:rsidRPr="004A2521">
        <w:t>о</w:t>
      </w:r>
      <w:r w:rsidRPr="004A2521">
        <w:t>желало ему долгой и счастливой жизни после выхода в отставку.</w:t>
      </w:r>
    </w:p>
    <w:p w:rsidR="004A2521" w:rsidRPr="004A2521" w:rsidRDefault="004A2521" w:rsidP="00764BEA">
      <w:pPr>
        <w:pStyle w:val="H1GR"/>
      </w:pPr>
      <w:r w:rsidRPr="004A2521">
        <w:tab/>
        <w:t>D.</w:t>
      </w:r>
      <w:r w:rsidRPr="004A2521">
        <w:tab/>
        <w:t>Глобальное и региональное влияние правил ЕЭК ООН и</w:t>
      </w:r>
      <w:r w:rsidR="00764BEA">
        <w:t> </w:t>
      </w:r>
      <w:r w:rsidRPr="004A2521">
        <w:t>Рекомендаций ООН по перевозке опасных грузов</w:t>
      </w:r>
    </w:p>
    <w:p w:rsidR="004A2521" w:rsidRPr="004A2521" w:rsidRDefault="004A2521" w:rsidP="004A2521">
      <w:pPr>
        <w:pStyle w:val="SingleTxtGR"/>
      </w:pPr>
      <w:r w:rsidRPr="004A2521">
        <w:t>63.</w:t>
      </w:r>
      <w:r w:rsidRPr="004A2521">
        <w:tab/>
        <w:t>Совместное совещание было проинформировано о том, что анализ р</w:t>
      </w:r>
      <w:r w:rsidRPr="004A2521">
        <w:t>е</w:t>
      </w:r>
      <w:r w:rsidRPr="004A2521">
        <w:t xml:space="preserve">зультатов вопросника, который был разослан всем делегациям в прошлом году, а также доклад об оценке, подготовленный одним из консультантов, и ответ секретариата на этот доклад </w:t>
      </w:r>
      <w:proofErr w:type="gramStart"/>
      <w:r w:rsidRPr="004A2521">
        <w:t>размещены</w:t>
      </w:r>
      <w:proofErr w:type="gramEnd"/>
      <w:r w:rsidRPr="004A2521">
        <w:t xml:space="preserve"> на веб-сайте Е</w:t>
      </w:r>
      <w:r w:rsidR="007B44C8">
        <w:t>ЭК ООН по адресу</w:t>
      </w:r>
      <w:r w:rsidRPr="004A2521">
        <w:t xml:space="preserve"> </w:t>
      </w:r>
      <w:hyperlink r:id="rId10" w:history="1">
        <w:r w:rsidR="00560735" w:rsidRPr="00560735">
          <w:rPr>
            <w:rStyle w:val="Lienhypertexte"/>
          </w:rPr>
          <w:t>www.unece.org/info/open-unece/evaluation.html</w:t>
        </w:r>
      </w:hyperlink>
      <w:r w:rsidRPr="004A2521">
        <w:t>.</w:t>
      </w:r>
    </w:p>
    <w:p w:rsidR="004A2521" w:rsidRPr="004A2521" w:rsidRDefault="004A2521" w:rsidP="00764BEA">
      <w:pPr>
        <w:pStyle w:val="H1GR"/>
      </w:pPr>
      <w:r w:rsidRPr="004A2521">
        <w:tab/>
        <w:t>E.</w:t>
      </w:r>
      <w:r w:rsidRPr="004A2521">
        <w:tab/>
        <w:t>Семидесятая годовщина Комитета по внутреннему транспорту ЕЭК ООН</w:t>
      </w:r>
    </w:p>
    <w:p w:rsidR="004A2521" w:rsidRPr="004A2521" w:rsidRDefault="004A2521" w:rsidP="004A2521">
      <w:pPr>
        <w:pStyle w:val="SingleTxtGR"/>
      </w:pPr>
      <w:r w:rsidRPr="004A2521">
        <w:t>64.</w:t>
      </w:r>
      <w:r w:rsidRPr="004A2521">
        <w:tab/>
        <w:t>Совместное совещание было проинформировано о том, что Комитет по внутреннему транспорту ЕЭК ООН будет отмечать свою семидесятую годо</w:t>
      </w:r>
      <w:r w:rsidRPr="004A2521">
        <w:t>в</w:t>
      </w:r>
      <w:r w:rsidRPr="004A2521">
        <w:t>щину в ходе своей семьдесят девятой сессии, которая будет проведена в Женеве 21–24 февраля 2</w:t>
      </w:r>
      <w:r w:rsidR="007B44C8">
        <w:t>017 года и на которой состоится 21 февраля</w:t>
      </w:r>
      <w:r w:rsidRPr="004A2521">
        <w:t xml:space="preserve"> министерский се</w:t>
      </w:r>
      <w:r w:rsidRPr="004A2521">
        <w:t>г</w:t>
      </w:r>
      <w:r w:rsidRPr="004A2521">
        <w:t>мент с целью разработки стратегии на период до 2030 года. Для подготовки этой стратегии всем делегатам, участвующим в работе КВТ и его вспомог</w:t>
      </w:r>
      <w:r w:rsidRPr="004A2521">
        <w:t>а</w:t>
      </w:r>
      <w:r w:rsidRPr="004A2521">
        <w:t>тельных органов, был разослан вопросник, и всем делегатам Совместного с</w:t>
      </w:r>
      <w:r w:rsidRPr="004A2521">
        <w:t>о</w:t>
      </w:r>
      <w:r w:rsidRPr="004A2521">
        <w:t>вещания было предложено ответить на этот вопросник, так как их вклад будет учитываться при определении этой стратегии.</w:t>
      </w:r>
    </w:p>
    <w:p w:rsidR="004A2521" w:rsidRPr="004A2521" w:rsidRDefault="004A2521" w:rsidP="007B44C8">
      <w:pPr>
        <w:pStyle w:val="H1GR"/>
        <w:pageBreakBefore/>
      </w:pPr>
      <w:r w:rsidRPr="004A2521">
        <w:lastRenderedPageBreak/>
        <w:tab/>
        <w:t>F.</w:t>
      </w:r>
      <w:r w:rsidRPr="004A2521">
        <w:tab/>
        <w:t>Русская терминология, касающаяся терминов «информационные табло» и «размещение информационных табло»</w:t>
      </w:r>
    </w:p>
    <w:p w:rsidR="004A2521" w:rsidRPr="004A2521" w:rsidRDefault="004A2521" w:rsidP="004A2521">
      <w:pPr>
        <w:pStyle w:val="SingleTxtGR"/>
      </w:pPr>
      <w:r w:rsidRPr="004A2521">
        <w:rPr>
          <w:i/>
          <w:iCs/>
        </w:rPr>
        <w:t>Неофициальный документ:</w:t>
      </w:r>
      <w:r w:rsidRPr="004A2521">
        <w:tab/>
        <w:t>INF.27 (Российская Федерация)</w:t>
      </w:r>
    </w:p>
    <w:p w:rsidR="004A2521" w:rsidRPr="004A2521" w:rsidRDefault="004A2521" w:rsidP="004A2521">
      <w:pPr>
        <w:pStyle w:val="SingleTxtGR"/>
      </w:pPr>
      <w:r w:rsidRPr="004A2521">
        <w:t>65.</w:t>
      </w:r>
      <w:r w:rsidRPr="004A2521">
        <w:tab/>
        <w:t>Совместное совещание отметило, что озабоченность, высказанная Ро</w:t>
      </w:r>
      <w:r w:rsidRPr="004A2521">
        <w:t>с</w:t>
      </w:r>
      <w:r w:rsidRPr="004A2521">
        <w:t>сийской Федерацией в связи с использованием термина «информационные та</w:t>
      </w:r>
      <w:r w:rsidRPr="004A2521">
        <w:t>б</w:t>
      </w:r>
      <w:r w:rsidRPr="004A2521">
        <w:t>ло» в тексте на русском языке, будет рассмотрена секретариатом и переводч</w:t>
      </w:r>
      <w:r w:rsidRPr="004A2521">
        <w:t>е</w:t>
      </w:r>
      <w:r w:rsidRPr="004A2521">
        <w:t>скими службами ООН и что будут также проведены консультации с русскогов</w:t>
      </w:r>
      <w:r w:rsidRPr="004A2521">
        <w:t>о</w:t>
      </w:r>
      <w:r w:rsidRPr="004A2521">
        <w:t>рящими делегатами в других органах, таких как WP.15.</w:t>
      </w:r>
    </w:p>
    <w:p w:rsidR="004A2521" w:rsidRPr="004A2521" w:rsidRDefault="004A2521" w:rsidP="00764BEA">
      <w:pPr>
        <w:pStyle w:val="HChGR"/>
      </w:pPr>
      <w:r w:rsidRPr="004A2521">
        <w:tab/>
        <w:t>XI.</w:t>
      </w:r>
      <w:r w:rsidRPr="004A2521">
        <w:tab/>
        <w:t>Утверждение доклада (пункт 10 повестки дня)</w:t>
      </w:r>
    </w:p>
    <w:p w:rsidR="004A2521" w:rsidRPr="004A2521" w:rsidRDefault="004A2521" w:rsidP="004A2521">
      <w:pPr>
        <w:pStyle w:val="SingleTxtGR"/>
      </w:pPr>
      <w:r w:rsidRPr="004A2521">
        <w:t>66.</w:t>
      </w:r>
      <w:r w:rsidRPr="004A2521">
        <w:tab/>
        <w:t>Совместное совещание утвердило доклад о работе своей осенней сессии 2016 года и приложения к нему на основе проекта, подготовленного секретар</w:t>
      </w:r>
      <w:r w:rsidRPr="004A2521">
        <w:t>и</w:t>
      </w:r>
      <w:r w:rsidRPr="004A2521">
        <w:t>атом.</w:t>
      </w:r>
    </w:p>
    <w:p w:rsidR="004A2521" w:rsidRPr="004A2521" w:rsidRDefault="004A2521" w:rsidP="007B44C8">
      <w:pPr>
        <w:pStyle w:val="HChGR"/>
        <w:pageBreakBefore/>
      </w:pPr>
      <w:r w:rsidRPr="004A2521">
        <w:lastRenderedPageBreak/>
        <w:t>Приложение I</w:t>
      </w:r>
    </w:p>
    <w:p w:rsidR="004A2521" w:rsidRPr="0078680A" w:rsidRDefault="004A2521" w:rsidP="0078680A">
      <w:pPr>
        <w:pStyle w:val="HChGR"/>
        <w:rPr>
          <w:sz w:val="24"/>
          <w:szCs w:val="24"/>
          <w:lang w:val="en-US"/>
        </w:rPr>
      </w:pPr>
      <w:r w:rsidRPr="004A2521">
        <w:tab/>
      </w:r>
      <w:r w:rsidR="0078680A">
        <w:tab/>
      </w:r>
      <w:r w:rsidR="0078680A">
        <w:tab/>
      </w:r>
      <w:r w:rsidRPr="004A2521">
        <w:t>Доклад Рабочей группы по цистернам</w:t>
      </w:r>
      <w:r w:rsidR="0078680A">
        <w:br/>
      </w:r>
      <w:r w:rsidR="0078680A" w:rsidRPr="0078680A">
        <w:rPr>
          <w:sz w:val="24"/>
          <w:szCs w:val="24"/>
        </w:rPr>
        <w:tab/>
      </w:r>
      <w:r w:rsidRPr="00164E11">
        <w:rPr>
          <w:sz w:val="24"/>
          <w:szCs w:val="24"/>
        </w:rPr>
        <w:t>(</w:t>
      </w:r>
      <w:r w:rsidRPr="0078680A">
        <w:rPr>
          <w:sz w:val="24"/>
          <w:szCs w:val="24"/>
        </w:rPr>
        <w:t>см</w:t>
      </w:r>
      <w:r w:rsidRPr="00164E11">
        <w:rPr>
          <w:sz w:val="24"/>
          <w:szCs w:val="24"/>
        </w:rPr>
        <w:t xml:space="preserve">. </w:t>
      </w:r>
      <w:r w:rsidRPr="0078680A">
        <w:rPr>
          <w:sz w:val="24"/>
          <w:szCs w:val="24"/>
          <w:lang w:val="en-US"/>
        </w:rPr>
        <w:t>ECE/TRANS/WP.15/AC.1/144/Add.1)</w:t>
      </w:r>
    </w:p>
    <w:p w:rsidR="004A2521" w:rsidRPr="004A2521" w:rsidRDefault="004A2521" w:rsidP="007B44C8">
      <w:pPr>
        <w:pStyle w:val="HChGR"/>
        <w:pageBreakBefore/>
      </w:pPr>
      <w:r w:rsidRPr="004A2521">
        <w:lastRenderedPageBreak/>
        <w:t>Приложение II</w:t>
      </w:r>
    </w:p>
    <w:p w:rsidR="004A2521" w:rsidRPr="004A2521" w:rsidRDefault="004A2521" w:rsidP="0078680A">
      <w:pPr>
        <w:pStyle w:val="HChGR"/>
      </w:pPr>
      <w:r w:rsidRPr="004A2521">
        <w:tab/>
      </w:r>
      <w:r w:rsidRPr="004A2521">
        <w:tab/>
        <w:t>Предложения о поправках к МПОГ/ДОПОГ/ВОПОГ</w:t>
      </w:r>
    </w:p>
    <w:p w:rsidR="004A2521" w:rsidRPr="004A2521" w:rsidRDefault="004A2521" w:rsidP="0078680A">
      <w:pPr>
        <w:pStyle w:val="H1GR"/>
      </w:pPr>
      <w:r w:rsidRPr="004A2521">
        <w:tab/>
      </w:r>
      <w:r w:rsidRPr="004A2521">
        <w:tab/>
        <w:t>Глава 1.2</w:t>
      </w:r>
    </w:p>
    <w:p w:rsidR="004A2521" w:rsidRPr="004A2521" w:rsidRDefault="008710CD" w:rsidP="004A2521">
      <w:pPr>
        <w:pStyle w:val="SingleTxtGR"/>
      </w:pPr>
      <w:r>
        <w:t>1.2.1</w:t>
      </w:r>
      <w:proofErr w:type="gramStart"/>
      <w:r>
        <w:tab/>
      </w:r>
      <w:r w:rsidR="004A2521" w:rsidRPr="004A2521">
        <w:t>Д</w:t>
      </w:r>
      <w:proofErr w:type="gramEnd"/>
      <w:r w:rsidR="004A2521" w:rsidRPr="004A2521">
        <w:t>обавить следующее новое определение:</w:t>
      </w:r>
    </w:p>
    <w:p w:rsidR="004A2521" w:rsidRPr="004A2521" w:rsidRDefault="004A2521" w:rsidP="004A2521">
      <w:pPr>
        <w:pStyle w:val="SingleTxtGR"/>
        <w:rPr>
          <w:iCs/>
        </w:rPr>
      </w:pPr>
      <w:proofErr w:type="gramStart"/>
      <w:r w:rsidRPr="0078680A">
        <w:t>«"</w:t>
      </w:r>
      <w:r w:rsidRPr="0078680A">
        <w:rPr>
          <w:i/>
          <w:iCs/>
        </w:rPr>
        <w:t>Защитная облицовка</w:t>
      </w:r>
      <w:r w:rsidRPr="0078680A">
        <w:t xml:space="preserve">" </w:t>
      </w:r>
      <w:r w:rsidRPr="004A2521">
        <w:t>(для цистерн) означает облицовку или покрытие, з</w:t>
      </w:r>
      <w:r w:rsidRPr="004A2521">
        <w:t>а</w:t>
      </w:r>
      <w:r w:rsidRPr="004A2521">
        <w:t>щищающие металлическую цистерну от воздействия перевозимых веществ.</w:t>
      </w:r>
      <w:proofErr w:type="gramEnd"/>
    </w:p>
    <w:p w:rsidR="004A2521" w:rsidRPr="004A2521" w:rsidRDefault="007C7A52" w:rsidP="004A2521">
      <w:pPr>
        <w:pStyle w:val="SingleTxtGR"/>
      </w:pPr>
      <w:r w:rsidRPr="004A2521">
        <w:rPr>
          <w:b/>
          <w:i/>
        </w:rPr>
        <w:t>ПРИМЕЧАНИЕ</w:t>
      </w:r>
      <w:r w:rsidR="004A2521" w:rsidRPr="007C7A52">
        <w:rPr>
          <w:b/>
          <w:bCs/>
          <w:i/>
        </w:rPr>
        <w:t>:</w:t>
      </w:r>
      <w:r w:rsidR="004A2521" w:rsidRPr="004A2521">
        <w:rPr>
          <w:i/>
        </w:rPr>
        <w:t xml:space="preserve"> Это не относится к облицовке или покрытию, </w:t>
      </w:r>
      <w:proofErr w:type="gramStart"/>
      <w:r w:rsidR="004A2521" w:rsidRPr="004A2521">
        <w:rPr>
          <w:i/>
        </w:rPr>
        <w:t>используемым</w:t>
      </w:r>
      <w:proofErr w:type="gramEnd"/>
      <w:r w:rsidR="004A2521" w:rsidRPr="004A2521">
        <w:rPr>
          <w:i/>
        </w:rPr>
        <w:t xml:space="preserve"> только для защиты перевозимого вещества</w:t>
      </w:r>
      <w:r w:rsidR="004A2521" w:rsidRPr="004A2521">
        <w:t>».</w:t>
      </w:r>
    </w:p>
    <w:p w:rsidR="004A2521" w:rsidRPr="004A2521" w:rsidRDefault="004A2521" w:rsidP="004A2521">
      <w:pPr>
        <w:pStyle w:val="SingleTxtGR"/>
        <w:rPr>
          <w:i/>
        </w:rPr>
      </w:pPr>
      <w:r w:rsidRPr="004A2521">
        <w:rPr>
          <w:i/>
        </w:rPr>
        <w:t xml:space="preserve">(Справочный документ: </w:t>
      </w:r>
      <w:r w:rsidRPr="004A2521">
        <w:rPr>
          <w:i/>
          <w:iCs/>
        </w:rPr>
        <w:t xml:space="preserve">неофициальный документ </w:t>
      </w:r>
      <w:r w:rsidRPr="004A2521">
        <w:rPr>
          <w:i/>
        </w:rPr>
        <w:t>INF.38, предложение 6)</w:t>
      </w:r>
    </w:p>
    <w:p w:rsidR="004A2521" w:rsidRPr="004A2521" w:rsidRDefault="004A2521" w:rsidP="0078680A">
      <w:pPr>
        <w:pStyle w:val="H1GR"/>
      </w:pPr>
      <w:r w:rsidRPr="004A2521">
        <w:tab/>
      </w:r>
      <w:r w:rsidRPr="004A2521">
        <w:tab/>
        <w:t>Глава 1.4</w:t>
      </w:r>
    </w:p>
    <w:p w:rsidR="004A2521" w:rsidRPr="004A2521" w:rsidRDefault="004A2521" w:rsidP="004A2521">
      <w:pPr>
        <w:pStyle w:val="SingleTxtGR"/>
      </w:pPr>
      <w:r w:rsidRPr="004A2521">
        <w:t>1.4.2.2.2</w:t>
      </w:r>
      <w:proofErr w:type="gramStart"/>
      <w:r w:rsidRPr="004A2521">
        <w:tab/>
        <w:t>В</w:t>
      </w:r>
      <w:proofErr w:type="gramEnd"/>
      <w:r w:rsidRPr="004A2521">
        <w:t xml:space="preserve"> конце добавить следующее новое предложение: «Что касается пункта 1.4.2.2.1</w:t>
      </w:r>
      <w:r w:rsidR="007B44C8">
        <w:rPr>
          <w:i/>
        </w:rPr>
        <w:t xml:space="preserve"> </w:t>
      </w:r>
      <w:r w:rsidR="007B44C8">
        <w:t>с)</w:t>
      </w:r>
      <w:r w:rsidRPr="004A2521">
        <w:t>, то он может полагаться на данные, содержащиеся в свид</w:t>
      </w:r>
      <w:r w:rsidRPr="004A2521">
        <w:t>е</w:t>
      </w:r>
      <w:r w:rsidRPr="004A2521">
        <w:t>тельстве о загрузке контейнера/транспортного средства, соответствующем тр</w:t>
      </w:r>
      <w:r w:rsidRPr="004A2521">
        <w:t>е</w:t>
      </w:r>
      <w:r w:rsidRPr="004A2521">
        <w:t>бованиям раздела 5.4.2».</w:t>
      </w:r>
    </w:p>
    <w:p w:rsidR="004A2521" w:rsidRPr="004A2521" w:rsidRDefault="004A2521" w:rsidP="004A2521">
      <w:pPr>
        <w:pStyle w:val="SingleTxtGR"/>
        <w:rPr>
          <w:i/>
        </w:rPr>
      </w:pPr>
      <w:r w:rsidRPr="004A2521">
        <w:rPr>
          <w:i/>
        </w:rPr>
        <w:t xml:space="preserve">(Справочный документ: </w:t>
      </w:r>
      <w:r w:rsidRPr="004A2521">
        <w:rPr>
          <w:i/>
          <w:iCs/>
        </w:rPr>
        <w:t xml:space="preserve">неофициальный документ </w:t>
      </w:r>
      <w:r w:rsidRPr="004A2521">
        <w:rPr>
          <w:i/>
        </w:rPr>
        <w:t>INF.36 с поправками)</w:t>
      </w:r>
    </w:p>
    <w:p w:rsidR="004A2521" w:rsidRPr="004A2521" w:rsidRDefault="004A2521" w:rsidP="0078680A">
      <w:pPr>
        <w:pStyle w:val="H1GR"/>
      </w:pPr>
      <w:r w:rsidRPr="004A2521">
        <w:tab/>
      </w:r>
      <w:r w:rsidRPr="004A2521">
        <w:tab/>
        <w:t>Глава 1.6</w:t>
      </w:r>
    </w:p>
    <w:p w:rsidR="004A2521" w:rsidRPr="004A2521" w:rsidRDefault="004A2521" w:rsidP="004A2521">
      <w:pPr>
        <w:pStyle w:val="SingleTxtGR"/>
        <w:rPr>
          <w:bCs/>
        </w:rPr>
      </w:pPr>
      <w:r w:rsidRPr="004A2521">
        <w:rPr>
          <w:bCs/>
        </w:rPr>
        <w:t>1.6.1</w:t>
      </w:r>
      <w:proofErr w:type="gramStart"/>
      <w:r w:rsidRPr="004A2521">
        <w:rPr>
          <w:bCs/>
        </w:rPr>
        <w:tab/>
        <w:t>Д</w:t>
      </w:r>
      <w:proofErr w:type="gramEnd"/>
      <w:r w:rsidRPr="004A2521">
        <w:rPr>
          <w:bCs/>
        </w:rPr>
        <w:t>обавить новые переходные меры следующего содержания:</w:t>
      </w:r>
    </w:p>
    <w:p w:rsidR="004A2521" w:rsidRPr="004A2521" w:rsidRDefault="004A2521" w:rsidP="004A2521">
      <w:pPr>
        <w:pStyle w:val="SingleTxtGR"/>
      </w:pPr>
      <w:proofErr w:type="gramStart"/>
      <w:r w:rsidRPr="004A2521">
        <w:rPr>
          <w:bCs/>
        </w:rPr>
        <w:t>«1.6.1.44</w:t>
      </w:r>
      <w:r w:rsidRPr="004A2521">
        <w:rPr>
          <w:bCs/>
        </w:rPr>
        <w:tab/>
        <w:t>Предприятия, которые участвуют в перевозке опасных грузов тол</w:t>
      </w:r>
      <w:r w:rsidRPr="004A2521">
        <w:rPr>
          <w:bCs/>
        </w:rPr>
        <w:t>ь</w:t>
      </w:r>
      <w:r w:rsidRPr="004A2521">
        <w:rPr>
          <w:bCs/>
        </w:rPr>
        <w:t>ко в качестве грузоотправителей и которые не были обязаны назначать консул</w:t>
      </w:r>
      <w:r w:rsidRPr="004A2521">
        <w:rPr>
          <w:bCs/>
        </w:rPr>
        <w:t>ь</w:t>
      </w:r>
      <w:r w:rsidRPr="004A2521">
        <w:rPr>
          <w:bCs/>
        </w:rPr>
        <w:t>танта по вопросам безопасности на основании положений, прим</w:t>
      </w:r>
      <w:r w:rsidR="00350173">
        <w:rPr>
          <w:bCs/>
        </w:rPr>
        <w:t>еняемых до 31 </w:t>
      </w:r>
      <w:r w:rsidRPr="004A2521">
        <w:rPr>
          <w:bCs/>
        </w:rPr>
        <w:t>декабря 2018 года, должны, в отступление от положений пункта 1.8.3.1, применяемых с 1 января 2019 года, назначать консультанта по вопросам бе</w:t>
      </w:r>
      <w:r w:rsidRPr="004A2521">
        <w:rPr>
          <w:bCs/>
        </w:rPr>
        <w:t>з</w:t>
      </w:r>
      <w:r w:rsidRPr="004A2521">
        <w:rPr>
          <w:bCs/>
        </w:rPr>
        <w:t>опасности не позднее 31 декабря 2022 года».</w:t>
      </w:r>
      <w:proofErr w:type="gramEnd"/>
    </w:p>
    <w:p w:rsidR="004A2521" w:rsidRPr="004A2521" w:rsidRDefault="004A2521" w:rsidP="004A2521">
      <w:pPr>
        <w:pStyle w:val="SingleTxtGR"/>
        <w:rPr>
          <w:i/>
        </w:rPr>
      </w:pPr>
      <w:proofErr w:type="gramStart"/>
      <w:r w:rsidRPr="004A2521">
        <w:rPr>
          <w:i/>
        </w:rPr>
        <w:t>(Справочный документ:</w:t>
      </w:r>
      <w:proofErr w:type="gramEnd"/>
      <w:r w:rsidRPr="004A2521">
        <w:rPr>
          <w:i/>
        </w:rPr>
        <w:t xml:space="preserve"> </w:t>
      </w:r>
      <w:proofErr w:type="gramStart"/>
      <w:r w:rsidRPr="004A2521">
        <w:rPr>
          <w:i/>
        </w:rPr>
        <w:t>ECE/TRANS/WP.15/AC.1/2016/24 с поправками, соде</w:t>
      </w:r>
      <w:r w:rsidRPr="004A2521">
        <w:rPr>
          <w:i/>
        </w:rPr>
        <w:t>р</w:t>
      </w:r>
      <w:r w:rsidRPr="004A2521">
        <w:rPr>
          <w:i/>
        </w:rPr>
        <w:t>жащимися в неофициальном документе INF.35)</w:t>
      </w:r>
      <w:proofErr w:type="gramEnd"/>
    </w:p>
    <w:p w:rsidR="004A2521" w:rsidRPr="004A2521" w:rsidRDefault="004A2521" w:rsidP="004A2521">
      <w:pPr>
        <w:pStyle w:val="SingleTxtGR"/>
      </w:pPr>
      <w:r w:rsidRPr="004A2521">
        <w:rPr>
          <w:iCs/>
        </w:rPr>
        <w:t>«1.6.1.45</w:t>
      </w:r>
      <w:r w:rsidRPr="004A2521">
        <w:rPr>
          <w:iCs/>
        </w:rPr>
        <w:tab/>
        <w:t xml:space="preserve">Договаривающиеся </w:t>
      </w:r>
      <w:proofErr w:type="gramStart"/>
      <w:r w:rsidRPr="004A2521">
        <w:rPr>
          <w:iCs/>
        </w:rPr>
        <w:t>стороны</w:t>
      </w:r>
      <w:proofErr w:type="gramEnd"/>
      <w:r w:rsidRPr="004A2521">
        <w:rPr>
          <w:iCs/>
        </w:rPr>
        <w:t>/Договари</w:t>
      </w:r>
      <w:r w:rsidR="007B44C8">
        <w:rPr>
          <w:iCs/>
        </w:rPr>
        <w:t>вающиеся государства МПОГ могут до 31 декабря 2020 года</w:t>
      </w:r>
      <w:r w:rsidRPr="004A2521">
        <w:rPr>
          <w:iCs/>
        </w:rPr>
        <w:t xml:space="preserve"> продолжать выдавать свидетельства о подготовке консультантов по вопросам безопасности перевозок опасных грузов, соответствующие образцу, применяемому до 31 декабря 2018 года, вместо св</w:t>
      </w:r>
      <w:r w:rsidRPr="004A2521">
        <w:rPr>
          <w:iCs/>
        </w:rPr>
        <w:t>и</w:t>
      </w:r>
      <w:r w:rsidRPr="004A2521">
        <w:rPr>
          <w:iCs/>
        </w:rPr>
        <w:t>детельств, соответствующих требованиям подраздела 1.8.3.18, применяемым с 1 января 2019 года. Такие свидетельства могут по-прежнему использоваться до конца их пятилетнего срока действия».</w:t>
      </w:r>
    </w:p>
    <w:p w:rsidR="004A2521" w:rsidRPr="004A2521" w:rsidRDefault="004A2521" w:rsidP="004A2521">
      <w:pPr>
        <w:pStyle w:val="SingleTxtGR"/>
        <w:rPr>
          <w:iCs/>
        </w:rPr>
      </w:pPr>
      <w:proofErr w:type="gramStart"/>
      <w:r w:rsidRPr="004A2521">
        <w:rPr>
          <w:i/>
        </w:rPr>
        <w:t>(Справочный документ:</w:t>
      </w:r>
      <w:proofErr w:type="gramEnd"/>
      <w:r w:rsidRPr="004A2521">
        <w:rPr>
          <w:i/>
        </w:rPr>
        <w:t xml:space="preserve"> </w:t>
      </w:r>
      <w:proofErr w:type="gramStart"/>
      <w:r w:rsidRPr="004A2521">
        <w:rPr>
          <w:i/>
        </w:rPr>
        <w:t>ECE/TRANS/WP.15/AC.1/2016/24 с поправками)</w:t>
      </w:r>
      <w:proofErr w:type="gramEnd"/>
    </w:p>
    <w:p w:rsidR="004A2521" w:rsidRPr="004A2521" w:rsidRDefault="004A2521" w:rsidP="004A2521">
      <w:pPr>
        <w:pStyle w:val="SingleTxtGR"/>
      </w:pPr>
      <w:r w:rsidRPr="004A2521">
        <w:t>[1.6.3</w:t>
      </w:r>
      <w:proofErr w:type="gramStart"/>
      <w:r w:rsidRPr="004A2521">
        <w:tab/>
        <w:t>В</w:t>
      </w:r>
      <w:proofErr w:type="gramEnd"/>
      <w:r w:rsidRPr="004A2521">
        <w:t>ключить новую переходную меру следующего содержания:</w:t>
      </w:r>
    </w:p>
    <w:p w:rsidR="004A2521" w:rsidRPr="004A2521" w:rsidRDefault="004A2521" w:rsidP="004A2521">
      <w:pPr>
        <w:pStyle w:val="SingleTxtGR"/>
      </w:pPr>
      <w:proofErr w:type="gramStart"/>
      <w:r w:rsidRPr="004A2521">
        <w:t>«1.6.3.47</w:t>
      </w:r>
      <w:r w:rsidRPr="004A2521">
        <w:tab/>
        <w:t>Предохранительные клапаны, отвечающие требованиям, примен</w:t>
      </w:r>
      <w:r w:rsidRPr="004A2521">
        <w:t>я</w:t>
      </w:r>
      <w:r w:rsidRPr="004A2521">
        <w:t>емым до 31 декабря 2018 года, но не удовлет</w:t>
      </w:r>
      <w:r w:rsidR="004C60B7">
        <w:t>воряющие требованиям пун</w:t>
      </w:r>
      <w:r w:rsidR="004C60B7">
        <w:t>к</w:t>
      </w:r>
      <w:r w:rsidR="004C60B7">
        <w:t>та </w:t>
      </w:r>
      <w:r w:rsidRPr="004A2521">
        <w:t>6.8.3.2.9 в отношении защитного колпака, применяемым с 1 января 2019 г</w:t>
      </w:r>
      <w:r w:rsidRPr="004A2521">
        <w:t>о</w:t>
      </w:r>
      <w:r w:rsidRPr="004A2521">
        <w:lastRenderedPageBreak/>
        <w:t>да, могут по-прежнему использоваться [до следующей промежуточной или п</w:t>
      </w:r>
      <w:r w:rsidRPr="004A2521">
        <w:t>е</w:t>
      </w:r>
      <w:r w:rsidRPr="004A2521">
        <w:t>риодической проверки после 1 июля 2019 года]».]</w:t>
      </w:r>
      <w:proofErr w:type="gramEnd"/>
    </w:p>
    <w:p w:rsidR="004A2521" w:rsidRPr="004A2521" w:rsidRDefault="004A2521" w:rsidP="004A2521">
      <w:pPr>
        <w:pStyle w:val="SingleTxtGR"/>
        <w:rPr>
          <w:i/>
        </w:rPr>
      </w:pPr>
      <w:r w:rsidRPr="004A2521">
        <w:rPr>
          <w:i/>
        </w:rPr>
        <w:t xml:space="preserve">(Справочный документ: </w:t>
      </w:r>
      <w:r w:rsidRPr="004A2521">
        <w:rPr>
          <w:i/>
          <w:iCs/>
        </w:rPr>
        <w:t xml:space="preserve">неофициальный документ </w:t>
      </w:r>
      <w:r w:rsidRPr="004A2521">
        <w:rPr>
          <w:i/>
        </w:rPr>
        <w:t>INF.38, предложение 5)</w:t>
      </w:r>
    </w:p>
    <w:p w:rsidR="004A2521" w:rsidRPr="004A2521" w:rsidRDefault="004A2521" w:rsidP="004A2521">
      <w:pPr>
        <w:pStyle w:val="SingleTxtGR"/>
        <w:rPr>
          <w:iCs/>
        </w:rPr>
      </w:pPr>
      <w:r w:rsidRPr="004A2521">
        <w:rPr>
          <w:iCs/>
        </w:rPr>
        <w:t>1.6.3</w:t>
      </w:r>
      <w:proofErr w:type="gramStart"/>
      <w:r w:rsidRPr="004A2521">
        <w:rPr>
          <w:iCs/>
        </w:rPr>
        <w:tab/>
      </w:r>
      <w:r w:rsidRPr="004A2521">
        <w:t>В</w:t>
      </w:r>
      <w:proofErr w:type="gramEnd"/>
      <w:r w:rsidRPr="004A2521">
        <w:t>ключить новую переходную меру следующего содержания:</w:t>
      </w:r>
    </w:p>
    <w:p w:rsidR="004A2521" w:rsidRPr="004A2521" w:rsidRDefault="004A2521" w:rsidP="00350173">
      <w:pPr>
        <w:pStyle w:val="SingleTxtGR"/>
        <w:rPr>
          <w:iCs/>
        </w:rPr>
      </w:pPr>
      <w:r w:rsidRPr="004A2521">
        <w:rPr>
          <w:iCs/>
        </w:rPr>
        <w:t>«1.6.3.48</w:t>
      </w:r>
      <w:r w:rsidRPr="004A2521">
        <w:rPr>
          <w:iCs/>
        </w:rPr>
        <w:tab/>
      </w:r>
      <w:proofErr w:type="gramStart"/>
      <w:r w:rsidRPr="004A2521">
        <w:rPr>
          <w:iCs/>
        </w:rPr>
        <w:t>Вагоны-цистерны</w:t>
      </w:r>
      <w:proofErr w:type="gramEnd"/>
      <w:r w:rsidRPr="004A2521">
        <w:rPr>
          <w:iCs/>
        </w:rPr>
        <w:t>/Встроенные цистерны (автоцистерны) и съемные цистерны с корпусом, изготовленным из алюминиевого сплава, в том числе с защитной облицовкой), изготовленные до 1 июля 2019 года, используемые для перевозки веществ, которые не соответствуют требованиям специального п</w:t>
      </w:r>
      <w:r w:rsidRPr="004A2521">
        <w:rPr>
          <w:iCs/>
        </w:rPr>
        <w:t>о</w:t>
      </w:r>
      <w:r w:rsidRPr="004A2521">
        <w:rPr>
          <w:iCs/>
        </w:rPr>
        <w:t>ложения TU42 раздела 4.3.5, применяемым с 1 января 2019 года, могут по-прежнему использоваться для перевозки этих веществ до 31 декабря 2022 г</w:t>
      </w:r>
      <w:r w:rsidRPr="004A2521">
        <w:rPr>
          <w:iCs/>
        </w:rPr>
        <w:t>о</w:t>
      </w:r>
      <w:r w:rsidR="00350173">
        <w:rPr>
          <w:iCs/>
        </w:rPr>
        <w:t>да»</w:t>
      </w:r>
      <w:r w:rsidRPr="007C7A52">
        <w:rPr>
          <w:iCs/>
          <w:sz w:val="18"/>
          <w:szCs w:val="18"/>
          <w:vertAlign w:val="superscript"/>
        </w:rPr>
        <w:footnoteReference w:id="2"/>
      </w:r>
      <w:r w:rsidR="00350173">
        <w:rPr>
          <w:iCs/>
        </w:rPr>
        <w:t>.</w:t>
      </w:r>
    </w:p>
    <w:p w:rsidR="004A2521" w:rsidRPr="004A2521" w:rsidRDefault="004A2521" w:rsidP="004A2521">
      <w:pPr>
        <w:pStyle w:val="SingleTxtGR"/>
        <w:rPr>
          <w:i/>
          <w:iCs/>
        </w:rPr>
      </w:pPr>
      <w:r w:rsidRPr="004A2521">
        <w:rPr>
          <w:i/>
          <w:iCs/>
        </w:rPr>
        <w:t>(Справочный документ: неофициальный документ INF.38, предложение 7)</w:t>
      </w:r>
    </w:p>
    <w:p w:rsidR="004A2521" w:rsidRPr="004A2521" w:rsidRDefault="004A2521" w:rsidP="00197107">
      <w:pPr>
        <w:pStyle w:val="SingleTxtGR"/>
        <w:tabs>
          <w:tab w:val="clear" w:pos="1701"/>
          <w:tab w:val="left" w:pos="1764"/>
        </w:tabs>
      </w:pPr>
      <w:r w:rsidRPr="004A2521">
        <w:t>[1.6.4</w:t>
      </w:r>
      <w:proofErr w:type="gramStart"/>
      <w:r w:rsidRPr="004A2521">
        <w:tab/>
        <w:t>В</w:t>
      </w:r>
      <w:proofErr w:type="gramEnd"/>
      <w:r w:rsidRPr="004A2521">
        <w:t>ключить новую переходную меру следующего содержания:</w:t>
      </w:r>
    </w:p>
    <w:p w:rsidR="004A2521" w:rsidRPr="004A2521" w:rsidRDefault="004A2521" w:rsidP="004A2521">
      <w:pPr>
        <w:pStyle w:val="SingleTxtGR"/>
      </w:pPr>
      <w:proofErr w:type="gramStart"/>
      <w:r w:rsidRPr="004A2521">
        <w:t>«1.6.4.49</w:t>
      </w:r>
      <w:r w:rsidRPr="004A2521">
        <w:tab/>
        <w:t>Предохранительные клапаны, отвечающие требованиям, примен</w:t>
      </w:r>
      <w:r w:rsidRPr="004A2521">
        <w:t>я</w:t>
      </w:r>
      <w:r w:rsidRPr="004A2521">
        <w:t>емым до 31 декабря 2018 года, но не удовлетвор</w:t>
      </w:r>
      <w:r w:rsidR="007C7A52">
        <w:t>яющие требованиям пун</w:t>
      </w:r>
      <w:r w:rsidR="007C7A52">
        <w:t>к</w:t>
      </w:r>
      <w:r w:rsidR="007C7A52">
        <w:t>та </w:t>
      </w:r>
      <w:r w:rsidRPr="004A2521">
        <w:t>6.8.3.2.9 в отношении защитного колпака, применяемым с 1 января 2019 г</w:t>
      </w:r>
      <w:r w:rsidRPr="004A2521">
        <w:t>о</w:t>
      </w:r>
      <w:r w:rsidRPr="004A2521">
        <w:t>да, могут по-прежнему использоваться [до следующей промежуточной или п</w:t>
      </w:r>
      <w:r w:rsidRPr="004A2521">
        <w:t>е</w:t>
      </w:r>
      <w:r w:rsidRPr="004A2521">
        <w:t>риодической проверки после 1 июля 2019 года]».]</w:t>
      </w:r>
      <w:proofErr w:type="gramEnd"/>
    </w:p>
    <w:p w:rsidR="004A2521" w:rsidRPr="004A2521" w:rsidRDefault="004A2521" w:rsidP="004A2521">
      <w:pPr>
        <w:pStyle w:val="SingleTxtGR"/>
        <w:rPr>
          <w:i/>
          <w:iCs/>
        </w:rPr>
      </w:pPr>
      <w:r w:rsidRPr="004A2521">
        <w:rPr>
          <w:i/>
          <w:iCs/>
        </w:rPr>
        <w:t>(Справочный документ: неофициальный документ INF.38, предложение 5)</w:t>
      </w:r>
    </w:p>
    <w:p w:rsidR="004A2521" w:rsidRPr="004A2521" w:rsidRDefault="004A2521" w:rsidP="004A2521">
      <w:pPr>
        <w:pStyle w:val="SingleTxtGR"/>
      </w:pPr>
      <w:r w:rsidRPr="004A2521">
        <w:t>1.6.4</w:t>
      </w:r>
      <w:proofErr w:type="gramStart"/>
      <w:r w:rsidRPr="004A2521">
        <w:tab/>
        <w:t>В</w:t>
      </w:r>
      <w:proofErr w:type="gramEnd"/>
      <w:r w:rsidRPr="004A2521">
        <w:t>ключить новую переходную меру следующего содержания:</w:t>
      </w:r>
    </w:p>
    <w:p w:rsidR="004A2521" w:rsidRPr="004A2521" w:rsidRDefault="004A2521" w:rsidP="007C7A52">
      <w:pPr>
        <w:pStyle w:val="SingleTxtGR"/>
      </w:pPr>
      <w:proofErr w:type="gramStart"/>
      <w:r w:rsidRPr="004A2521">
        <w:t>«1.6.4.50</w:t>
      </w:r>
      <w:r w:rsidRPr="004A2521">
        <w:tab/>
        <w:t>Контейнеры-цистерны с корпусом, изготовленным из алюминиев</w:t>
      </w:r>
      <w:r w:rsidRPr="004A2521">
        <w:t>о</w:t>
      </w:r>
      <w:r w:rsidRPr="004A2521">
        <w:t>го сплава, в том числе с защитной облицовко</w:t>
      </w:r>
      <w:r w:rsidR="004C60B7">
        <w:t>й, изготовленные до 1 июля 2019 </w:t>
      </w:r>
      <w:r w:rsidRPr="004A2521">
        <w:t>года, используемые для перевозки веществ, которые не соответствуют требованиям специального положения TU42 раздела 4.3.5, применяемым с 1</w:t>
      </w:r>
      <w:r w:rsidR="007C7A52">
        <w:t> </w:t>
      </w:r>
      <w:r w:rsidRPr="004A2521">
        <w:t>января 2019 года, могут по-прежнему использоваться для перевозки этих в</w:t>
      </w:r>
      <w:r w:rsidRPr="004A2521">
        <w:t>е</w:t>
      </w:r>
      <w:r w:rsidR="004C60B7">
        <w:t>ществ до 31 декабря 2022 года»</w:t>
      </w:r>
      <w:r w:rsidRPr="008710CD">
        <w:rPr>
          <w:sz w:val="18"/>
          <w:szCs w:val="18"/>
          <w:vertAlign w:val="superscript"/>
        </w:rPr>
        <w:footnoteReference w:id="3"/>
      </w:r>
      <w:r w:rsidR="004C60B7">
        <w:t>.</w:t>
      </w:r>
      <w:proofErr w:type="gramEnd"/>
    </w:p>
    <w:p w:rsidR="004A2521" w:rsidRPr="004A2521" w:rsidRDefault="004A2521" w:rsidP="004A2521">
      <w:pPr>
        <w:pStyle w:val="SingleTxtGR"/>
        <w:rPr>
          <w:i/>
          <w:iCs/>
        </w:rPr>
      </w:pPr>
      <w:r w:rsidRPr="004A2521">
        <w:rPr>
          <w:i/>
          <w:iCs/>
        </w:rPr>
        <w:t>(Справочный документ: неофициальный документ INF.38, предложение 7)</w:t>
      </w:r>
    </w:p>
    <w:p w:rsidR="004A2521" w:rsidRPr="004A2521" w:rsidRDefault="004A2521" w:rsidP="007B44C8">
      <w:pPr>
        <w:pStyle w:val="H1GR"/>
        <w:pageBreakBefore/>
      </w:pPr>
      <w:r w:rsidRPr="004A2521">
        <w:lastRenderedPageBreak/>
        <w:tab/>
      </w:r>
      <w:r w:rsidRPr="004A2521">
        <w:rPr>
          <w:bCs/>
        </w:rPr>
        <w:tab/>
      </w:r>
      <w:r w:rsidRPr="004A2521">
        <w:t>Глава 3.2, таблица A</w:t>
      </w:r>
    </w:p>
    <w:p w:rsidR="004A2521" w:rsidRPr="004A2521" w:rsidRDefault="00C53DED" w:rsidP="00C53DED">
      <w:pPr>
        <w:pStyle w:val="SingleTxtGR"/>
        <w:rPr>
          <w:b/>
        </w:rPr>
      </w:pPr>
      <w:r>
        <w:tab/>
      </w:r>
      <w:proofErr w:type="gramStart"/>
      <w:r w:rsidR="004A2521" w:rsidRPr="004A2521">
        <w:t>Для № ООН 1755 ГУ II и ГУ III, 1778 ГУ II, 1779 ГУ II, 1788 ГУ II и ГУ</w:t>
      </w:r>
      <w:r>
        <w:t> </w:t>
      </w:r>
      <w:r w:rsidR="004A2521" w:rsidRPr="004A2521">
        <w:t>III, 1789 ГУ II и ГУ III, 1791 ГУII и ГУ III, 1803 ГУ II, 1805 ГУ III, 1814</w:t>
      </w:r>
      <w:r>
        <w:t> </w:t>
      </w:r>
      <w:r w:rsidR="004A2521" w:rsidRPr="004A2521">
        <w:t>ГУ</w:t>
      </w:r>
      <w:r>
        <w:t> </w:t>
      </w:r>
      <w:r w:rsidR="004A2521" w:rsidRPr="004A2521">
        <w:t>II и ГУ III, 1819 ГУ II и ГУ III, 1824 ГУ II и ГУ III, 1830 ГУ II, 1832</w:t>
      </w:r>
      <w:r>
        <w:t> </w:t>
      </w:r>
      <w:r w:rsidR="004A2521" w:rsidRPr="004A2521">
        <w:t>ГУ</w:t>
      </w:r>
      <w:proofErr w:type="gramEnd"/>
      <w:r>
        <w:t> </w:t>
      </w:r>
      <w:r w:rsidR="004A2521" w:rsidRPr="004A2521">
        <w:t>II, 1840 ГУ III, 1906 ГУ II, 2031 ГУ II, 2581 ГУ III, 2582 ГУ III, 2586</w:t>
      </w:r>
      <w:r>
        <w:t> </w:t>
      </w:r>
      <w:r w:rsidR="004A2521" w:rsidRPr="004A2521">
        <w:t>ГУ III, 2693 ГУ III, 2796</w:t>
      </w:r>
      <w:r w:rsidR="004C60B7">
        <w:t> </w:t>
      </w:r>
      <w:r w:rsidR="007B44C8">
        <w:t>ГУ II, 3264 ГУ II и ГУ III</w:t>
      </w:r>
      <w:r w:rsidR="004A2521" w:rsidRPr="004A2521">
        <w:t xml:space="preserve"> добавить «TU42» в к</w:t>
      </w:r>
      <w:r w:rsidR="004A2521" w:rsidRPr="004A2521">
        <w:t>о</w:t>
      </w:r>
      <w:r w:rsidR="004A2521" w:rsidRPr="004A2521">
        <w:t>лонке 13.</w:t>
      </w:r>
    </w:p>
    <w:p w:rsidR="004A2521" w:rsidRPr="004A2521" w:rsidRDefault="004A2521" w:rsidP="004A2521">
      <w:pPr>
        <w:pStyle w:val="SingleTxtGR"/>
        <w:rPr>
          <w:i/>
          <w:iCs/>
        </w:rPr>
      </w:pPr>
      <w:r w:rsidRPr="004A2521">
        <w:rPr>
          <w:i/>
          <w:iCs/>
        </w:rPr>
        <w:t>(Справочный документ: неофициальный документ INF.38, предложение 9)</w:t>
      </w:r>
    </w:p>
    <w:p w:rsidR="004A2521" w:rsidRPr="004A2521" w:rsidRDefault="00C53DED" w:rsidP="004A2521">
      <w:pPr>
        <w:pStyle w:val="SingleTxtGR"/>
      </w:pPr>
      <w:r>
        <w:tab/>
      </w:r>
      <w:r w:rsidR="004A2521" w:rsidRPr="004A2521">
        <w:t>Для № ООН 3091 и 3481 заменить «636» на «670» в колонке 6.</w:t>
      </w:r>
    </w:p>
    <w:p w:rsidR="004A2521" w:rsidRPr="004A2521" w:rsidRDefault="004A2521" w:rsidP="004A2521">
      <w:pPr>
        <w:pStyle w:val="SingleTxtGR"/>
        <w:rPr>
          <w:i/>
        </w:rPr>
      </w:pPr>
      <w:proofErr w:type="gramStart"/>
      <w:r w:rsidRPr="004A2521">
        <w:rPr>
          <w:i/>
        </w:rPr>
        <w:t>(Справочный документ:</w:t>
      </w:r>
      <w:proofErr w:type="gramEnd"/>
      <w:r w:rsidRPr="004A2521">
        <w:rPr>
          <w:i/>
        </w:rPr>
        <w:t xml:space="preserve"> </w:t>
      </w:r>
      <w:proofErr w:type="gramStart"/>
      <w:r w:rsidRPr="004A2521">
        <w:rPr>
          <w:i/>
        </w:rPr>
        <w:t>ECE/TRANS/WP.15/AC.1/2016/19)</w:t>
      </w:r>
      <w:proofErr w:type="gramEnd"/>
    </w:p>
    <w:p w:rsidR="004A2521" w:rsidRPr="004A2521" w:rsidRDefault="004A2521" w:rsidP="004C60B7">
      <w:pPr>
        <w:pStyle w:val="H1GR"/>
      </w:pPr>
      <w:r w:rsidRPr="004A2521">
        <w:tab/>
      </w:r>
      <w:r w:rsidRPr="004A2521">
        <w:tab/>
        <w:t>Глава 3.3</w:t>
      </w:r>
    </w:p>
    <w:p w:rsidR="004A2521" w:rsidRPr="004A2521" w:rsidRDefault="00C53DED" w:rsidP="004A2521">
      <w:pPr>
        <w:pStyle w:val="SingleTxtGR"/>
      </w:pPr>
      <w:r>
        <w:tab/>
      </w:r>
      <w:r w:rsidR="004A2521" w:rsidRPr="004A2521">
        <w:t>Изменить специальное положение 636 следующим образом:</w:t>
      </w:r>
    </w:p>
    <w:p w:rsidR="004A2521" w:rsidRPr="004A2521" w:rsidRDefault="004A2521" w:rsidP="004A2521">
      <w:pPr>
        <w:pStyle w:val="SingleTxtGR"/>
      </w:pPr>
      <w:r w:rsidRPr="004A2521">
        <w:t>«636</w:t>
      </w:r>
      <w:proofErr w:type="gramStart"/>
      <w:r w:rsidRPr="004A2521">
        <w:tab/>
        <w:t>В</w:t>
      </w:r>
      <w:proofErr w:type="gramEnd"/>
      <w:r w:rsidRPr="004A2521">
        <w:t xml:space="preserve"> случае перевозки до места промежуточной переработки литиевые эл</w:t>
      </w:r>
      <w:r w:rsidRPr="004A2521">
        <w:t>е</w:t>
      </w:r>
      <w:r w:rsidRPr="004A2521">
        <w:t xml:space="preserve">менты и батареи массой брутто не более 500 г каждый/каждая, литий-ионные элементы мощностью в ватт-часах не более 20 </w:t>
      </w:r>
      <w:proofErr w:type="spellStart"/>
      <w:r w:rsidRPr="004A2521">
        <w:t>Вт·ч</w:t>
      </w:r>
      <w:proofErr w:type="spellEnd"/>
      <w:r w:rsidRPr="004A2521">
        <w:t xml:space="preserve">, литий-ионные батареи мощностью в ватт-часах не более 100 </w:t>
      </w:r>
      <w:proofErr w:type="spellStart"/>
      <w:r w:rsidRPr="004A2521">
        <w:t>Вт·ч</w:t>
      </w:r>
      <w:proofErr w:type="spellEnd"/>
      <w:r w:rsidRPr="004A2521">
        <w:t>, литий-металлические элементы с содержанием лития не более 1 г и литий-металлические элементы с совоку</w:t>
      </w:r>
      <w:r w:rsidRPr="004A2521">
        <w:t>п</w:t>
      </w:r>
      <w:r w:rsidRPr="004A2521">
        <w:t>ным содержанием лития не более 2 г, не содержащиеся в оборудовании, с</w:t>
      </w:r>
      <w:r w:rsidRPr="004A2521">
        <w:t>о</w:t>
      </w:r>
      <w:r w:rsidRPr="004A2521">
        <w:t>бранные и предъявленные для перевозки в целях сортировки, удаления или утилизации, не подпадают под действие других положений МПОГ/ДОПОГ/</w:t>
      </w:r>
      <w:r w:rsidR="004C60B7">
        <w:br/>
      </w:r>
      <w:r w:rsidRPr="004A2521">
        <w:t>ВОПОГ, включая специальное положение 376 и пункт 2.2.9.1.7, если они отв</w:t>
      </w:r>
      <w:r w:rsidRPr="004A2521">
        <w:t>е</w:t>
      </w:r>
      <w:r w:rsidRPr="004A2521">
        <w:t>чают следующим условиям:</w:t>
      </w:r>
    </w:p>
    <w:p w:rsidR="004A2521" w:rsidRPr="004A2521" w:rsidRDefault="004A2521" w:rsidP="004A2521">
      <w:pPr>
        <w:pStyle w:val="SingleTxtGR"/>
      </w:pPr>
      <w:r w:rsidRPr="004A2521">
        <w:tab/>
        <w:t>a)</w:t>
      </w:r>
      <w:r w:rsidRPr="004A2521">
        <w:tab/>
        <w:t>элементы и батареи упакованы в соответствии с инструкцией по упаковке P909, содержащейся в подразделе 4.1.4.1, за исключением дополн</w:t>
      </w:r>
      <w:r w:rsidRPr="004A2521">
        <w:t>и</w:t>
      </w:r>
      <w:r w:rsidRPr="004A2521">
        <w:t>тельных требований 1 и 2;</w:t>
      </w:r>
    </w:p>
    <w:p w:rsidR="004A2521" w:rsidRPr="004A2521" w:rsidRDefault="004A2521" w:rsidP="004A2521">
      <w:pPr>
        <w:pStyle w:val="SingleTxtGR"/>
      </w:pPr>
      <w:r w:rsidRPr="004A2521">
        <w:tab/>
        <w:t>b)</w:t>
      </w:r>
      <w:r w:rsidRPr="004A2521">
        <w:tab/>
        <w:t>применяется система обеспечения качества для того, чтобы общее количество литиевых элементов или батарей на вагон или большой конте</w:t>
      </w:r>
      <w:r w:rsidRPr="004A2521">
        <w:t>й</w:t>
      </w:r>
      <w:r w:rsidRPr="004A2521">
        <w:t>нер/транспортную единицу/транспортную единицу, прицеп, если он отцеплен от буксирующего его транспортного средства, вагон или контейнер не прев</w:t>
      </w:r>
      <w:r w:rsidRPr="004A2521">
        <w:t>ы</w:t>
      </w:r>
      <w:r w:rsidR="007B44C8">
        <w:t>шало</w:t>
      </w:r>
      <w:r w:rsidRPr="004A2521">
        <w:t xml:space="preserve"> 333 кг;</w:t>
      </w:r>
    </w:p>
    <w:p w:rsidR="004A2521" w:rsidRPr="004A2521" w:rsidRDefault="00A36241" w:rsidP="00C53DED">
      <w:pPr>
        <w:pStyle w:val="SingleTxtGR"/>
        <w:ind w:left="2268" w:hanging="1134"/>
        <w:rPr>
          <w:i/>
        </w:rPr>
      </w:pPr>
      <w:r>
        <w:rPr>
          <w:b/>
          <w:i/>
          <w:iCs/>
        </w:rPr>
        <w:tab/>
      </w:r>
      <w:r w:rsidR="00C53DED">
        <w:rPr>
          <w:b/>
          <w:i/>
          <w:iCs/>
        </w:rPr>
        <w:tab/>
      </w:r>
      <w:r w:rsidR="004A2521" w:rsidRPr="004A2521">
        <w:rPr>
          <w:b/>
          <w:i/>
          <w:iCs/>
        </w:rPr>
        <w:t>ПРИМЕЧАНИЕ:</w:t>
      </w:r>
      <w:r w:rsidR="004A2521" w:rsidRPr="004A2521">
        <w:rPr>
          <w:i/>
          <w:iCs/>
        </w:rPr>
        <w:t xml:space="preserve"> Общее количество литиевых элементов и бат</w:t>
      </w:r>
      <w:r w:rsidR="004A2521" w:rsidRPr="004A2521">
        <w:rPr>
          <w:i/>
          <w:iCs/>
        </w:rPr>
        <w:t>а</w:t>
      </w:r>
      <w:r w:rsidR="004A2521" w:rsidRPr="004A2521">
        <w:rPr>
          <w:i/>
          <w:iCs/>
        </w:rPr>
        <w:t>рей в смешанном грузе может оцениваться с помощью статист</w:t>
      </w:r>
      <w:r w:rsidR="004A2521" w:rsidRPr="004A2521">
        <w:rPr>
          <w:i/>
          <w:iCs/>
        </w:rPr>
        <w:t>и</w:t>
      </w:r>
      <w:r w:rsidR="004A2521" w:rsidRPr="004A2521">
        <w:rPr>
          <w:i/>
          <w:iCs/>
        </w:rPr>
        <w:t xml:space="preserve">ческого метода, включенного в систему обеспечения качества. </w:t>
      </w:r>
      <w:r w:rsidR="00C53DED">
        <w:rPr>
          <w:i/>
          <w:iCs/>
        </w:rPr>
        <w:br/>
      </w:r>
      <w:r w:rsidR="004A2521" w:rsidRPr="004A2521">
        <w:rPr>
          <w:i/>
          <w:iCs/>
        </w:rPr>
        <w:t>Копия учетной документации по обеспечению качества должна предоставляться компетентному органу по его запросу.</w:t>
      </w:r>
    </w:p>
    <w:p w:rsidR="004A2521" w:rsidRPr="004A2521" w:rsidRDefault="004A2521" w:rsidP="004A2521">
      <w:pPr>
        <w:pStyle w:val="SingleTxtGR"/>
      </w:pPr>
      <w:r w:rsidRPr="004A2521">
        <w:tab/>
        <w:t>c)</w:t>
      </w:r>
      <w:r w:rsidRPr="004A2521">
        <w:tab/>
        <w:t>на упаковках должен иметься маркировочный знак "ЛИТИЕВЫЕ БАТАРЕИ ДЛЯ УТИЛИЗАЦИИ" или "ЛИТИЕВЫЕ БАТАРЕИ ДЛЯ ПЕРЕРАБОТКИ", в зависимости от конкретного случая».</w:t>
      </w:r>
    </w:p>
    <w:p w:rsidR="004A2521" w:rsidRPr="004A2521" w:rsidRDefault="004A2521" w:rsidP="004A2521">
      <w:pPr>
        <w:pStyle w:val="SingleTxtGR"/>
        <w:rPr>
          <w:i/>
        </w:rPr>
      </w:pPr>
      <w:proofErr w:type="gramStart"/>
      <w:r w:rsidRPr="004A2521">
        <w:rPr>
          <w:i/>
        </w:rPr>
        <w:t>(Справочный документ:</w:t>
      </w:r>
      <w:proofErr w:type="gramEnd"/>
      <w:r w:rsidRPr="004A2521">
        <w:rPr>
          <w:i/>
        </w:rPr>
        <w:t xml:space="preserve"> </w:t>
      </w:r>
      <w:proofErr w:type="gramStart"/>
      <w:r w:rsidRPr="004A2521">
        <w:rPr>
          <w:i/>
        </w:rPr>
        <w:t>ECE/TRANS/WP.15/AC.1/2016/19 с поправками и н</w:t>
      </w:r>
      <w:r w:rsidRPr="004A2521">
        <w:rPr>
          <w:i/>
        </w:rPr>
        <w:t>е</w:t>
      </w:r>
      <w:r w:rsidRPr="004A2521">
        <w:rPr>
          <w:i/>
        </w:rPr>
        <w:t>официальный документ INF.13)</w:t>
      </w:r>
      <w:proofErr w:type="gramEnd"/>
    </w:p>
    <w:p w:rsidR="004A2521" w:rsidRPr="004A2521" w:rsidRDefault="007B44C8" w:rsidP="004A2521">
      <w:pPr>
        <w:pStyle w:val="SingleTxtGR"/>
      </w:pPr>
      <w:r>
        <w:tab/>
      </w:r>
      <w:r w:rsidR="004A2521" w:rsidRPr="004A2521">
        <w:t>Включить новое специальное положение 670:</w:t>
      </w:r>
    </w:p>
    <w:p w:rsidR="004A2521" w:rsidRPr="004A2521" w:rsidRDefault="004A2521" w:rsidP="004A2521">
      <w:pPr>
        <w:pStyle w:val="SingleTxtGR"/>
      </w:pPr>
      <w:r w:rsidRPr="004A2521">
        <w:t>«670</w:t>
      </w:r>
      <w:r w:rsidRPr="004A2521">
        <w:tab/>
        <w:t>a)</w:t>
      </w:r>
      <w:r w:rsidRPr="004A2521">
        <w:tab/>
        <w:t xml:space="preserve">Литиевые элементы или батареи, установленные в оборудовании домашних хозяйств, собранном и предъявленном для перевозки в целях </w:t>
      </w:r>
      <w:proofErr w:type="spellStart"/>
      <w:r w:rsidRPr="004A2521">
        <w:t>деко</w:t>
      </w:r>
      <w:r w:rsidRPr="004A2521">
        <w:t>н</w:t>
      </w:r>
      <w:r w:rsidRPr="004A2521">
        <w:lastRenderedPageBreak/>
        <w:t>таминации</w:t>
      </w:r>
      <w:proofErr w:type="spellEnd"/>
      <w:r w:rsidRPr="004A2521">
        <w:t>, разборки, утилизации или удаления, не подпадают под действие других положений МПОГ/ДОПОГ/ВОПОГ, включая специальное положение 376 и пункт 2.2.9.1.7, если:</w:t>
      </w:r>
    </w:p>
    <w:p w:rsidR="004A2521" w:rsidRPr="004A2521" w:rsidRDefault="004A2521" w:rsidP="004C60B7">
      <w:pPr>
        <w:pStyle w:val="SingleTxtGR"/>
        <w:ind w:left="1701" w:hanging="567"/>
      </w:pPr>
      <w:r w:rsidRPr="004A2521">
        <w:tab/>
        <w:t>i)</w:t>
      </w:r>
      <w:r w:rsidRPr="004A2521">
        <w:tab/>
        <w:t>они не являются основным источником энергии для функционир</w:t>
      </w:r>
      <w:r w:rsidRPr="004A2521">
        <w:t>о</w:t>
      </w:r>
      <w:r w:rsidRPr="004A2521">
        <w:t>вания оборудования, в котором они содержатся;</w:t>
      </w:r>
    </w:p>
    <w:p w:rsidR="004A2521" w:rsidRPr="004A2521" w:rsidRDefault="004A2521" w:rsidP="004C60B7">
      <w:pPr>
        <w:pStyle w:val="SingleTxtGR"/>
        <w:ind w:left="1701" w:hanging="567"/>
      </w:pPr>
      <w:r w:rsidRPr="004A2521">
        <w:tab/>
      </w:r>
      <w:proofErr w:type="spellStart"/>
      <w:r w:rsidRPr="004A2521">
        <w:t>ii</w:t>
      </w:r>
      <w:proofErr w:type="spellEnd"/>
      <w:r w:rsidRPr="004A2521">
        <w:t>)</w:t>
      </w:r>
      <w:r w:rsidRPr="004A2521">
        <w:tab/>
        <w:t>оборудование, в котором они содержатся, не содержит какого-либо (какой-либо) другог</w:t>
      </w:r>
      <w:proofErr w:type="gramStart"/>
      <w:r w:rsidRPr="004A2521">
        <w:t>о(</w:t>
      </w:r>
      <w:proofErr w:type="gramEnd"/>
      <w:r w:rsidRPr="004A2521">
        <w:t>ой) литиевого элемента или батареи, используем</w:t>
      </w:r>
      <w:r w:rsidRPr="004A2521">
        <w:t>о</w:t>
      </w:r>
      <w:r w:rsidRPr="004A2521">
        <w:t>го(ой) в качестве основного источника энергии; и</w:t>
      </w:r>
    </w:p>
    <w:p w:rsidR="004A2521" w:rsidRPr="004A2521" w:rsidRDefault="004A2521" w:rsidP="004A2521">
      <w:pPr>
        <w:pStyle w:val="SingleTxtGR"/>
      </w:pPr>
      <w:r w:rsidRPr="004A2521">
        <w:tab/>
      </w:r>
      <w:proofErr w:type="spellStart"/>
      <w:proofErr w:type="gramStart"/>
      <w:r w:rsidRPr="004A2521">
        <w:t>iii</w:t>
      </w:r>
      <w:proofErr w:type="spellEnd"/>
      <w:r w:rsidRPr="004A2521">
        <w:t>)</w:t>
      </w:r>
      <w:r w:rsidRPr="004A2521">
        <w:tab/>
        <w:t>оборудование, в котором они содержатся, обеспечивает их защиту.</w:t>
      </w:r>
      <w:proofErr w:type="gramEnd"/>
    </w:p>
    <w:p w:rsidR="004A2521" w:rsidRPr="004A2521" w:rsidRDefault="004A2521" w:rsidP="004A2521">
      <w:pPr>
        <w:pStyle w:val="SingleTxtGR"/>
      </w:pPr>
      <w:r w:rsidRPr="004A2521">
        <w:t>Примерами элементов и батарей, охватываемых этим пунктом, являются эл</w:t>
      </w:r>
      <w:r w:rsidRPr="004A2521">
        <w:t>е</w:t>
      </w:r>
      <w:r w:rsidRPr="004A2521">
        <w:t>менты пуговичного типа, используемые для сохранения данных в бытовых пр</w:t>
      </w:r>
      <w:r w:rsidRPr="004A2521">
        <w:t>и</w:t>
      </w:r>
      <w:r w:rsidRPr="004A2521">
        <w:t>борах (таких, как холодильники, стиральные и посудомоечные машины) или в других видах электрического и электронного оборудования.</w:t>
      </w:r>
    </w:p>
    <w:p w:rsidR="004A2521" w:rsidRPr="004A2521" w:rsidRDefault="004A2521" w:rsidP="00F3130F">
      <w:pPr>
        <w:pStyle w:val="SingleTxtGR"/>
      </w:pPr>
      <w:r w:rsidRPr="004A2521">
        <w:tab/>
      </w:r>
      <w:proofErr w:type="gramStart"/>
      <w:r w:rsidRPr="004A2521">
        <w:t>b)</w:t>
      </w:r>
      <w:r w:rsidRPr="004A2521">
        <w:tab/>
        <w:t>В случае перевозки до места промежуточной переработки лити</w:t>
      </w:r>
      <w:r w:rsidRPr="004A2521">
        <w:t>е</w:t>
      </w:r>
      <w:r w:rsidRPr="004A2521">
        <w:t xml:space="preserve">вые элементы и батареи, содержащиеся в не соответствующем требованиям подпункта </w:t>
      </w:r>
      <w:r w:rsidR="00F3130F">
        <w:t>а)</w:t>
      </w:r>
      <w:r w:rsidRPr="004A2521">
        <w:t xml:space="preserve"> оборудовании домашних хозяйств, собранные и предъявленные для перевозки в целях </w:t>
      </w:r>
      <w:proofErr w:type="spellStart"/>
      <w:r w:rsidRPr="004A2521">
        <w:t>деконтаминации</w:t>
      </w:r>
      <w:proofErr w:type="spellEnd"/>
      <w:r w:rsidRPr="004A2521">
        <w:t>, разборки, утилизации или удаления, не подпадают под действие других положений МПОГ/ДОПОГ/ВОПОГ, включая специальное положение 376 и пункт 2.2.9.1.7, если они отвечают следующим условиям:</w:t>
      </w:r>
      <w:proofErr w:type="gramEnd"/>
    </w:p>
    <w:p w:rsidR="004A2521" w:rsidRPr="004A2521" w:rsidRDefault="004C60B7" w:rsidP="00A36241">
      <w:pPr>
        <w:pStyle w:val="SingleTxtGR"/>
        <w:ind w:left="1701" w:hanging="567"/>
      </w:pPr>
      <w:r>
        <w:tab/>
      </w:r>
      <w:r w:rsidR="004A2521" w:rsidRPr="004A2521">
        <w:t>i)</w:t>
      </w:r>
      <w:r w:rsidR="004A2521" w:rsidRPr="004A2521">
        <w:tab/>
        <w:t>оборудование упаковано в соответствии с инструкцией по упаковке P909, изложенной в подразделе 4.1.4.1, за исключ</w:t>
      </w:r>
      <w:r>
        <w:t>ением дополнительных требований </w:t>
      </w:r>
      <w:r w:rsidR="004A2521" w:rsidRPr="004A2521">
        <w:t xml:space="preserve">1 и 2; или оно упаковано в прочную наружную тару, </w:t>
      </w:r>
      <w:proofErr w:type="gramStart"/>
      <w:r w:rsidR="004A2521" w:rsidRPr="004A2521">
        <w:t>напр</w:t>
      </w:r>
      <w:r w:rsidR="004A2521" w:rsidRPr="004A2521">
        <w:t>и</w:t>
      </w:r>
      <w:r w:rsidR="004A2521" w:rsidRPr="004A2521">
        <w:t>мер</w:t>
      </w:r>
      <w:proofErr w:type="gramEnd"/>
      <w:r w:rsidR="004A2521" w:rsidRPr="004A2521">
        <w:t xml:space="preserve"> специально разработанные емкости для сбора, удовлетворяющую следующим требованиям:</w:t>
      </w:r>
    </w:p>
    <w:p w:rsidR="004A2521" w:rsidRPr="004A2521" w:rsidRDefault="004A2521" w:rsidP="00A36241">
      <w:pPr>
        <w:pStyle w:val="SingleTxtGR"/>
        <w:ind w:left="2268" w:hanging="1134"/>
      </w:pPr>
      <w:r w:rsidRPr="004A2521">
        <w:tab/>
      </w:r>
      <w:r w:rsidR="00A36241">
        <w:tab/>
      </w:r>
      <w:r w:rsidR="0098398B" w:rsidRPr="0098398B">
        <w:t>–</w:t>
      </w:r>
      <w:r w:rsidRPr="004A2521">
        <w:tab/>
        <w:t>тара должна быть изготовлена из подходящего материала и иметь надлежащую прочность и конструкцию в зависимости от вместимости тары и ее предназначения. Тара необязательно должна отвечать требованиям пункта 4.1.1.3;</w:t>
      </w:r>
    </w:p>
    <w:p w:rsidR="004A2521" w:rsidRPr="004A2521" w:rsidRDefault="004A2521" w:rsidP="00A36241">
      <w:pPr>
        <w:pStyle w:val="SingleTxtGR"/>
        <w:ind w:left="2268" w:hanging="1134"/>
      </w:pPr>
      <w:r w:rsidRPr="004A2521">
        <w:tab/>
      </w:r>
      <w:r w:rsidR="00A36241">
        <w:tab/>
      </w:r>
      <w:r w:rsidR="0098398B" w:rsidRPr="0098398B">
        <w:t>–</w:t>
      </w:r>
      <w:r w:rsidRPr="004A2521">
        <w:tab/>
        <w:t>должны быть приняты соответствующие меры для сведения к минимуму ущерба оборудованию при заполнении и обработке т</w:t>
      </w:r>
      <w:r w:rsidRPr="004A2521">
        <w:t>а</w:t>
      </w:r>
      <w:r w:rsidRPr="004A2521">
        <w:t>ры, например путем применения резиновых матов; и</w:t>
      </w:r>
    </w:p>
    <w:p w:rsidR="004A2521" w:rsidRPr="004A2521" w:rsidRDefault="004A2521" w:rsidP="00A36241">
      <w:pPr>
        <w:pStyle w:val="SingleTxtGR"/>
        <w:ind w:left="2268" w:hanging="1134"/>
      </w:pPr>
      <w:r w:rsidRPr="004A2521">
        <w:tab/>
      </w:r>
      <w:r w:rsidR="00A36241">
        <w:tab/>
      </w:r>
      <w:r w:rsidR="0098398B" w:rsidRPr="0098398B">
        <w:t>–</w:t>
      </w:r>
      <w:r w:rsidRPr="004A2521">
        <w:tab/>
        <w:t>тара должна быть сконструирована и должна закрываться т</w:t>
      </w:r>
      <w:r w:rsidRPr="004A2521">
        <w:t>а</w:t>
      </w:r>
      <w:r w:rsidRPr="004A2521">
        <w:t>ким образом, чтобы предотвратить любую потерю содержимого во время перевозки, например путем использования крышек, плотных вкладышей, защитного покрытия для перевозки. Отверстия, пре</w:t>
      </w:r>
      <w:r w:rsidRPr="004A2521">
        <w:t>д</w:t>
      </w:r>
      <w:r w:rsidRPr="004A2521">
        <w:t>назначенные для заполнения, являются приемлемыми в том случае, если они сконструированы таким образом, чтобы исключить пот</w:t>
      </w:r>
      <w:r w:rsidRPr="004A2521">
        <w:t>е</w:t>
      </w:r>
      <w:r w:rsidRPr="004A2521">
        <w:t>рю содержимого;</w:t>
      </w:r>
    </w:p>
    <w:p w:rsidR="004A2521" w:rsidRPr="004A2521" w:rsidRDefault="00A36241" w:rsidP="00A36241">
      <w:pPr>
        <w:pStyle w:val="SingleTxtGR"/>
        <w:ind w:left="1701" w:hanging="567"/>
      </w:pPr>
      <w:r>
        <w:tab/>
      </w:r>
      <w:proofErr w:type="spellStart"/>
      <w:proofErr w:type="gramStart"/>
      <w:r w:rsidR="004A2521" w:rsidRPr="004A2521">
        <w:t>ii</w:t>
      </w:r>
      <w:proofErr w:type="spellEnd"/>
      <w:r w:rsidR="004A2521" w:rsidRPr="004A2521">
        <w:t>)</w:t>
      </w:r>
      <w:r w:rsidR="004A2521" w:rsidRPr="004A2521">
        <w:tab/>
        <w:t>применяется система обеспечения качества для того, чтобы общее количество литиевых элементов или батарей на вагон или большой ко</w:t>
      </w:r>
      <w:r w:rsidR="004A2521" w:rsidRPr="004A2521">
        <w:t>н</w:t>
      </w:r>
      <w:r w:rsidR="004A2521" w:rsidRPr="004A2521">
        <w:t>тейнер/транспортную единицу/транспортную единицу, прицеп, если он отцеплен от буксирующего его транспортного средства, вагон или ко</w:t>
      </w:r>
      <w:r w:rsidR="004A2521" w:rsidRPr="004A2521">
        <w:t>н</w:t>
      </w:r>
      <w:r w:rsidR="007B44C8">
        <w:t>тейнер не превышало</w:t>
      </w:r>
      <w:r w:rsidR="004A2521" w:rsidRPr="004A2521">
        <w:t xml:space="preserve"> 333 кг;</w:t>
      </w:r>
      <w:proofErr w:type="gramEnd"/>
    </w:p>
    <w:p w:rsidR="004A2521" w:rsidRPr="004A2521" w:rsidRDefault="00A36241" w:rsidP="00A36241">
      <w:pPr>
        <w:pStyle w:val="SingleTxtGR"/>
        <w:ind w:left="2268" w:hanging="1134"/>
        <w:rPr>
          <w:i/>
        </w:rPr>
      </w:pPr>
      <w:r>
        <w:rPr>
          <w:b/>
          <w:i/>
          <w:iCs/>
        </w:rPr>
        <w:tab/>
      </w:r>
      <w:r>
        <w:rPr>
          <w:b/>
          <w:i/>
          <w:iCs/>
        </w:rPr>
        <w:tab/>
      </w:r>
      <w:r w:rsidR="004A2521" w:rsidRPr="004A2521">
        <w:rPr>
          <w:b/>
          <w:i/>
          <w:iCs/>
        </w:rPr>
        <w:t>ПРИМЕЧАНИЕ:</w:t>
      </w:r>
      <w:r w:rsidR="004A2521" w:rsidRPr="004A2521">
        <w:rPr>
          <w:i/>
          <w:iCs/>
        </w:rPr>
        <w:t xml:space="preserve"> Общее количество литиевых элементов и бат</w:t>
      </w:r>
      <w:r w:rsidR="004A2521" w:rsidRPr="004A2521">
        <w:rPr>
          <w:i/>
          <w:iCs/>
        </w:rPr>
        <w:t>а</w:t>
      </w:r>
      <w:r w:rsidR="004A2521" w:rsidRPr="004A2521">
        <w:rPr>
          <w:i/>
          <w:iCs/>
        </w:rPr>
        <w:t>рей в смешанном грузе может оцениваться с помощью статист</w:t>
      </w:r>
      <w:r w:rsidR="004A2521" w:rsidRPr="004A2521">
        <w:rPr>
          <w:i/>
          <w:iCs/>
        </w:rPr>
        <w:t>и</w:t>
      </w:r>
      <w:r w:rsidR="004A2521" w:rsidRPr="004A2521">
        <w:rPr>
          <w:i/>
          <w:iCs/>
        </w:rPr>
        <w:t>ческого метода, включенного в систему обеспечения качества. К</w:t>
      </w:r>
      <w:r w:rsidR="004A2521" w:rsidRPr="004A2521">
        <w:rPr>
          <w:i/>
          <w:iCs/>
        </w:rPr>
        <w:t>о</w:t>
      </w:r>
      <w:r w:rsidR="004A2521" w:rsidRPr="004A2521">
        <w:rPr>
          <w:i/>
          <w:iCs/>
        </w:rPr>
        <w:lastRenderedPageBreak/>
        <w:t>пия учетной документации по обеспечению качества должна предоставляться компетентному органу по его запросу.</w:t>
      </w:r>
    </w:p>
    <w:p w:rsidR="004A2521" w:rsidRPr="004A2521" w:rsidRDefault="00A36241" w:rsidP="00A36241">
      <w:pPr>
        <w:pStyle w:val="SingleTxtGR"/>
        <w:ind w:left="1701" w:hanging="567"/>
      </w:pPr>
      <w:r>
        <w:tab/>
      </w:r>
      <w:proofErr w:type="spellStart"/>
      <w:proofErr w:type="gramStart"/>
      <w:r w:rsidR="004A2521" w:rsidRPr="004A2521">
        <w:t>iii</w:t>
      </w:r>
      <w:proofErr w:type="spellEnd"/>
      <w:r w:rsidR="004A2521" w:rsidRPr="004A2521">
        <w:t>)</w:t>
      </w:r>
      <w:r w:rsidR="004A2521" w:rsidRPr="004A2521">
        <w:tab/>
        <w:t>на упаковках должен иметься маркировочный знак "ЛИТИЕВЫЕ БАТАРЕИ ДЛЯ УТИЛИЗАЦИИ" или "ЛИТИЕВЫЕ БАТАРЕИ ДЛЯ ПЕРЕРАБОТКИ", в зависимости от конкретного случая.</w:t>
      </w:r>
      <w:proofErr w:type="gramEnd"/>
      <w:r w:rsidR="004A2521" w:rsidRPr="004A2521">
        <w:t xml:space="preserve"> </w:t>
      </w:r>
      <w:proofErr w:type="gramStart"/>
      <w:r w:rsidR="004A2521" w:rsidRPr="004A2521">
        <w:t>Если оборудов</w:t>
      </w:r>
      <w:r w:rsidR="004A2521" w:rsidRPr="004A2521">
        <w:t>а</w:t>
      </w:r>
      <w:r w:rsidR="004A2521" w:rsidRPr="004A2521">
        <w:t>ние, содержащее литиевые элементы или батареи, перевозится в неупак</w:t>
      </w:r>
      <w:r w:rsidR="004A2521" w:rsidRPr="004A2521">
        <w:t>о</w:t>
      </w:r>
      <w:r w:rsidR="004A2521" w:rsidRPr="004A2521">
        <w:t>ванном виде или на поддонах в соответ</w:t>
      </w:r>
      <w:r>
        <w:t>ствии с инструкцией по упако</w:t>
      </w:r>
      <w:r>
        <w:t>в</w:t>
      </w:r>
      <w:r>
        <w:t>ке </w:t>
      </w:r>
      <w:r w:rsidR="004A2521" w:rsidRPr="004A2521">
        <w:t>P909 (3), изложенной в подразделе 4.1.4.1, то в качестве альтернативы этот маркировочный знак может быть размещен на внешней поверхности вагонов или больших контейнеров/транспортных средств или контейн</w:t>
      </w:r>
      <w:r w:rsidR="004A2521" w:rsidRPr="004A2521">
        <w:t>е</w:t>
      </w:r>
      <w:r w:rsidR="004A2521" w:rsidRPr="004A2521">
        <w:t>ров/транспортного средства, вагона или контейнера.</w:t>
      </w:r>
      <w:proofErr w:type="gramEnd"/>
    </w:p>
    <w:p w:rsidR="004A2521" w:rsidRPr="004A2521" w:rsidRDefault="00A36241" w:rsidP="00A36241">
      <w:pPr>
        <w:pStyle w:val="SingleTxtGR"/>
        <w:ind w:left="2268" w:hanging="1134"/>
        <w:rPr>
          <w:i/>
          <w:iCs/>
        </w:rPr>
      </w:pPr>
      <w:r>
        <w:rPr>
          <w:b/>
          <w:i/>
        </w:rPr>
        <w:tab/>
      </w:r>
      <w:r>
        <w:rPr>
          <w:b/>
          <w:i/>
        </w:rPr>
        <w:tab/>
      </w:r>
      <w:r w:rsidR="004A2521" w:rsidRPr="004A2521">
        <w:rPr>
          <w:b/>
          <w:i/>
        </w:rPr>
        <w:t>ПРИМЕЧАНИЕ:</w:t>
      </w:r>
      <w:r w:rsidR="004A2521" w:rsidRPr="004A2521">
        <w:rPr>
          <w:i/>
        </w:rPr>
        <w:t xml:space="preserve"> </w:t>
      </w:r>
      <w:r w:rsidR="008D64E2" w:rsidRPr="00A36241">
        <w:rPr>
          <w:iCs/>
        </w:rPr>
        <w:t>"</w:t>
      </w:r>
      <w:r w:rsidR="008D64E2" w:rsidRPr="008D64E2">
        <w:rPr>
          <w:i/>
        </w:rPr>
        <w:t>О</w:t>
      </w:r>
      <w:r w:rsidR="004A2521" w:rsidRPr="008D64E2">
        <w:rPr>
          <w:i/>
        </w:rPr>
        <w:t>борудование домашних хозяйств</w:t>
      </w:r>
      <w:r w:rsidR="004A2521" w:rsidRPr="00A36241">
        <w:rPr>
          <w:iCs/>
        </w:rPr>
        <w:t xml:space="preserve">" </w:t>
      </w:r>
      <w:r w:rsidR="004A2521" w:rsidRPr="004A2521">
        <w:rPr>
          <w:i/>
        </w:rPr>
        <w:t>означает оборудование, поступающее из домашних хозяйств, и оборудование коммерческого, промышленного, институционального и иного пр</w:t>
      </w:r>
      <w:r w:rsidR="004A2521" w:rsidRPr="004A2521">
        <w:rPr>
          <w:i/>
        </w:rPr>
        <w:t>о</w:t>
      </w:r>
      <w:r w:rsidR="004A2521" w:rsidRPr="004A2521">
        <w:rPr>
          <w:i/>
        </w:rPr>
        <w:t>исхождения, которое в силу своего характера и количества анал</w:t>
      </w:r>
      <w:r w:rsidR="004A2521" w:rsidRPr="004A2521">
        <w:rPr>
          <w:i/>
        </w:rPr>
        <w:t>о</w:t>
      </w:r>
      <w:r w:rsidR="004A2521" w:rsidRPr="004A2521">
        <w:rPr>
          <w:i/>
        </w:rPr>
        <w:t>гично оборудованию домашних хозяйств. Оборудование, которое может использоваться как домашними хозяйствами, так и друг</w:t>
      </w:r>
      <w:r w:rsidR="004A2521" w:rsidRPr="004A2521">
        <w:rPr>
          <w:i/>
        </w:rPr>
        <w:t>и</w:t>
      </w:r>
      <w:r w:rsidR="004A2521" w:rsidRPr="004A2521">
        <w:rPr>
          <w:i/>
        </w:rPr>
        <w:t>ми пользователями помимо домашних хозяйств, рассматривается в любом случае как оборудование домашних хозяйств</w:t>
      </w:r>
      <w:r w:rsidR="004A2521" w:rsidRPr="00F3130F">
        <w:rPr>
          <w:iCs/>
        </w:rPr>
        <w:t>»</w:t>
      </w:r>
      <w:r w:rsidR="004A2521" w:rsidRPr="004A2521">
        <w:rPr>
          <w:i/>
        </w:rPr>
        <w:t>.</w:t>
      </w:r>
    </w:p>
    <w:p w:rsidR="004A2521" w:rsidRPr="004A2521" w:rsidRDefault="004A2521" w:rsidP="004A2521">
      <w:pPr>
        <w:pStyle w:val="SingleTxtGR"/>
        <w:rPr>
          <w:b/>
          <w:i/>
        </w:rPr>
      </w:pPr>
      <w:proofErr w:type="gramStart"/>
      <w:r w:rsidRPr="004A2521">
        <w:rPr>
          <w:i/>
        </w:rPr>
        <w:t>(Справочный документ:</w:t>
      </w:r>
      <w:proofErr w:type="gramEnd"/>
      <w:r w:rsidRPr="004A2521">
        <w:rPr>
          <w:i/>
        </w:rPr>
        <w:t xml:space="preserve"> </w:t>
      </w:r>
      <w:proofErr w:type="gramStart"/>
      <w:r w:rsidRPr="004A2521">
        <w:rPr>
          <w:i/>
        </w:rPr>
        <w:t>ECE/TRANS/WP.15/AC.1/2016/19 с поправками)</w:t>
      </w:r>
      <w:proofErr w:type="gramEnd"/>
    </w:p>
    <w:p w:rsidR="004A2521" w:rsidRPr="004A2521" w:rsidRDefault="004A2521" w:rsidP="008D64E2">
      <w:pPr>
        <w:pStyle w:val="H1GR"/>
      </w:pPr>
      <w:r w:rsidRPr="004A2521">
        <w:tab/>
      </w:r>
      <w:r w:rsidRPr="004A2521">
        <w:tab/>
        <w:t>Глава 4.1</w:t>
      </w:r>
    </w:p>
    <w:p w:rsidR="00A658DB" w:rsidRDefault="004A2521" w:rsidP="004A2521">
      <w:pPr>
        <w:pStyle w:val="SingleTxtGR"/>
        <w:rPr>
          <w:bCs/>
        </w:rPr>
      </w:pPr>
      <w:r w:rsidRPr="004A2521">
        <w:rPr>
          <w:bCs/>
        </w:rPr>
        <w:t>4.1.4.1, инструкция по упаковке P200 (11):</w:t>
      </w:r>
      <w:r w:rsidRPr="004A2521">
        <w:rPr>
          <w:bCs/>
        </w:rPr>
        <w:tab/>
      </w:r>
      <w:r w:rsidR="008D64E2">
        <w:rPr>
          <w:bCs/>
        </w:rPr>
        <w:t xml:space="preserve">  </w:t>
      </w:r>
      <w:r w:rsidRPr="004A2521">
        <w:rPr>
          <w:bCs/>
        </w:rPr>
        <w:t>В таблице удалить первые две строки (EN 1919:2000 и EN 1920:2000) и добавить следующую новую строку:</w:t>
      </w:r>
    </w:p>
    <w:tbl>
      <w:tblPr>
        <w:tblStyle w:val="TabTxt"/>
        <w:tblW w:w="9637"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044"/>
        <w:gridCol w:w="2102"/>
        <w:gridCol w:w="5491"/>
      </w:tblGrid>
      <w:tr w:rsidR="0061413B" w:rsidRPr="0061413B" w:rsidTr="0042212F">
        <w:tc>
          <w:tcPr>
            <w:tcW w:w="2044" w:type="dxa"/>
            <w:vAlign w:val="bottom"/>
          </w:tcPr>
          <w:p w:rsidR="0061413B" w:rsidRPr="0061413B" w:rsidRDefault="0061413B" w:rsidP="0061413B">
            <w:pPr>
              <w:jc w:val="center"/>
              <w:rPr>
                <w:b/>
                <w:bCs/>
              </w:rPr>
            </w:pPr>
            <w:r w:rsidRPr="0061413B">
              <w:rPr>
                <w:b/>
                <w:bCs/>
              </w:rPr>
              <w:t>Соответствующие требования</w:t>
            </w:r>
          </w:p>
        </w:tc>
        <w:tc>
          <w:tcPr>
            <w:tcW w:w="2102" w:type="dxa"/>
            <w:vAlign w:val="bottom"/>
          </w:tcPr>
          <w:p w:rsidR="0061413B" w:rsidRPr="0061413B" w:rsidRDefault="0061413B" w:rsidP="0061413B">
            <w:pPr>
              <w:jc w:val="center"/>
              <w:rPr>
                <w:b/>
                <w:bCs/>
              </w:rPr>
            </w:pPr>
            <w:r w:rsidRPr="0061413B">
              <w:rPr>
                <w:b/>
                <w:bCs/>
              </w:rPr>
              <w:t xml:space="preserve">Обозначение </w:t>
            </w:r>
            <w:r>
              <w:rPr>
                <w:b/>
                <w:bCs/>
              </w:rPr>
              <w:br/>
            </w:r>
            <w:r w:rsidRPr="0061413B">
              <w:rPr>
                <w:b/>
                <w:bCs/>
              </w:rPr>
              <w:t>стандарта</w:t>
            </w:r>
          </w:p>
        </w:tc>
        <w:tc>
          <w:tcPr>
            <w:cnfStyle w:val="000100000000" w:firstRow="0" w:lastRow="0" w:firstColumn="0" w:lastColumn="1" w:oddVBand="0" w:evenVBand="0" w:oddHBand="0" w:evenHBand="0" w:firstRowFirstColumn="0" w:firstRowLastColumn="0" w:lastRowFirstColumn="0" w:lastRowLastColumn="0"/>
            <w:tcW w:w="549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rsidR="0061413B" w:rsidRPr="0061413B" w:rsidRDefault="0061413B" w:rsidP="0061413B">
            <w:pPr>
              <w:jc w:val="center"/>
              <w:rPr>
                <w:b/>
                <w:bCs/>
              </w:rPr>
            </w:pPr>
            <w:r w:rsidRPr="0061413B">
              <w:rPr>
                <w:b/>
                <w:bCs/>
              </w:rPr>
              <w:t>Название документа</w:t>
            </w:r>
          </w:p>
        </w:tc>
      </w:tr>
      <w:tr w:rsidR="0061413B" w:rsidRPr="0061413B" w:rsidTr="0042212F">
        <w:tc>
          <w:tcPr>
            <w:tcW w:w="2044" w:type="dxa"/>
          </w:tcPr>
          <w:p w:rsidR="0061413B" w:rsidRPr="0061413B" w:rsidRDefault="0061413B" w:rsidP="0042212F">
            <w:pPr>
              <w:jc w:val="center"/>
            </w:pPr>
            <w:r w:rsidRPr="0061413B">
              <w:t>(7)</w:t>
            </w:r>
          </w:p>
        </w:tc>
        <w:tc>
          <w:tcPr>
            <w:tcW w:w="2102" w:type="dxa"/>
          </w:tcPr>
          <w:p w:rsidR="0061413B" w:rsidRPr="0061413B" w:rsidDel="0040314D" w:rsidRDefault="0061413B" w:rsidP="0061413B">
            <w:r w:rsidRPr="0061413B">
              <w:t>EN ISO 24431:[2016]</w:t>
            </w:r>
          </w:p>
        </w:tc>
        <w:tc>
          <w:tcPr>
            <w:cnfStyle w:val="000100000000" w:firstRow="0" w:lastRow="0" w:firstColumn="0" w:lastColumn="1" w:oddVBand="0" w:evenVBand="0" w:oddHBand="0" w:evenHBand="0" w:firstRowFirstColumn="0" w:firstRowLastColumn="0" w:lastRowFirstColumn="0" w:lastRowLastColumn="0"/>
            <w:tcW w:w="5491" w:type="dxa"/>
            <w:tcBorders>
              <w:left w:val="none" w:sz="0" w:space="0" w:color="auto"/>
              <w:bottom w:val="none" w:sz="0" w:space="0" w:color="auto"/>
              <w:right w:val="none" w:sz="0" w:space="0" w:color="auto"/>
              <w:tl2br w:val="none" w:sz="0" w:space="0" w:color="auto"/>
              <w:tr2bl w:val="none" w:sz="0" w:space="0" w:color="auto"/>
            </w:tcBorders>
          </w:tcPr>
          <w:p w:rsidR="0061413B" w:rsidRPr="0061413B" w:rsidRDefault="0042212F" w:rsidP="0061413B">
            <w:r>
              <w:t>Газовые баллоны –</w:t>
            </w:r>
            <w:r w:rsidR="0061413B" w:rsidRPr="0061413B">
              <w:t xml:space="preserve"> Бесшовные, сварные и композитные баллоны для сжатых и сжиженных газов (за ис</w:t>
            </w:r>
            <w:r>
              <w:t>ключением ацетилена) –</w:t>
            </w:r>
            <w:r w:rsidR="0061413B" w:rsidRPr="0061413B">
              <w:t xml:space="preserve"> Проверка при наполнении</w:t>
            </w:r>
          </w:p>
        </w:tc>
      </w:tr>
    </w:tbl>
    <w:p w:rsidR="00B61C46" w:rsidRPr="00B61C46" w:rsidRDefault="00B61C46" w:rsidP="00B61C46">
      <w:pPr>
        <w:pStyle w:val="SingleTxtGR"/>
        <w:spacing w:before="120"/>
        <w:rPr>
          <w:i/>
          <w:iCs/>
        </w:rPr>
      </w:pPr>
      <w:r w:rsidRPr="00B61C46">
        <w:rPr>
          <w:i/>
          <w:iCs/>
        </w:rPr>
        <w:t>(Справочный документ: неофициальный документ INF.34, предложение 1)</w:t>
      </w:r>
    </w:p>
    <w:p w:rsidR="00B61C46" w:rsidRPr="00B61C46" w:rsidRDefault="00B61C46" w:rsidP="001D63D9">
      <w:pPr>
        <w:pStyle w:val="SingleTxtGR"/>
        <w:tabs>
          <w:tab w:val="left" w:pos="5103"/>
          <w:tab w:val="left" w:pos="5245"/>
        </w:tabs>
      </w:pPr>
      <w:r w:rsidRPr="00B61C46">
        <w:t xml:space="preserve">4.1.4.1, </w:t>
      </w:r>
      <w:r w:rsidRPr="00B61C46">
        <w:rPr>
          <w:bCs/>
        </w:rPr>
        <w:t xml:space="preserve">инструкция по упаковке </w:t>
      </w:r>
      <w:r w:rsidRPr="00B61C46">
        <w:t>P200 (13):</w:t>
      </w:r>
      <w:r w:rsidRPr="00B61C46">
        <w:tab/>
      </w:r>
      <w:r w:rsidR="001D63D9">
        <w:tab/>
      </w:r>
      <w:r w:rsidRPr="00B61C46">
        <w:t>В пункте 2.1</w:t>
      </w:r>
      <w:r w:rsidR="001D63D9">
        <w:t xml:space="preserve"> </w:t>
      </w:r>
      <w:r w:rsidRPr="00B61C46">
        <w:t>заменить «EN 1919:2000 и EN 1920:2000»</w:t>
      </w:r>
      <w:r w:rsidRPr="001D63D9">
        <w:rPr>
          <w:bCs/>
        </w:rPr>
        <w:t xml:space="preserve"> на «E</w:t>
      </w:r>
      <w:r w:rsidRPr="00B61C46">
        <w:rPr>
          <w:bCs/>
        </w:rPr>
        <w:t>N ISO 24431 [2016]».</w:t>
      </w:r>
    </w:p>
    <w:p w:rsidR="00B61C46" w:rsidRPr="00B61C46" w:rsidRDefault="00B61C46" w:rsidP="00B61C46">
      <w:pPr>
        <w:pStyle w:val="SingleTxtGR"/>
        <w:rPr>
          <w:i/>
          <w:iCs/>
        </w:rPr>
      </w:pPr>
      <w:r w:rsidRPr="00B61C46">
        <w:rPr>
          <w:i/>
          <w:iCs/>
        </w:rPr>
        <w:t>(Справочный документ: неофициальный документ INF.34, предложение 1)</w:t>
      </w:r>
    </w:p>
    <w:p w:rsidR="00B61C46" w:rsidRPr="00B61C46" w:rsidRDefault="00B61C46" w:rsidP="00B61C46">
      <w:pPr>
        <w:pStyle w:val="H1GR"/>
      </w:pPr>
      <w:r w:rsidRPr="00B61C46">
        <w:tab/>
      </w:r>
      <w:r w:rsidRPr="00B61C46">
        <w:tab/>
        <w:t>Глава 4.3</w:t>
      </w:r>
    </w:p>
    <w:p w:rsidR="00B61C46" w:rsidRPr="00B61C46" w:rsidRDefault="00B61C46" w:rsidP="00B61C46">
      <w:pPr>
        <w:pStyle w:val="SingleTxtGR"/>
      </w:pPr>
      <w:r w:rsidRPr="00B61C46">
        <w:t>4.3.4.1.3</w:t>
      </w:r>
      <w:proofErr w:type="gramStart"/>
      <w:r w:rsidRPr="00B61C46">
        <w:tab/>
        <w:t>В</w:t>
      </w:r>
      <w:proofErr w:type="gramEnd"/>
      <w:r w:rsidRPr="00B61C46">
        <w:t xml:space="preserve"> конце первого пункта добавить следующее новое предложение: «Требования в отношении этих цистерн приведены в специальных положениях, указанных в колонке 13 таблицы</w:t>
      </w:r>
      <w:proofErr w:type="gramStart"/>
      <w:r w:rsidRPr="00B61C46">
        <w:t xml:space="preserve"> А</w:t>
      </w:r>
      <w:proofErr w:type="gramEnd"/>
      <w:r w:rsidRPr="00B61C46">
        <w:t xml:space="preserve"> главы 3.2, на основе кода цистерны».</w:t>
      </w:r>
    </w:p>
    <w:p w:rsidR="008D64E2" w:rsidRDefault="00B61C46" w:rsidP="00B61C46">
      <w:pPr>
        <w:pStyle w:val="SingleTxtGR"/>
      </w:pPr>
      <w:r w:rsidRPr="00B61C46">
        <w:t>Заменить подпункты a</w:t>
      </w:r>
      <w:r>
        <w:t>)</w:t>
      </w:r>
      <w:r w:rsidRPr="00B61C46">
        <w:t>–i</w:t>
      </w:r>
      <w:r>
        <w:t>)</w:t>
      </w:r>
      <w:r w:rsidRPr="00B61C46">
        <w:t xml:space="preserve"> следующей таблицей: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861"/>
        <w:gridCol w:w="5671"/>
        <w:gridCol w:w="1691"/>
      </w:tblGrid>
      <w:tr w:rsidR="00440714" w:rsidRPr="00133F50" w:rsidTr="00164E11">
        <w:trPr>
          <w:cantSplit/>
          <w:trHeight w:val="20"/>
          <w:tblHeader/>
          <w:jc w:val="center"/>
        </w:trPr>
        <w:tc>
          <w:tcPr>
            <w:tcW w:w="0" w:type="auto"/>
            <w:tcBorders>
              <w:bottom w:val="single" w:sz="4" w:space="0" w:color="auto"/>
            </w:tcBorders>
          </w:tcPr>
          <w:p w:rsidR="00440714" w:rsidRPr="00133F50" w:rsidRDefault="00440714" w:rsidP="00853877">
            <w:pPr>
              <w:pageBreakBefore/>
              <w:spacing w:line="240" w:lineRule="auto"/>
              <w:jc w:val="center"/>
              <w:rPr>
                <w:sz w:val="18"/>
                <w:szCs w:val="18"/>
              </w:rPr>
            </w:pPr>
            <w:r w:rsidRPr="00133F50">
              <w:rPr>
                <w:sz w:val="18"/>
                <w:szCs w:val="18"/>
              </w:rPr>
              <w:lastRenderedPageBreak/>
              <w:t>Класс</w:t>
            </w:r>
          </w:p>
        </w:tc>
        <w:tc>
          <w:tcPr>
            <w:tcW w:w="0" w:type="auto"/>
            <w:tcBorders>
              <w:bottom w:val="single" w:sz="4" w:space="0" w:color="auto"/>
            </w:tcBorders>
          </w:tcPr>
          <w:p w:rsidR="00440714" w:rsidRPr="00133F50" w:rsidRDefault="00440714" w:rsidP="00164E11">
            <w:pPr>
              <w:spacing w:line="240" w:lineRule="auto"/>
              <w:jc w:val="center"/>
              <w:rPr>
                <w:sz w:val="18"/>
                <w:szCs w:val="18"/>
              </w:rPr>
            </w:pPr>
            <w:r w:rsidRPr="00133F50">
              <w:rPr>
                <w:sz w:val="18"/>
                <w:szCs w:val="18"/>
              </w:rPr>
              <w:t>№ ООН</w:t>
            </w:r>
          </w:p>
        </w:tc>
        <w:tc>
          <w:tcPr>
            <w:tcW w:w="5671" w:type="dxa"/>
            <w:tcBorders>
              <w:bottom w:val="single" w:sz="4" w:space="0" w:color="auto"/>
            </w:tcBorders>
          </w:tcPr>
          <w:p w:rsidR="00440714" w:rsidRPr="00133F50" w:rsidRDefault="00440714" w:rsidP="00164E11">
            <w:pPr>
              <w:spacing w:line="240" w:lineRule="auto"/>
              <w:jc w:val="center"/>
              <w:rPr>
                <w:sz w:val="18"/>
                <w:szCs w:val="18"/>
              </w:rPr>
            </w:pPr>
            <w:r w:rsidRPr="00133F50">
              <w:rPr>
                <w:sz w:val="18"/>
                <w:szCs w:val="18"/>
              </w:rPr>
              <w:t>Наименование и описание</w:t>
            </w:r>
          </w:p>
        </w:tc>
        <w:tc>
          <w:tcPr>
            <w:tcW w:w="1691" w:type="dxa"/>
            <w:tcBorders>
              <w:bottom w:val="single" w:sz="4" w:space="0" w:color="auto"/>
            </w:tcBorders>
          </w:tcPr>
          <w:p w:rsidR="00440714" w:rsidRPr="00133F50" w:rsidRDefault="00440714" w:rsidP="00164E11">
            <w:pPr>
              <w:spacing w:line="240" w:lineRule="auto"/>
              <w:jc w:val="center"/>
              <w:rPr>
                <w:sz w:val="18"/>
                <w:szCs w:val="18"/>
              </w:rPr>
            </w:pPr>
            <w:r w:rsidRPr="00133F50">
              <w:rPr>
                <w:sz w:val="18"/>
                <w:szCs w:val="18"/>
              </w:rPr>
              <w:t>Код цистерны</w:t>
            </w:r>
          </w:p>
        </w:tc>
      </w:tr>
      <w:tr w:rsidR="00440714" w:rsidRPr="00133F50" w:rsidTr="00692125">
        <w:trPr>
          <w:cantSplit/>
          <w:trHeight w:val="20"/>
          <w:jc w:val="center"/>
        </w:trPr>
        <w:tc>
          <w:tcPr>
            <w:tcW w:w="8922" w:type="dxa"/>
            <w:gridSpan w:val="4"/>
            <w:tcBorders>
              <w:bottom w:val="nil"/>
            </w:tcBorders>
            <w:vAlign w:val="center"/>
          </w:tcPr>
          <w:p w:rsidR="00440714" w:rsidRPr="00133F50" w:rsidRDefault="00440714" w:rsidP="00164E11">
            <w:pPr>
              <w:spacing w:line="240" w:lineRule="auto"/>
              <w:rPr>
                <w:sz w:val="18"/>
                <w:szCs w:val="18"/>
              </w:rPr>
            </w:pPr>
            <w:r w:rsidRPr="00133F50">
              <w:rPr>
                <w:sz w:val="18"/>
                <w:szCs w:val="18"/>
              </w:rPr>
              <w:t>[только ДОПОГ</w:t>
            </w:r>
            <w:proofErr w:type="gramStart"/>
            <w:r w:rsidRPr="00133F50">
              <w:rPr>
                <w:sz w:val="18"/>
                <w:szCs w:val="18"/>
              </w:rPr>
              <w:t>:]</w:t>
            </w:r>
            <w:proofErr w:type="gramEnd"/>
          </w:p>
        </w:tc>
      </w:tr>
      <w:tr w:rsidR="00440714" w:rsidRPr="00133F50" w:rsidTr="00164E11">
        <w:trPr>
          <w:cantSplit/>
          <w:trHeight w:val="20"/>
          <w:jc w:val="center"/>
        </w:trPr>
        <w:tc>
          <w:tcPr>
            <w:tcW w:w="0" w:type="auto"/>
            <w:tcBorders>
              <w:top w:val="nil"/>
            </w:tcBorders>
          </w:tcPr>
          <w:p w:rsidR="00440714" w:rsidRPr="00133F50" w:rsidRDefault="00440714" w:rsidP="00164E11">
            <w:pPr>
              <w:spacing w:line="240" w:lineRule="auto"/>
              <w:rPr>
                <w:sz w:val="18"/>
                <w:szCs w:val="18"/>
              </w:rPr>
            </w:pPr>
            <w:r w:rsidRPr="00133F50">
              <w:rPr>
                <w:sz w:val="18"/>
                <w:szCs w:val="18"/>
              </w:rPr>
              <w:t>1</w:t>
            </w:r>
          </w:p>
        </w:tc>
        <w:tc>
          <w:tcPr>
            <w:tcW w:w="0" w:type="auto"/>
            <w:tcBorders>
              <w:top w:val="nil"/>
            </w:tcBorders>
          </w:tcPr>
          <w:p w:rsidR="00440714" w:rsidRPr="00133F50" w:rsidRDefault="00440714" w:rsidP="00164E11">
            <w:pPr>
              <w:spacing w:line="240" w:lineRule="auto"/>
              <w:jc w:val="center"/>
              <w:rPr>
                <w:sz w:val="18"/>
                <w:szCs w:val="18"/>
              </w:rPr>
            </w:pPr>
            <w:r w:rsidRPr="00133F50">
              <w:rPr>
                <w:sz w:val="18"/>
                <w:szCs w:val="18"/>
              </w:rPr>
              <w:t>0331</w:t>
            </w:r>
          </w:p>
        </w:tc>
        <w:tc>
          <w:tcPr>
            <w:tcW w:w="5671" w:type="dxa"/>
            <w:tcBorders>
              <w:top w:val="nil"/>
            </w:tcBorders>
          </w:tcPr>
          <w:p w:rsidR="00440714" w:rsidRPr="00133F50" w:rsidRDefault="00440714" w:rsidP="00164E11">
            <w:pPr>
              <w:spacing w:line="240" w:lineRule="auto"/>
              <w:rPr>
                <w:sz w:val="18"/>
                <w:szCs w:val="18"/>
              </w:rPr>
            </w:pPr>
            <w:r w:rsidRPr="00133F50">
              <w:rPr>
                <w:sz w:val="18"/>
                <w:szCs w:val="18"/>
              </w:rPr>
              <w:t>Взрывчатое вещество бризантное, тип</w:t>
            </w:r>
            <w:proofErr w:type="gramStart"/>
            <w:r w:rsidRPr="00133F50">
              <w:rPr>
                <w:sz w:val="18"/>
                <w:szCs w:val="18"/>
              </w:rPr>
              <w:t xml:space="preserve"> В</w:t>
            </w:r>
            <w:proofErr w:type="gramEnd"/>
          </w:p>
        </w:tc>
        <w:tc>
          <w:tcPr>
            <w:tcW w:w="1691" w:type="dxa"/>
            <w:tcBorders>
              <w:top w:val="nil"/>
            </w:tcBorders>
            <w:vAlign w:val="center"/>
          </w:tcPr>
          <w:p w:rsidR="00440714" w:rsidRPr="00133F50" w:rsidRDefault="00440714" w:rsidP="00164E11">
            <w:pPr>
              <w:spacing w:line="240" w:lineRule="auto"/>
              <w:jc w:val="center"/>
              <w:rPr>
                <w:sz w:val="18"/>
                <w:szCs w:val="18"/>
              </w:rPr>
            </w:pPr>
            <w:r w:rsidRPr="00133F50">
              <w:rPr>
                <w:sz w:val="18"/>
                <w:szCs w:val="18"/>
              </w:rPr>
              <w:t>S2.65AN</w:t>
            </w:r>
          </w:p>
        </w:tc>
      </w:tr>
      <w:tr w:rsidR="00440714" w:rsidRPr="00133F50" w:rsidTr="00164E11">
        <w:trPr>
          <w:cantSplit/>
          <w:trHeight w:val="20"/>
          <w:jc w:val="center"/>
        </w:trPr>
        <w:tc>
          <w:tcPr>
            <w:tcW w:w="0" w:type="auto"/>
            <w:vMerge w:val="restart"/>
          </w:tcPr>
          <w:p w:rsidR="00440714" w:rsidRPr="00133F50" w:rsidRDefault="00440714" w:rsidP="00164E11">
            <w:pPr>
              <w:spacing w:line="240" w:lineRule="auto"/>
              <w:rPr>
                <w:sz w:val="18"/>
                <w:szCs w:val="18"/>
              </w:rPr>
            </w:pPr>
            <w:r w:rsidRPr="00133F50">
              <w:rPr>
                <w:sz w:val="18"/>
                <w:szCs w:val="18"/>
              </w:rPr>
              <w:t>4.1</w:t>
            </w:r>
          </w:p>
        </w:tc>
        <w:tc>
          <w:tcPr>
            <w:tcW w:w="0" w:type="auto"/>
            <w:tcBorders>
              <w:bottom w:val="single" w:sz="4" w:space="0" w:color="auto"/>
            </w:tcBorders>
          </w:tcPr>
          <w:p w:rsidR="00440714" w:rsidRPr="00133F50" w:rsidRDefault="00440714" w:rsidP="00164E11">
            <w:pPr>
              <w:spacing w:line="240" w:lineRule="auto"/>
              <w:jc w:val="center"/>
              <w:rPr>
                <w:sz w:val="18"/>
                <w:szCs w:val="18"/>
              </w:rPr>
            </w:pPr>
            <w:r w:rsidRPr="00133F50">
              <w:rPr>
                <w:sz w:val="18"/>
                <w:szCs w:val="18"/>
              </w:rPr>
              <w:t>3531</w:t>
            </w:r>
          </w:p>
        </w:tc>
        <w:tc>
          <w:tcPr>
            <w:tcW w:w="5671" w:type="dxa"/>
            <w:tcBorders>
              <w:bottom w:val="single" w:sz="4" w:space="0" w:color="auto"/>
            </w:tcBorders>
          </w:tcPr>
          <w:p w:rsidR="00440714" w:rsidRPr="00133F50" w:rsidRDefault="00440714" w:rsidP="00164E11">
            <w:pPr>
              <w:spacing w:line="240" w:lineRule="auto"/>
              <w:rPr>
                <w:sz w:val="18"/>
                <w:szCs w:val="18"/>
              </w:rPr>
            </w:pPr>
            <w:proofErr w:type="spellStart"/>
            <w:r w:rsidRPr="00133F50">
              <w:rPr>
                <w:sz w:val="18"/>
                <w:szCs w:val="18"/>
              </w:rPr>
              <w:t>Полимеризующееся</w:t>
            </w:r>
            <w:proofErr w:type="spellEnd"/>
            <w:r w:rsidRPr="00133F50">
              <w:rPr>
                <w:sz w:val="18"/>
                <w:szCs w:val="18"/>
              </w:rPr>
              <w:t xml:space="preserve"> вещество твердое стабилизированное, </w:t>
            </w:r>
            <w:proofErr w:type="spellStart"/>
            <w:r w:rsidRPr="00133F50">
              <w:rPr>
                <w:sz w:val="18"/>
                <w:szCs w:val="18"/>
              </w:rPr>
              <w:t>н.у.к</w:t>
            </w:r>
            <w:proofErr w:type="spellEnd"/>
            <w:r w:rsidRPr="00133F50">
              <w:rPr>
                <w:sz w:val="18"/>
                <w:szCs w:val="18"/>
              </w:rPr>
              <w:t>.</w:t>
            </w:r>
          </w:p>
        </w:tc>
        <w:tc>
          <w:tcPr>
            <w:tcW w:w="1691" w:type="dxa"/>
            <w:vMerge w:val="restart"/>
            <w:vAlign w:val="center"/>
          </w:tcPr>
          <w:p w:rsidR="00440714" w:rsidRPr="00133F50" w:rsidRDefault="00440714" w:rsidP="00164E11">
            <w:pPr>
              <w:spacing w:line="240" w:lineRule="auto"/>
              <w:jc w:val="center"/>
              <w:rPr>
                <w:sz w:val="18"/>
                <w:szCs w:val="18"/>
              </w:rPr>
            </w:pPr>
            <w:r w:rsidRPr="00133F50">
              <w:rPr>
                <w:sz w:val="18"/>
                <w:szCs w:val="18"/>
              </w:rPr>
              <w:t>SGAN</w:t>
            </w:r>
          </w:p>
        </w:tc>
      </w:tr>
      <w:tr w:rsidR="00440714" w:rsidRPr="00133F50" w:rsidTr="00692125">
        <w:trPr>
          <w:cantSplit/>
          <w:trHeight w:val="20"/>
          <w:jc w:val="center"/>
        </w:trPr>
        <w:tc>
          <w:tcPr>
            <w:tcW w:w="0" w:type="auto"/>
            <w:vMerge/>
          </w:tcPr>
          <w:p w:rsidR="00440714" w:rsidRPr="00133F50" w:rsidRDefault="00440714" w:rsidP="00164E11">
            <w:pPr>
              <w:spacing w:line="240" w:lineRule="auto"/>
              <w:rPr>
                <w:sz w:val="18"/>
                <w:szCs w:val="18"/>
              </w:rPr>
            </w:pPr>
          </w:p>
        </w:tc>
        <w:tc>
          <w:tcPr>
            <w:tcW w:w="6532" w:type="dxa"/>
            <w:gridSpan w:val="2"/>
            <w:tcBorders>
              <w:bottom w:val="nil"/>
            </w:tcBorders>
          </w:tcPr>
          <w:p w:rsidR="00440714" w:rsidRPr="00133F50" w:rsidRDefault="00440714" w:rsidP="00853877">
            <w:pPr>
              <w:pageBreakBefore/>
              <w:spacing w:line="240" w:lineRule="auto"/>
              <w:rPr>
                <w:sz w:val="18"/>
                <w:szCs w:val="18"/>
              </w:rPr>
            </w:pPr>
            <w:r w:rsidRPr="00133F50">
              <w:rPr>
                <w:sz w:val="18"/>
                <w:szCs w:val="18"/>
              </w:rPr>
              <w:t>[только ДОПОГ</w:t>
            </w:r>
            <w:proofErr w:type="gramStart"/>
            <w:r w:rsidRPr="00133F50">
              <w:rPr>
                <w:sz w:val="18"/>
                <w:szCs w:val="18"/>
              </w:rPr>
              <w:t>:]</w:t>
            </w:r>
            <w:proofErr w:type="gramEnd"/>
          </w:p>
        </w:tc>
        <w:tc>
          <w:tcPr>
            <w:tcW w:w="1691" w:type="dxa"/>
            <w:vMerge/>
            <w:vAlign w:val="center"/>
          </w:tcPr>
          <w:p w:rsidR="00440714" w:rsidRPr="00133F50" w:rsidRDefault="00440714" w:rsidP="00164E11">
            <w:pPr>
              <w:spacing w:line="240" w:lineRule="auto"/>
              <w:jc w:val="center"/>
              <w:rPr>
                <w:sz w:val="18"/>
                <w:szCs w:val="18"/>
              </w:rPr>
            </w:pPr>
          </w:p>
        </w:tc>
      </w:tr>
      <w:tr w:rsidR="00440714" w:rsidRPr="00133F50" w:rsidTr="00164E11">
        <w:trPr>
          <w:cantSplit/>
          <w:trHeight w:val="20"/>
          <w:jc w:val="center"/>
        </w:trPr>
        <w:tc>
          <w:tcPr>
            <w:tcW w:w="0" w:type="auto"/>
            <w:vMerge/>
          </w:tcPr>
          <w:p w:rsidR="00440714" w:rsidRPr="00133F50" w:rsidRDefault="00440714" w:rsidP="00164E11">
            <w:pPr>
              <w:spacing w:line="240" w:lineRule="auto"/>
              <w:rPr>
                <w:sz w:val="18"/>
                <w:szCs w:val="18"/>
              </w:rPr>
            </w:pPr>
          </w:p>
        </w:tc>
        <w:tc>
          <w:tcPr>
            <w:tcW w:w="0" w:type="auto"/>
            <w:tcBorders>
              <w:top w:val="nil"/>
            </w:tcBorders>
          </w:tcPr>
          <w:p w:rsidR="00440714" w:rsidRPr="00133F50" w:rsidRDefault="00440714" w:rsidP="00164E11">
            <w:pPr>
              <w:spacing w:line="240" w:lineRule="auto"/>
              <w:jc w:val="center"/>
              <w:rPr>
                <w:sz w:val="18"/>
                <w:szCs w:val="18"/>
              </w:rPr>
            </w:pPr>
            <w:r w:rsidRPr="00133F50">
              <w:rPr>
                <w:sz w:val="18"/>
                <w:szCs w:val="18"/>
              </w:rPr>
              <w:t>3533</w:t>
            </w:r>
          </w:p>
        </w:tc>
        <w:tc>
          <w:tcPr>
            <w:tcW w:w="5671" w:type="dxa"/>
            <w:tcBorders>
              <w:top w:val="nil"/>
            </w:tcBorders>
          </w:tcPr>
          <w:p w:rsidR="00440714" w:rsidRPr="00133F50" w:rsidRDefault="00440714" w:rsidP="00164E11">
            <w:pPr>
              <w:spacing w:line="240" w:lineRule="auto"/>
              <w:rPr>
                <w:sz w:val="18"/>
                <w:szCs w:val="18"/>
              </w:rPr>
            </w:pPr>
            <w:proofErr w:type="spellStart"/>
            <w:r w:rsidRPr="00133F50">
              <w:rPr>
                <w:sz w:val="18"/>
                <w:szCs w:val="18"/>
              </w:rPr>
              <w:t>Полимеризующееся</w:t>
            </w:r>
            <w:proofErr w:type="spellEnd"/>
            <w:r w:rsidRPr="00133F50">
              <w:rPr>
                <w:sz w:val="18"/>
                <w:szCs w:val="18"/>
              </w:rPr>
              <w:t xml:space="preserve"> вещество твердое стабилизированное с рег</w:t>
            </w:r>
            <w:r w:rsidRPr="00133F50">
              <w:rPr>
                <w:sz w:val="18"/>
                <w:szCs w:val="18"/>
              </w:rPr>
              <w:t>у</w:t>
            </w:r>
            <w:r w:rsidRPr="00133F50">
              <w:rPr>
                <w:sz w:val="18"/>
                <w:szCs w:val="18"/>
              </w:rPr>
              <w:t xml:space="preserve">лируемой температурой, </w:t>
            </w:r>
            <w:proofErr w:type="spellStart"/>
            <w:r w:rsidRPr="00133F50">
              <w:rPr>
                <w:sz w:val="18"/>
                <w:szCs w:val="18"/>
              </w:rPr>
              <w:t>н.у.к</w:t>
            </w:r>
            <w:proofErr w:type="spellEnd"/>
            <w:r w:rsidRPr="00133F50">
              <w:rPr>
                <w:sz w:val="18"/>
                <w:szCs w:val="18"/>
              </w:rPr>
              <w:t>.</w:t>
            </w:r>
          </w:p>
        </w:tc>
        <w:tc>
          <w:tcPr>
            <w:tcW w:w="1691" w:type="dxa"/>
            <w:vMerge/>
            <w:vAlign w:val="center"/>
          </w:tcPr>
          <w:p w:rsidR="00440714" w:rsidRPr="00133F50" w:rsidRDefault="00440714" w:rsidP="00164E11">
            <w:pPr>
              <w:spacing w:line="240" w:lineRule="auto"/>
              <w:jc w:val="center"/>
              <w:rPr>
                <w:sz w:val="18"/>
                <w:szCs w:val="18"/>
              </w:rPr>
            </w:pPr>
          </w:p>
        </w:tc>
      </w:tr>
      <w:tr w:rsidR="00440714" w:rsidRPr="00133F50" w:rsidTr="00164E11">
        <w:trPr>
          <w:cantSplit/>
          <w:trHeight w:val="20"/>
          <w:jc w:val="center"/>
        </w:trPr>
        <w:tc>
          <w:tcPr>
            <w:tcW w:w="0" w:type="auto"/>
            <w:vMerge/>
          </w:tcPr>
          <w:p w:rsidR="00440714" w:rsidRPr="00133F50" w:rsidRDefault="00440714" w:rsidP="00164E11">
            <w:pPr>
              <w:spacing w:line="240" w:lineRule="auto"/>
              <w:rPr>
                <w:sz w:val="18"/>
                <w:szCs w:val="18"/>
              </w:rPr>
            </w:pPr>
          </w:p>
        </w:tc>
        <w:tc>
          <w:tcPr>
            <w:tcW w:w="0" w:type="auto"/>
          </w:tcPr>
          <w:p w:rsidR="00440714" w:rsidRPr="00133F50" w:rsidRDefault="00440714" w:rsidP="00164E11">
            <w:pPr>
              <w:spacing w:line="240" w:lineRule="auto"/>
              <w:jc w:val="center"/>
              <w:rPr>
                <w:sz w:val="18"/>
                <w:szCs w:val="18"/>
              </w:rPr>
            </w:pPr>
            <w:r w:rsidRPr="00133F50">
              <w:rPr>
                <w:sz w:val="18"/>
                <w:szCs w:val="18"/>
              </w:rPr>
              <w:t>2448</w:t>
            </w:r>
          </w:p>
        </w:tc>
        <w:tc>
          <w:tcPr>
            <w:tcW w:w="5671" w:type="dxa"/>
          </w:tcPr>
          <w:p w:rsidR="00440714" w:rsidRPr="00133F50" w:rsidRDefault="00440714" w:rsidP="00164E11">
            <w:pPr>
              <w:spacing w:line="240" w:lineRule="auto"/>
              <w:rPr>
                <w:sz w:val="18"/>
                <w:szCs w:val="18"/>
              </w:rPr>
            </w:pPr>
            <w:r w:rsidRPr="00133F50">
              <w:rPr>
                <w:sz w:val="18"/>
                <w:szCs w:val="18"/>
              </w:rPr>
              <w:t>Сера расплавленная</w:t>
            </w:r>
          </w:p>
        </w:tc>
        <w:tc>
          <w:tcPr>
            <w:tcW w:w="1691" w:type="dxa"/>
            <w:vAlign w:val="center"/>
          </w:tcPr>
          <w:p w:rsidR="00440714" w:rsidRPr="00133F50" w:rsidRDefault="00440714" w:rsidP="00164E11">
            <w:pPr>
              <w:spacing w:line="240" w:lineRule="auto"/>
              <w:jc w:val="center"/>
              <w:rPr>
                <w:sz w:val="18"/>
                <w:szCs w:val="18"/>
              </w:rPr>
            </w:pPr>
            <w:r w:rsidRPr="00133F50">
              <w:rPr>
                <w:sz w:val="18"/>
                <w:szCs w:val="18"/>
              </w:rPr>
              <w:t>LGBV</w:t>
            </w:r>
          </w:p>
        </w:tc>
      </w:tr>
      <w:tr w:rsidR="00440714" w:rsidRPr="00133F50" w:rsidTr="00164E11">
        <w:trPr>
          <w:cantSplit/>
          <w:trHeight w:val="20"/>
          <w:jc w:val="center"/>
        </w:trPr>
        <w:tc>
          <w:tcPr>
            <w:tcW w:w="0" w:type="auto"/>
            <w:vMerge/>
          </w:tcPr>
          <w:p w:rsidR="00440714" w:rsidRPr="00133F50" w:rsidRDefault="00440714" w:rsidP="00164E11">
            <w:pPr>
              <w:spacing w:line="240" w:lineRule="auto"/>
              <w:rPr>
                <w:sz w:val="18"/>
                <w:szCs w:val="18"/>
              </w:rPr>
            </w:pPr>
          </w:p>
        </w:tc>
        <w:tc>
          <w:tcPr>
            <w:tcW w:w="0" w:type="auto"/>
            <w:tcBorders>
              <w:bottom w:val="single" w:sz="4" w:space="0" w:color="auto"/>
            </w:tcBorders>
          </w:tcPr>
          <w:p w:rsidR="00440714" w:rsidRPr="00133F50" w:rsidRDefault="00440714" w:rsidP="00164E11">
            <w:pPr>
              <w:spacing w:line="240" w:lineRule="auto"/>
              <w:jc w:val="center"/>
              <w:rPr>
                <w:sz w:val="18"/>
                <w:szCs w:val="18"/>
              </w:rPr>
            </w:pPr>
            <w:r w:rsidRPr="00133F50">
              <w:rPr>
                <w:sz w:val="18"/>
                <w:szCs w:val="18"/>
              </w:rPr>
              <w:t>3532</w:t>
            </w:r>
          </w:p>
        </w:tc>
        <w:tc>
          <w:tcPr>
            <w:tcW w:w="5671" w:type="dxa"/>
            <w:tcBorders>
              <w:bottom w:val="single" w:sz="4" w:space="0" w:color="auto"/>
            </w:tcBorders>
          </w:tcPr>
          <w:p w:rsidR="00440714" w:rsidRPr="00133F50" w:rsidRDefault="00440714" w:rsidP="00164E11">
            <w:pPr>
              <w:spacing w:line="240" w:lineRule="auto"/>
              <w:rPr>
                <w:sz w:val="18"/>
                <w:szCs w:val="18"/>
              </w:rPr>
            </w:pPr>
            <w:proofErr w:type="spellStart"/>
            <w:r w:rsidRPr="00133F50">
              <w:rPr>
                <w:sz w:val="18"/>
                <w:szCs w:val="18"/>
              </w:rPr>
              <w:t>Полимеризующееся</w:t>
            </w:r>
            <w:proofErr w:type="spellEnd"/>
            <w:r w:rsidRPr="00133F50">
              <w:rPr>
                <w:sz w:val="18"/>
                <w:szCs w:val="18"/>
              </w:rPr>
              <w:t xml:space="preserve"> вещество жидкое стабилизированное, </w:t>
            </w:r>
            <w:proofErr w:type="spellStart"/>
            <w:r w:rsidRPr="00133F50">
              <w:rPr>
                <w:sz w:val="18"/>
                <w:szCs w:val="18"/>
              </w:rPr>
              <w:t>н.у.к</w:t>
            </w:r>
            <w:proofErr w:type="spellEnd"/>
            <w:r w:rsidRPr="00133F50">
              <w:rPr>
                <w:sz w:val="18"/>
                <w:szCs w:val="18"/>
              </w:rPr>
              <w:t>.</w:t>
            </w:r>
          </w:p>
        </w:tc>
        <w:tc>
          <w:tcPr>
            <w:tcW w:w="1691" w:type="dxa"/>
            <w:vMerge w:val="restart"/>
            <w:vAlign w:val="center"/>
          </w:tcPr>
          <w:p w:rsidR="00440714" w:rsidRPr="00133F50" w:rsidRDefault="00440714" w:rsidP="00164E11">
            <w:pPr>
              <w:spacing w:line="240" w:lineRule="auto"/>
              <w:jc w:val="center"/>
              <w:rPr>
                <w:sz w:val="18"/>
                <w:szCs w:val="18"/>
              </w:rPr>
            </w:pPr>
            <w:r w:rsidRPr="00133F50">
              <w:rPr>
                <w:sz w:val="18"/>
                <w:szCs w:val="18"/>
              </w:rPr>
              <w:t>L4BN</w:t>
            </w:r>
          </w:p>
        </w:tc>
      </w:tr>
      <w:tr w:rsidR="00440714" w:rsidRPr="00133F50" w:rsidTr="00692125">
        <w:trPr>
          <w:cantSplit/>
          <w:trHeight w:val="20"/>
          <w:jc w:val="center"/>
        </w:trPr>
        <w:tc>
          <w:tcPr>
            <w:tcW w:w="0" w:type="auto"/>
            <w:vMerge/>
          </w:tcPr>
          <w:p w:rsidR="00440714" w:rsidRPr="00133F50" w:rsidRDefault="00440714" w:rsidP="00164E11">
            <w:pPr>
              <w:spacing w:line="240" w:lineRule="auto"/>
              <w:rPr>
                <w:sz w:val="18"/>
                <w:szCs w:val="18"/>
              </w:rPr>
            </w:pPr>
          </w:p>
        </w:tc>
        <w:tc>
          <w:tcPr>
            <w:tcW w:w="6532" w:type="dxa"/>
            <w:gridSpan w:val="2"/>
            <w:tcBorders>
              <w:bottom w:val="nil"/>
            </w:tcBorders>
          </w:tcPr>
          <w:p w:rsidR="00440714" w:rsidRPr="00133F50" w:rsidRDefault="00440714" w:rsidP="00164E11">
            <w:pPr>
              <w:spacing w:line="240" w:lineRule="auto"/>
              <w:rPr>
                <w:sz w:val="18"/>
                <w:szCs w:val="18"/>
              </w:rPr>
            </w:pPr>
            <w:r w:rsidRPr="00133F50">
              <w:rPr>
                <w:sz w:val="18"/>
                <w:szCs w:val="18"/>
              </w:rPr>
              <w:t>[только ДОПОГ</w:t>
            </w:r>
            <w:proofErr w:type="gramStart"/>
            <w:r w:rsidRPr="00133F50">
              <w:rPr>
                <w:sz w:val="18"/>
                <w:szCs w:val="18"/>
              </w:rPr>
              <w:t>:]</w:t>
            </w:r>
            <w:proofErr w:type="gramEnd"/>
          </w:p>
        </w:tc>
        <w:tc>
          <w:tcPr>
            <w:tcW w:w="1691" w:type="dxa"/>
            <w:vMerge/>
            <w:vAlign w:val="center"/>
          </w:tcPr>
          <w:p w:rsidR="00440714" w:rsidRPr="00133F50" w:rsidRDefault="00440714" w:rsidP="00164E11">
            <w:pPr>
              <w:spacing w:line="240" w:lineRule="auto"/>
              <w:jc w:val="center"/>
              <w:rPr>
                <w:sz w:val="18"/>
                <w:szCs w:val="18"/>
              </w:rPr>
            </w:pPr>
          </w:p>
        </w:tc>
      </w:tr>
      <w:tr w:rsidR="00440714" w:rsidRPr="00133F50" w:rsidTr="00164E11">
        <w:trPr>
          <w:cantSplit/>
          <w:trHeight w:val="20"/>
          <w:jc w:val="center"/>
        </w:trPr>
        <w:tc>
          <w:tcPr>
            <w:tcW w:w="0" w:type="auto"/>
            <w:vMerge/>
          </w:tcPr>
          <w:p w:rsidR="00440714" w:rsidRPr="00133F50" w:rsidRDefault="00440714" w:rsidP="00164E11">
            <w:pPr>
              <w:spacing w:line="240" w:lineRule="auto"/>
              <w:rPr>
                <w:sz w:val="18"/>
                <w:szCs w:val="18"/>
              </w:rPr>
            </w:pPr>
          </w:p>
        </w:tc>
        <w:tc>
          <w:tcPr>
            <w:tcW w:w="0" w:type="auto"/>
            <w:tcBorders>
              <w:top w:val="nil"/>
            </w:tcBorders>
          </w:tcPr>
          <w:p w:rsidR="00440714" w:rsidRPr="00133F50" w:rsidRDefault="00440714" w:rsidP="00164E11">
            <w:pPr>
              <w:spacing w:line="240" w:lineRule="auto"/>
              <w:jc w:val="center"/>
              <w:rPr>
                <w:sz w:val="18"/>
                <w:szCs w:val="18"/>
              </w:rPr>
            </w:pPr>
            <w:r w:rsidRPr="00133F50">
              <w:rPr>
                <w:sz w:val="18"/>
                <w:szCs w:val="18"/>
              </w:rPr>
              <w:t>3534</w:t>
            </w:r>
          </w:p>
        </w:tc>
        <w:tc>
          <w:tcPr>
            <w:tcW w:w="5671" w:type="dxa"/>
            <w:tcBorders>
              <w:top w:val="nil"/>
            </w:tcBorders>
          </w:tcPr>
          <w:p w:rsidR="00440714" w:rsidRPr="00133F50" w:rsidRDefault="00440714" w:rsidP="00164E11">
            <w:pPr>
              <w:spacing w:line="240" w:lineRule="auto"/>
              <w:rPr>
                <w:sz w:val="18"/>
                <w:szCs w:val="18"/>
              </w:rPr>
            </w:pPr>
            <w:proofErr w:type="spellStart"/>
            <w:r w:rsidRPr="00133F50">
              <w:rPr>
                <w:sz w:val="18"/>
                <w:szCs w:val="18"/>
              </w:rPr>
              <w:t>Полимеризующееся</w:t>
            </w:r>
            <w:proofErr w:type="spellEnd"/>
            <w:r w:rsidRPr="00133F50">
              <w:rPr>
                <w:sz w:val="18"/>
                <w:szCs w:val="18"/>
              </w:rPr>
              <w:t xml:space="preserve"> вещество жидкое стабилизированное с рег</w:t>
            </w:r>
            <w:r w:rsidRPr="00133F50">
              <w:rPr>
                <w:sz w:val="18"/>
                <w:szCs w:val="18"/>
              </w:rPr>
              <w:t>у</w:t>
            </w:r>
            <w:r w:rsidRPr="00133F50">
              <w:rPr>
                <w:sz w:val="18"/>
                <w:szCs w:val="18"/>
              </w:rPr>
              <w:t xml:space="preserve">лируемой температурой, </w:t>
            </w:r>
            <w:proofErr w:type="spellStart"/>
            <w:r w:rsidRPr="00133F50">
              <w:rPr>
                <w:sz w:val="18"/>
                <w:szCs w:val="18"/>
              </w:rPr>
              <w:t>н.у.к</w:t>
            </w:r>
            <w:proofErr w:type="spellEnd"/>
            <w:r w:rsidRPr="00133F50">
              <w:rPr>
                <w:sz w:val="18"/>
                <w:szCs w:val="18"/>
              </w:rPr>
              <w:t>.</w:t>
            </w:r>
          </w:p>
        </w:tc>
        <w:tc>
          <w:tcPr>
            <w:tcW w:w="1691" w:type="dxa"/>
            <w:vMerge/>
            <w:vAlign w:val="center"/>
          </w:tcPr>
          <w:p w:rsidR="00440714" w:rsidRPr="00133F50" w:rsidRDefault="00440714" w:rsidP="00164E11">
            <w:pPr>
              <w:spacing w:line="240" w:lineRule="auto"/>
              <w:jc w:val="center"/>
              <w:rPr>
                <w:sz w:val="18"/>
                <w:szCs w:val="18"/>
              </w:rPr>
            </w:pPr>
          </w:p>
        </w:tc>
      </w:tr>
      <w:tr w:rsidR="00440714" w:rsidRPr="00133F50" w:rsidTr="00164E11">
        <w:trPr>
          <w:cantSplit/>
          <w:trHeight w:val="20"/>
          <w:jc w:val="center"/>
        </w:trPr>
        <w:tc>
          <w:tcPr>
            <w:tcW w:w="0" w:type="auto"/>
            <w:vMerge w:val="restart"/>
          </w:tcPr>
          <w:p w:rsidR="00440714" w:rsidRPr="00133F50" w:rsidRDefault="00440714" w:rsidP="00164E11">
            <w:pPr>
              <w:spacing w:line="240" w:lineRule="auto"/>
              <w:rPr>
                <w:sz w:val="18"/>
                <w:szCs w:val="18"/>
              </w:rPr>
            </w:pPr>
            <w:r w:rsidRPr="00133F50">
              <w:rPr>
                <w:sz w:val="18"/>
                <w:szCs w:val="18"/>
              </w:rPr>
              <w:t>4.2</w:t>
            </w:r>
          </w:p>
        </w:tc>
        <w:tc>
          <w:tcPr>
            <w:tcW w:w="0" w:type="auto"/>
          </w:tcPr>
          <w:p w:rsidR="00440714" w:rsidRPr="00133F50" w:rsidRDefault="00440714" w:rsidP="00164E11">
            <w:pPr>
              <w:spacing w:line="240" w:lineRule="auto"/>
              <w:jc w:val="center"/>
              <w:rPr>
                <w:sz w:val="18"/>
                <w:szCs w:val="18"/>
              </w:rPr>
            </w:pPr>
            <w:r w:rsidRPr="00133F50">
              <w:rPr>
                <w:sz w:val="18"/>
                <w:szCs w:val="18"/>
              </w:rPr>
              <w:t>1381</w:t>
            </w:r>
          </w:p>
        </w:tc>
        <w:tc>
          <w:tcPr>
            <w:tcW w:w="5671" w:type="dxa"/>
          </w:tcPr>
          <w:p w:rsidR="00440714" w:rsidRPr="00133F50" w:rsidRDefault="00440714" w:rsidP="00164E11">
            <w:pPr>
              <w:spacing w:line="240" w:lineRule="auto"/>
              <w:rPr>
                <w:sz w:val="18"/>
                <w:szCs w:val="18"/>
              </w:rPr>
            </w:pPr>
            <w:r w:rsidRPr="00133F50">
              <w:rPr>
                <w:sz w:val="18"/>
                <w:szCs w:val="18"/>
              </w:rPr>
              <w:t>Фосфор белый или желтый сухой, под водой или в растворе</w:t>
            </w:r>
          </w:p>
        </w:tc>
        <w:tc>
          <w:tcPr>
            <w:tcW w:w="1691" w:type="dxa"/>
            <w:vMerge w:val="restart"/>
            <w:vAlign w:val="center"/>
          </w:tcPr>
          <w:p w:rsidR="00440714" w:rsidRPr="00133F50" w:rsidRDefault="00440714" w:rsidP="00164E11">
            <w:pPr>
              <w:spacing w:line="240" w:lineRule="auto"/>
              <w:jc w:val="center"/>
              <w:rPr>
                <w:sz w:val="18"/>
                <w:szCs w:val="18"/>
              </w:rPr>
            </w:pPr>
            <w:r w:rsidRPr="00133F50">
              <w:rPr>
                <w:sz w:val="18"/>
                <w:szCs w:val="18"/>
              </w:rPr>
              <w:t>L10DH</w:t>
            </w:r>
          </w:p>
        </w:tc>
      </w:tr>
      <w:tr w:rsidR="00440714" w:rsidRPr="00133F50" w:rsidTr="00164E11">
        <w:trPr>
          <w:cantSplit/>
          <w:trHeight w:val="20"/>
          <w:jc w:val="center"/>
        </w:trPr>
        <w:tc>
          <w:tcPr>
            <w:tcW w:w="0" w:type="auto"/>
            <w:vMerge/>
          </w:tcPr>
          <w:p w:rsidR="00440714" w:rsidRPr="00133F50" w:rsidRDefault="00440714" w:rsidP="00164E11">
            <w:pPr>
              <w:spacing w:line="240" w:lineRule="auto"/>
              <w:rPr>
                <w:sz w:val="18"/>
                <w:szCs w:val="18"/>
              </w:rPr>
            </w:pPr>
          </w:p>
        </w:tc>
        <w:tc>
          <w:tcPr>
            <w:tcW w:w="0" w:type="auto"/>
          </w:tcPr>
          <w:p w:rsidR="00440714" w:rsidRPr="00133F50" w:rsidRDefault="00440714" w:rsidP="00164E11">
            <w:pPr>
              <w:spacing w:line="240" w:lineRule="auto"/>
              <w:jc w:val="center"/>
              <w:rPr>
                <w:sz w:val="18"/>
                <w:szCs w:val="18"/>
              </w:rPr>
            </w:pPr>
            <w:r w:rsidRPr="00133F50">
              <w:rPr>
                <w:sz w:val="18"/>
                <w:szCs w:val="18"/>
              </w:rPr>
              <w:t>2447</w:t>
            </w:r>
          </w:p>
        </w:tc>
        <w:tc>
          <w:tcPr>
            <w:tcW w:w="5671" w:type="dxa"/>
          </w:tcPr>
          <w:p w:rsidR="00440714" w:rsidRPr="00133F50" w:rsidRDefault="00440714" w:rsidP="00164E11">
            <w:pPr>
              <w:spacing w:line="240" w:lineRule="auto"/>
              <w:rPr>
                <w:sz w:val="18"/>
                <w:szCs w:val="18"/>
              </w:rPr>
            </w:pPr>
            <w:r w:rsidRPr="00133F50">
              <w:rPr>
                <w:sz w:val="18"/>
                <w:szCs w:val="18"/>
              </w:rPr>
              <w:t>Фосфор белый расплавленный</w:t>
            </w:r>
          </w:p>
        </w:tc>
        <w:tc>
          <w:tcPr>
            <w:tcW w:w="1691" w:type="dxa"/>
            <w:vMerge/>
            <w:vAlign w:val="center"/>
          </w:tcPr>
          <w:p w:rsidR="00440714" w:rsidRPr="00133F50" w:rsidRDefault="00440714" w:rsidP="00164E11">
            <w:pPr>
              <w:spacing w:line="240" w:lineRule="auto"/>
              <w:jc w:val="center"/>
              <w:rPr>
                <w:sz w:val="18"/>
                <w:szCs w:val="18"/>
              </w:rPr>
            </w:pPr>
          </w:p>
        </w:tc>
      </w:tr>
      <w:tr w:rsidR="00440714" w:rsidRPr="00133F50" w:rsidTr="00164E11">
        <w:trPr>
          <w:cantSplit/>
          <w:trHeight w:val="20"/>
          <w:jc w:val="center"/>
        </w:trPr>
        <w:tc>
          <w:tcPr>
            <w:tcW w:w="0" w:type="auto"/>
            <w:vMerge w:val="restart"/>
          </w:tcPr>
          <w:p w:rsidR="00440714" w:rsidRPr="00133F50" w:rsidRDefault="00440714" w:rsidP="00164E11">
            <w:pPr>
              <w:spacing w:line="240" w:lineRule="auto"/>
              <w:rPr>
                <w:sz w:val="18"/>
                <w:szCs w:val="18"/>
              </w:rPr>
            </w:pPr>
            <w:r w:rsidRPr="00133F50">
              <w:rPr>
                <w:sz w:val="18"/>
                <w:szCs w:val="18"/>
              </w:rPr>
              <w:t>4.3</w:t>
            </w:r>
          </w:p>
        </w:tc>
        <w:tc>
          <w:tcPr>
            <w:tcW w:w="0" w:type="auto"/>
          </w:tcPr>
          <w:p w:rsidR="00440714" w:rsidRPr="00133F50" w:rsidRDefault="00440714" w:rsidP="00164E11">
            <w:pPr>
              <w:spacing w:line="240" w:lineRule="auto"/>
              <w:jc w:val="center"/>
              <w:rPr>
                <w:sz w:val="18"/>
                <w:szCs w:val="18"/>
              </w:rPr>
            </w:pPr>
            <w:r w:rsidRPr="00133F50">
              <w:rPr>
                <w:sz w:val="18"/>
                <w:szCs w:val="18"/>
              </w:rPr>
              <w:t>1389</w:t>
            </w:r>
          </w:p>
        </w:tc>
        <w:tc>
          <w:tcPr>
            <w:tcW w:w="5671" w:type="dxa"/>
          </w:tcPr>
          <w:p w:rsidR="00440714" w:rsidRPr="00133F50" w:rsidRDefault="00440714" w:rsidP="00164E11">
            <w:pPr>
              <w:spacing w:line="240" w:lineRule="auto"/>
              <w:rPr>
                <w:sz w:val="18"/>
                <w:szCs w:val="18"/>
              </w:rPr>
            </w:pPr>
            <w:r w:rsidRPr="00133F50">
              <w:rPr>
                <w:sz w:val="18"/>
                <w:szCs w:val="18"/>
              </w:rPr>
              <w:t>Амальгама щелочных металлов жидкая</w:t>
            </w:r>
          </w:p>
        </w:tc>
        <w:tc>
          <w:tcPr>
            <w:tcW w:w="1691" w:type="dxa"/>
            <w:vMerge w:val="restart"/>
            <w:vAlign w:val="center"/>
          </w:tcPr>
          <w:p w:rsidR="00440714" w:rsidRPr="00133F50" w:rsidRDefault="00440714" w:rsidP="00164E11">
            <w:pPr>
              <w:spacing w:line="240" w:lineRule="auto"/>
              <w:jc w:val="center"/>
              <w:rPr>
                <w:sz w:val="18"/>
                <w:szCs w:val="18"/>
              </w:rPr>
            </w:pPr>
            <w:r w:rsidRPr="00133F50">
              <w:rPr>
                <w:sz w:val="18"/>
                <w:szCs w:val="18"/>
              </w:rPr>
              <w:t>L10BN</w:t>
            </w:r>
          </w:p>
        </w:tc>
      </w:tr>
      <w:tr w:rsidR="00440714" w:rsidRPr="00133F50" w:rsidTr="00164E11">
        <w:trPr>
          <w:cantSplit/>
          <w:trHeight w:val="20"/>
          <w:jc w:val="center"/>
        </w:trPr>
        <w:tc>
          <w:tcPr>
            <w:tcW w:w="0" w:type="auto"/>
            <w:vMerge/>
          </w:tcPr>
          <w:p w:rsidR="00440714" w:rsidRPr="00133F50" w:rsidRDefault="00440714" w:rsidP="00164E11">
            <w:pPr>
              <w:spacing w:line="240" w:lineRule="auto"/>
              <w:rPr>
                <w:sz w:val="18"/>
                <w:szCs w:val="18"/>
              </w:rPr>
            </w:pPr>
          </w:p>
        </w:tc>
        <w:tc>
          <w:tcPr>
            <w:tcW w:w="0" w:type="auto"/>
          </w:tcPr>
          <w:p w:rsidR="00440714" w:rsidRPr="00133F50" w:rsidRDefault="00440714" w:rsidP="00164E11">
            <w:pPr>
              <w:spacing w:line="240" w:lineRule="auto"/>
              <w:jc w:val="center"/>
              <w:rPr>
                <w:sz w:val="18"/>
                <w:szCs w:val="18"/>
              </w:rPr>
            </w:pPr>
            <w:r w:rsidRPr="00133F50">
              <w:rPr>
                <w:sz w:val="18"/>
                <w:szCs w:val="18"/>
              </w:rPr>
              <w:t>1391</w:t>
            </w:r>
          </w:p>
        </w:tc>
        <w:tc>
          <w:tcPr>
            <w:tcW w:w="5671" w:type="dxa"/>
          </w:tcPr>
          <w:p w:rsidR="00440714" w:rsidRPr="00133F50" w:rsidRDefault="00440714" w:rsidP="00164E11">
            <w:pPr>
              <w:spacing w:line="240" w:lineRule="auto"/>
              <w:rPr>
                <w:sz w:val="18"/>
                <w:szCs w:val="18"/>
              </w:rPr>
            </w:pPr>
            <w:r w:rsidRPr="00133F50">
              <w:rPr>
                <w:sz w:val="18"/>
                <w:szCs w:val="18"/>
              </w:rPr>
              <w:t>Металл щелочной диспергированный</w:t>
            </w:r>
          </w:p>
        </w:tc>
        <w:tc>
          <w:tcPr>
            <w:tcW w:w="1691" w:type="dxa"/>
            <w:vMerge/>
            <w:vAlign w:val="center"/>
          </w:tcPr>
          <w:p w:rsidR="00440714" w:rsidRPr="00133F50" w:rsidRDefault="00440714" w:rsidP="00164E11">
            <w:pPr>
              <w:spacing w:line="240" w:lineRule="auto"/>
              <w:jc w:val="center"/>
              <w:rPr>
                <w:sz w:val="18"/>
                <w:szCs w:val="18"/>
              </w:rPr>
            </w:pPr>
          </w:p>
        </w:tc>
      </w:tr>
      <w:tr w:rsidR="00440714" w:rsidRPr="00133F50" w:rsidTr="00164E11">
        <w:trPr>
          <w:cantSplit/>
          <w:trHeight w:val="20"/>
          <w:jc w:val="center"/>
        </w:trPr>
        <w:tc>
          <w:tcPr>
            <w:tcW w:w="0" w:type="auto"/>
            <w:vMerge/>
          </w:tcPr>
          <w:p w:rsidR="00440714" w:rsidRPr="00133F50" w:rsidRDefault="00440714" w:rsidP="00164E11">
            <w:pPr>
              <w:spacing w:line="240" w:lineRule="auto"/>
              <w:rPr>
                <w:sz w:val="18"/>
                <w:szCs w:val="18"/>
              </w:rPr>
            </w:pPr>
          </w:p>
        </w:tc>
        <w:tc>
          <w:tcPr>
            <w:tcW w:w="0" w:type="auto"/>
          </w:tcPr>
          <w:p w:rsidR="00440714" w:rsidRPr="00133F50" w:rsidRDefault="00440714" w:rsidP="00164E11">
            <w:pPr>
              <w:spacing w:line="240" w:lineRule="auto"/>
              <w:jc w:val="center"/>
              <w:rPr>
                <w:sz w:val="18"/>
                <w:szCs w:val="18"/>
              </w:rPr>
            </w:pPr>
            <w:r w:rsidRPr="00133F50">
              <w:rPr>
                <w:sz w:val="18"/>
                <w:szCs w:val="18"/>
              </w:rPr>
              <w:t>1391</w:t>
            </w:r>
          </w:p>
        </w:tc>
        <w:tc>
          <w:tcPr>
            <w:tcW w:w="5671" w:type="dxa"/>
          </w:tcPr>
          <w:p w:rsidR="00440714" w:rsidRPr="00133F50" w:rsidRDefault="00440714" w:rsidP="00164E11">
            <w:pPr>
              <w:spacing w:line="240" w:lineRule="auto"/>
              <w:rPr>
                <w:sz w:val="18"/>
                <w:szCs w:val="18"/>
              </w:rPr>
            </w:pPr>
            <w:r w:rsidRPr="00133F50">
              <w:rPr>
                <w:sz w:val="18"/>
                <w:szCs w:val="18"/>
              </w:rPr>
              <w:t>Металл щелочноземельный диспергированный</w:t>
            </w:r>
          </w:p>
        </w:tc>
        <w:tc>
          <w:tcPr>
            <w:tcW w:w="1691" w:type="dxa"/>
            <w:vMerge/>
            <w:vAlign w:val="center"/>
          </w:tcPr>
          <w:p w:rsidR="00440714" w:rsidRPr="00133F50" w:rsidRDefault="00440714" w:rsidP="00164E11">
            <w:pPr>
              <w:spacing w:line="240" w:lineRule="auto"/>
              <w:jc w:val="center"/>
              <w:rPr>
                <w:sz w:val="18"/>
                <w:szCs w:val="18"/>
              </w:rPr>
            </w:pPr>
          </w:p>
        </w:tc>
      </w:tr>
      <w:tr w:rsidR="00440714" w:rsidRPr="00133F50" w:rsidTr="00164E11">
        <w:trPr>
          <w:cantSplit/>
          <w:trHeight w:val="20"/>
          <w:jc w:val="center"/>
        </w:trPr>
        <w:tc>
          <w:tcPr>
            <w:tcW w:w="0" w:type="auto"/>
            <w:vMerge/>
          </w:tcPr>
          <w:p w:rsidR="00440714" w:rsidRPr="00133F50" w:rsidRDefault="00440714" w:rsidP="00164E11">
            <w:pPr>
              <w:spacing w:line="240" w:lineRule="auto"/>
              <w:rPr>
                <w:sz w:val="18"/>
                <w:szCs w:val="18"/>
              </w:rPr>
            </w:pPr>
          </w:p>
        </w:tc>
        <w:tc>
          <w:tcPr>
            <w:tcW w:w="0" w:type="auto"/>
          </w:tcPr>
          <w:p w:rsidR="00440714" w:rsidRPr="00133F50" w:rsidRDefault="00440714" w:rsidP="00164E11">
            <w:pPr>
              <w:spacing w:line="240" w:lineRule="auto"/>
              <w:jc w:val="center"/>
              <w:rPr>
                <w:sz w:val="18"/>
                <w:szCs w:val="18"/>
              </w:rPr>
            </w:pPr>
            <w:r w:rsidRPr="00133F50">
              <w:rPr>
                <w:sz w:val="18"/>
                <w:szCs w:val="18"/>
              </w:rPr>
              <w:t>1392</w:t>
            </w:r>
          </w:p>
        </w:tc>
        <w:tc>
          <w:tcPr>
            <w:tcW w:w="5671" w:type="dxa"/>
          </w:tcPr>
          <w:p w:rsidR="00440714" w:rsidRPr="00133F50" w:rsidRDefault="00440714" w:rsidP="00164E11">
            <w:pPr>
              <w:spacing w:line="240" w:lineRule="auto"/>
              <w:rPr>
                <w:sz w:val="18"/>
                <w:szCs w:val="18"/>
              </w:rPr>
            </w:pPr>
            <w:r w:rsidRPr="00133F50">
              <w:rPr>
                <w:sz w:val="18"/>
                <w:szCs w:val="18"/>
              </w:rPr>
              <w:t>Амальгама щелочноземельных металлов жидкая</w:t>
            </w:r>
          </w:p>
        </w:tc>
        <w:tc>
          <w:tcPr>
            <w:tcW w:w="1691" w:type="dxa"/>
            <w:vMerge/>
            <w:vAlign w:val="center"/>
          </w:tcPr>
          <w:p w:rsidR="00440714" w:rsidRPr="00133F50" w:rsidRDefault="00440714" w:rsidP="00164E11">
            <w:pPr>
              <w:spacing w:line="240" w:lineRule="auto"/>
              <w:jc w:val="center"/>
              <w:rPr>
                <w:sz w:val="18"/>
                <w:szCs w:val="18"/>
              </w:rPr>
            </w:pPr>
          </w:p>
        </w:tc>
      </w:tr>
      <w:tr w:rsidR="00440714" w:rsidRPr="00133F50" w:rsidTr="00164E11">
        <w:trPr>
          <w:cantSplit/>
          <w:trHeight w:val="20"/>
          <w:jc w:val="center"/>
        </w:trPr>
        <w:tc>
          <w:tcPr>
            <w:tcW w:w="0" w:type="auto"/>
            <w:vMerge/>
          </w:tcPr>
          <w:p w:rsidR="00440714" w:rsidRPr="00133F50" w:rsidRDefault="00440714" w:rsidP="00164E11">
            <w:pPr>
              <w:spacing w:line="240" w:lineRule="auto"/>
              <w:rPr>
                <w:sz w:val="18"/>
                <w:szCs w:val="18"/>
              </w:rPr>
            </w:pPr>
          </w:p>
        </w:tc>
        <w:tc>
          <w:tcPr>
            <w:tcW w:w="0" w:type="auto"/>
          </w:tcPr>
          <w:p w:rsidR="00440714" w:rsidRPr="00133F50" w:rsidRDefault="00440714" w:rsidP="00164E11">
            <w:pPr>
              <w:spacing w:line="240" w:lineRule="auto"/>
              <w:jc w:val="center"/>
              <w:rPr>
                <w:sz w:val="18"/>
                <w:szCs w:val="18"/>
              </w:rPr>
            </w:pPr>
            <w:r w:rsidRPr="00133F50">
              <w:rPr>
                <w:sz w:val="18"/>
                <w:szCs w:val="18"/>
              </w:rPr>
              <w:t>1415</w:t>
            </w:r>
          </w:p>
        </w:tc>
        <w:tc>
          <w:tcPr>
            <w:tcW w:w="5671" w:type="dxa"/>
          </w:tcPr>
          <w:p w:rsidR="00440714" w:rsidRPr="00133F50" w:rsidRDefault="00440714" w:rsidP="00164E11">
            <w:pPr>
              <w:spacing w:line="240" w:lineRule="auto"/>
              <w:rPr>
                <w:sz w:val="18"/>
                <w:szCs w:val="18"/>
              </w:rPr>
            </w:pPr>
            <w:r w:rsidRPr="00133F50">
              <w:rPr>
                <w:sz w:val="18"/>
                <w:szCs w:val="18"/>
              </w:rPr>
              <w:t>Литий</w:t>
            </w:r>
          </w:p>
        </w:tc>
        <w:tc>
          <w:tcPr>
            <w:tcW w:w="1691" w:type="dxa"/>
            <w:vMerge/>
            <w:vAlign w:val="center"/>
          </w:tcPr>
          <w:p w:rsidR="00440714" w:rsidRPr="00133F50" w:rsidRDefault="00440714" w:rsidP="00164E11">
            <w:pPr>
              <w:spacing w:line="240" w:lineRule="auto"/>
              <w:jc w:val="center"/>
              <w:rPr>
                <w:sz w:val="18"/>
                <w:szCs w:val="18"/>
              </w:rPr>
            </w:pPr>
          </w:p>
        </w:tc>
      </w:tr>
      <w:tr w:rsidR="00440714" w:rsidRPr="00133F50" w:rsidTr="00164E11">
        <w:trPr>
          <w:cantSplit/>
          <w:trHeight w:val="20"/>
          <w:jc w:val="center"/>
        </w:trPr>
        <w:tc>
          <w:tcPr>
            <w:tcW w:w="0" w:type="auto"/>
            <w:vMerge/>
          </w:tcPr>
          <w:p w:rsidR="00440714" w:rsidRPr="00133F50" w:rsidRDefault="00440714" w:rsidP="00164E11">
            <w:pPr>
              <w:spacing w:line="240" w:lineRule="auto"/>
              <w:rPr>
                <w:sz w:val="18"/>
                <w:szCs w:val="18"/>
              </w:rPr>
            </w:pPr>
          </w:p>
        </w:tc>
        <w:tc>
          <w:tcPr>
            <w:tcW w:w="0" w:type="auto"/>
          </w:tcPr>
          <w:p w:rsidR="00440714" w:rsidRPr="00133F50" w:rsidRDefault="00440714" w:rsidP="00164E11">
            <w:pPr>
              <w:spacing w:line="240" w:lineRule="auto"/>
              <w:jc w:val="center"/>
              <w:rPr>
                <w:sz w:val="18"/>
                <w:szCs w:val="18"/>
              </w:rPr>
            </w:pPr>
            <w:r w:rsidRPr="00133F50">
              <w:rPr>
                <w:sz w:val="18"/>
                <w:szCs w:val="18"/>
              </w:rPr>
              <w:t>1420</w:t>
            </w:r>
          </w:p>
        </w:tc>
        <w:tc>
          <w:tcPr>
            <w:tcW w:w="5671" w:type="dxa"/>
          </w:tcPr>
          <w:p w:rsidR="00440714" w:rsidRPr="00133F50" w:rsidRDefault="00440714" w:rsidP="00164E11">
            <w:pPr>
              <w:spacing w:line="240" w:lineRule="auto"/>
              <w:rPr>
                <w:sz w:val="18"/>
                <w:szCs w:val="18"/>
              </w:rPr>
            </w:pPr>
            <w:r w:rsidRPr="00133F50">
              <w:rPr>
                <w:sz w:val="18"/>
                <w:szCs w:val="18"/>
              </w:rPr>
              <w:t>Калия металлические сплавы жидкие</w:t>
            </w:r>
          </w:p>
        </w:tc>
        <w:tc>
          <w:tcPr>
            <w:tcW w:w="1691" w:type="dxa"/>
            <w:vMerge/>
            <w:vAlign w:val="center"/>
          </w:tcPr>
          <w:p w:rsidR="00440714" w:rsidRPr="00133F50" w:rsidRDefault="00440714" w:rsidP="00164E11">
            <w:pPr>
              <w:spacing w:line="240" w:lineRule="auto"/>
              <w:jc w:val="center"/>
              <w:rPr>
                <w:sz w:val="18"/>
                <w:szCs w:val="18"/>
              </w:rPr>
            </w:pPr>
          </w:p>
        </w:tc>
      </w:tr>
      <w:tr w:rsidR="00440714" w:rsidRPr="00133F50" w:rsidTr="00164E11">
        <w:trPr>
          <w:cantSplit/>
          <w:trHeight w:val="20"/>
          <w:jc w:val="center"/>
        </w:trPr>
        <w:tc>
          <w:tcPr>
            <w:tcW w:w="0" w:type="auto"/>
            <w:vMerge/>
          </w:tcPr>
          <w:p w:rsidR="00440714" w:rsidRPr="00133F50" w:rsidRDefault="00440714" w:rsidP="00164E11">
            <w:pPr>
              <w:spacing w:line="240" w:lineRule="auto"/>
              <w:rPr>
                <w:sz w:val="18"/>
                <w:szCs w:val="18"/>
              </w:rPr>
            </w:pPr>
          </w:p>
        </w:tc>
        <w:tc>
          <w:tcPr>
            <w:tcW w:w="0" w:type="auto"/>
          </w:tcPr>
          <w:p w:rsidR="00440714" w:rsidRPr="00133F50" w:rsidRDefault="00440714" w:rsidP="00164E11">
            <w:pPr>
              <w:spacing w:line="240" w:lineRule="auto"/>
              <w:jc w:val="center"/>
              <w:rPr>
                <w:sz w:val="18"/>
                <w:szCs w:val="18"/>
              </w:rPr>
            </w:pPr>
            <w:r w:rsidRPr="00133F50">
              <w:rPr>
                <w:sz w:val="18"/>
                <w:szCs w:val="18"/>
              </w:rPr>
              <w:t>1421</w:t>
            </w:r>
          </w:p>
        </w:tc>
        <w:tc>
          <w:tcPr>
            <w:tcW w:w="5671" w:type="dxa"/>
          </w:tcPr>
          <w:p w:rsidR="00440714" w:rsidRPr="00133F50" w:rsidRDefault="00440714" w:rsidP="00164E11">
            <w:pPr>
              <w:spacing w:line="240" w:lineRule="auto"/>
              <w:rPr>
                <w:sz w:val="18"/>
                <w:szCs w:val="18"/>
              </w:rPr>
            </w:pPr>
            <w:r w:rsidRPr="00133F50">
              <w:rPr>
                <w:sz w:val="18"/>
                <w:szCs w:val="18"/>
              </w:rPr>
              <w:t xml:space="preserve">Щелочных металлов сплав жидкий, </w:t>
            </w:r>
            <w:proofErr w:type="spellStart"/>
            <w:r w:rsidRPr="00133F50">
              <w:rPr>
                <w:sz w:val="18"/>
                <w:szCs w:val="18"/>
              </w:rPr>
              <w:t>н.у.к</w:t>
            </w:r>
            <w:proofErr w:type="spellEnd"/>
            <w:r w:rsidRPr="00133F50">
              <w:rPr>
                <w:sz w:val="18"/>
                <w:szCs w:val="18"/>
              </w:rPr>
              <w:t>.</w:t>
            </w:r>
          </w:p>
        </w:tc>
        <w:tc>
          <w:tcPr>
            <w:tcW w:w="1691" w:type="dxa"/>
            <w:vMerge/>
            <w:vAlign w:val="center"/>
          </w:tcPr>
          <w:p w:rsidR="00440714" w:rsidRPr="00133F50" w:rsidRDefault="00440714" w:rsidP="00164E11">
            <w:pPr>
              <w:spacing w:line="240" w:lineRule="auto"/>
              <w:jc w:val="center"/>
              <w:rPr>
                <w:sz w:val="18"/>
                <w:szCs w:val="18"/>
              </w:rPr>
            </w:pPr>
          </w:p>
        </w:tc>
      </w:tr>
      <w:tr w:rsidR="00440714" w:rsidRPr="00133F50" w:rsidTr="00164E11">
        <w:trPr>
          <w:cantSplit/>
          <w:trHeight w:val="20"/>
          <w:jc w:val="center"/>
        </w:trPr>
        <w:tc>
          <w:tcPr>
            <w:tcW w:w="0" w:type="auto"/>
            <w:vMerge/>
          </w:tcPr>
          <w:p w:rsidR="00440714" w:rsidRPr="00133F50" w:rsidRDefault="00440714" w:rsidP="00164E11">
            <w:pPr>
              <w:spacing w:line="240" w:lineRule="auto"/>
              <w:rPr>
                <w:sz w:val="18"/>
                <w:szCs w:val="18"/>
              </w:rPr>
            </w:pPr>
          </w:p>
        </w:tc>
        <w:tc>
          <w:tcPr>
            <w:tcW w:w="0" w:type="auto"/>
          </w:tcPr>
          <w:p w:rsidR="00440714" w:rsidRPr="00133F50" w:rsidRDefault="00440714" w:rsidP="00164E11">
            <w:pPr>
              <w:spacing w:line="240" w:lineRule="auto"/>
              <w:jc w:val="center"/>
              <w:rPr>
                <w:sz w:val="18"/>
                <w:szCs w:val="18"/>
              </w:rPr>
            </w:pPr>
            <w:r w:rsidRPr="00133F50">
              <w:rPr>
                <w:sz w:val="18"/>
                <w:szCs w:val="18"/>
              </w:rPr>
              <w:t>1422</w:t>
            </w:r>
          </w:p>
        </w:tc>
        <w:tc>
          <w:tcPr>
            <w:tcW w:w="5671" w:type="dxa"/>
          </w:tcPr>
          <w:p w:rsidR="00440714" w:rsidRPr="00133F50" w:rsidRDefault="00440714" w:rsidP="00164E11">
            <w:pPr>
              <w:spacing w:line="240" w:lineRule="auto"/>
              <w:rPr>
                <w:sz w:val="18"/>
                <w:szCs w:val="18"/>
              </w:rPr>
            </w:pPr>
            <w:r w:rsidRPr="00133F50">
              <w:rPr>
                <w:sz w:val="18"/>
                <w:szCs w:val="18"/>
              </w:rPr>
              <w:t>Калия-натрия сплавы жидкие</w:t>
            </w:r>
          </w:p>
        </w:tc>
        <w:tc>
          <w:tcPr>
            <w:tcW w:w="1691" w:type="dxa"/>
            <w:vMerge/>
            <w:vAlign w:val="center"/>
          </w:tcPr>
          <w:p w:rsidR="00440714" w:rsidRPr="00133F50" w:rsidRDefault="00440714" w:rsidP="00164E11">
            <w:pPr>
              <w:spacing w:line="240" w:lineRule="auto"/>
              <w:jc w:val="center"/>
              <w:rPr>
                <w:sz w:val="18"/>
                <w:szCs w:val="18"/>
              </w:rPr>
            </w:pPr>
          </w:p>
        </w:tc>
      </w:tr>
      <w:tr w:rsidR="00440714" w:rsidRPr="00133F50" w:rsidTr="00164E11">
        <w:trPr>
          <w:cantSplit/>
          <w:trHeight w:val="20"/>
          <w:jc w:val="center"/>
        </w:trPr>
        <w:tc>
          <w:tcPr>
            <w:tcW w:w="0" w:type="auto"/>
            <w:vMerge/>
          </w:tcPr>
          <w:p w:rsidR="00440714" w:rsidRPr="00133F50" w:rsidRDefault="00440714" w:rsidP="00164E11">
            <w:pPr>
              <w:spacing w:line="240" w:lineRule="auto"/>
              <w:rPr>
                <w:sz w:val="18"/>
                <w:szCs w:val="18"/>
              </w:rPr>
            </w:pPr>
          </w:p>
        </w:tc>
        <w:tc>
          <w:tcPr>
            <w:tcW w:w="0" w:type="auto"/>
          </w:tcPr>
          <w:p w:rsidR="00440714" w:rsidRPr="00133F50" w:rsidRDefault="00440714" w:rsidP="00164E11">
            <w:pPr>
              <w:spacing w:line="240" w:lineRule="auto"/>
              <w:jc w:val="center"/>
              <w:rPr>
                <w:sz w:val="18"/>
                <w:szCs w:val="18"/>
              </w:rPr>
            </w:pPr>
            <w:r w:rsidRPr="00133F50">
              <w:rPr>
                <w:sz w:val="18"/>
                <w:szCs w:val="18"/>
              </w:rPr>
              <w:t>1428</w:t>
            </w:r>
          </w:p>
        </w:tc>
        <w:tc>
          <w:tcPr>
            <w:tcW w:w="5671" w:type="dxa"/>
          </w:tcPr>
          <w:p w:rsidR="00440714" w:rsidRPr="00133F50" w:rsidRDefault="00440714" w:rsidP="00164E11">
            <w:pPr>
              <w:spacing w:line="240" w:lineRule="auto"/>
              <w:rPr>
                <w:sz w:val="18"/>
                <w:szCs w:val="18"/>
              </w:rPr>
            </w:pPr>
            <w:r w:rsidRPr="00133F50">
              <w:rPr>
                <w:sz w:val="18"/>
                <w:szCs w:val="18"/>
              </w:rPr>
              <w:t>Натрий</w:t>
            </w:r>
          </w:p>
        </w:tc>
        <w:tc>
          <w:tcPr>
            <w:tcW w:w="1691" w:type="dxa"/>
            <w:vMerge/>
            <w:vAlign w:val="center"/>
          </w:tcPr>
          <w:p w:rsidR="00440714" w:rsidRPr="00133F50" w:rsidRDefault="00440714" w:rsidP="00164E11">
            <w:pPr>
              <w:spacing w:line="240" w:lineRule="auto"/>
              <w:jc w:val="center"/>
              <w:rPr>
                <w:sz w:val="18"/>
                <w:szCs w:val="18"/>
              </w:rPr>
            </w:pPr>
          </w:p>
        </w:tc>
      </w:tr>
      <w:tr w:rsidR="00440714" w:rsidRPr="00133F50" w:rsidTr="00164E11">
        <w:trPr>
          <w:cantSplit/>
          <w:trHeight w:val="20"/>
          <w:jc w:val="center"/>
        </w:trPr>
        <w:tc>
          <w:tcPr>
            <w:tcW w:w="0" w:type="auto"/>
            <w:vMerge/>
          </w:tcPr>
          <w:p w:rsidR="00440714" w:rsidRPr="00133F50" w:rsidRDefault="00440714" w:rsidP="00164E11">
            <w:pPr>
              <w:spacing w:line="240" w:lineRule="auto"/>
              <w:rPr>
                <w:sz w:val="18"/>
                <w:szCs w:val="18"/>
              </w:rPr>
            </w:pPr>
          </w:p>
        </w:tc>
        <w:tc>
          <w:tcPr>
            <w:tcW w:w="0" w:type="auto"/>
          </w:tcPr>
          <w:p w:rsidR="00440714" w:rsidRPr="00133F50" w:rsidRDefault="00440714" w:rsidP="00164E11">
            <w:pPr>
              <w:spacing w:line="240" w:lineRule="auto"/>
              <w:jc w:val="center"/>
              <w:rPr>
                <w:sz w:val="18"/>
                <w:szCs w:val="18"/>
              </w:rPr>
            </w:pPr>
            <w:r w:rsidRPr="00133F50">
              <w:rPr>
                <w:sz w:val="18"/>
                <w:szCs w:val="18"/>
              </w:rPr>
              <w:t>2257</w:t>
            </w:r>
          </w:p>
        </w:tc>
        <w:tc>
          <w:tcPr>
            <w:tcW w:w="5671" w:type="dxa"/>
          </w:tcPr>
          <w:p w:rsidR="00440714" w:rsidRPr="00133F50" w:rsidRDefault="00440714" w:rsidP="00164E11">
            <w:pPr>
              <w:spacing w:line="240" w:lineRule="auto"/>
              <w:rPr>
                <w:sz w:val="18"/>
                <w:szCs w:val="18"/>
              </w:rPr>
            </w:pPr>
            <w:r w:rsidRPr="00133F50">
              <w:rPr>
                <w:sz w:val="18"/>
                <w:szCs w:val="18"/>
              </w:rPr>
              <w:t>Калий</w:t>
            </w:r>
          </w:p>
        </w:tc>
        <w:tc>
          <w:tcPr>
            <w:tcW w:w="1691" w:type="dxa"/>
            <w:vMerge/>
            <w:vAlign w:val="center"/>
          </w:tcPr>
          <w:p w:rsidR="00440714" w:rsidRPr="00133F50" w:rsidRDefault="00440714" w:rsidP="00164E11">
            <w:pPr>
              <w:spacing w:line="240" w:lineRule="auto"/>
              <w:jc w:val="center"/>
              <w:rPr>
                <w:sz w:val="18"/>
                <w:szCs w:val="18"/>
              </w:rPr>
            </w:pPr>
          </w:p>
        </w:tc>
      </w:tr>
      <w:tr w:rsidR="00440714" w:rsidRPr="00133F50" w:rsidTr="00164E11">
        <w:trPr>
          <w:cantSplit/>
          <w:trHeight w:val="20"/>
          <w:jc w:val="center"/>
        </w:trPr>
        <w:tc>
          <w:tcPr>
            <w:tcW w:w="0" w:type="auto"/>
            <w:vMerge/>
          </w:tcPr>
          <w:p w:rsidR="00440714" w:rsidRPr="00133F50" w:rsidRDefault="00440714" w:rsidP="00164E11">
            <w:pPr>
              <w:spacing w:line="240" w:lineRule="auto"/>
              <w:rPr>
                <w:sz w:val="18"/>
                <w:szCs w:val="18"/>
              </w:rPr>
            </w:pPr>
          </w:p>
        </w:tc>
        <w:tc>
          <w:tcPr>
            <w:tcW w:w="0" w:type="auto"/>
          </w:tcPr>
          <w:p w:rsidR="00440714" w:rsidRPr="00133F50" w:rsidRDefault="00440714" w:rsidP="00164E11">
            <w:pPr>
              <w:spacing w:line="240" w:lineRule="auto"/>
              <w:jc w:val="center"/>
              <w:rPr>
                <w:sz w:val="18"/>
                <w:szCs w:val="18"/>
              </w:rPr>
            </w:pPr>
            <w:r w:rsidRPr="00133F50">
              <w:rPr>
                <w:sz w:val="18"/>
                <w:szCs w:val="18"/>
              </w:rPr>
              <w:t>3401</w:t>
            </w:r>
          </w:p>
        </w:tc>
        <w:tc>
          <w:tcPr>
            <w:tcW w:w="5671" w:type="dxa"/>
          </w:tcPr>
          <w:p w:rsidR="00440714" w:rsidRPr="00133F50" w:rsidRDefault="00440714" w:rsidP="00164E11">
            <w:pPr>
              <w:spacing w:line="240" w:lineRule="auto"/>
              <w:rPr>
                <w:sz w:val="18"/>
                <w:szCs w:val="18"/>
              </w:rPr>
            </w:pPr>
            <w:r w:rsidRPr="00133F50">
              <w:rPr>
                <w:sz w:val="18"/>
                <w:szCs w:val="18"/>
              </w:rPr>
              <w:t>Амальгама щелочных металлов твердая</w:t>
            </w:r>
          </w:p>
        </w:tc>
        <w:tc>
          <w:tcPr>
            <w:tcW w:w="1691" w:type="dxa"/>
            <w:vMerge/>
            <w:vAlign w:val="center"/>
          </w:tcPr>
          <w:p w:rsidR="00440714" w:rsidRPr="00133F50" w:rsidRDefault="00440714" w:rsidP="00164E11">
            <w:pPr>
              <w:spacing w:line="240" w:lineRule="auto"/>
              <w:jc w:val="center"/>
              <w:rPr>
                <w:sz w:val="18"/>
                <w:szCs w:val="18"/>
              </w:rPr>
            </w:pPr>
          </w:p>
        </w:tc>
      </w:tr>
      <w:tr w:rsidR="00440714" w:rsidRPr="00133F50" w:rsidTr="00164E11">
        <w:trPr>
          <w:cantSplit/>
          <w:trHeight w:val="20"/>
          <w:jc w:val="center"/>
        </w:trPr>
        <w:tc>
          <w:tcPr>
            <w:tcW w:w="0" w:type="auto"/>
            <w:vMerge/>
          </w:tcPr>
          <w:p w:rsidR="00440714" w:rsidRPr="00133F50" w:rsidRDefault="00440714" w:rsidP="00164E11">
            <w:pPr>
              <w:spacing w:line="240" w:lineRule="auto"/>
              <w:rPr>
                <w:sz w:val="18"/>
                <w:szCs w:val="18"/>
              </w:rPr>
            </w:pPr>
          </w:p>
        </w:tc>
        <w:tc>
          <w:tcPr>
            <w:tcW w:w="0" w:type="auto"/>
          </w:tcPr>
          <w:p w:rsidR="00440714" w:rsidRPr="00133F50" w:rsidRDefault="00440714" w:rsidP="00164E11">
            <w:pPr>
              <w:spacing w:line="240" w:lineRule="auto"/>
              <w:jc w:val="center"/>
              <w:rPr>
                <w:sz w:val="18"/>
                <w:szCs w:val="18"/>
              </w:rPr>
            </w:pPr>
            <w:r w:rsidRPr="00133F50">
              <w:rPr>
                <w:sz w:val="18"/>
                <w:szCs w:val="18"/>
              </w:rPr>
              <w:t>3402</w:t>
            </w:r>
          </w:p>
        </w:tc>
        <w:tc>
          <w:tcPr>
            <w:tcW w:w="5671" w:type="dxa"/>
          </w:tcPr>
          <w:p w:rsidR="00440714" w:rsidRPr="00133F50" w:rsidRDefault="00440714" w:rsidP="00164E11">
            <w:pPr>
              <w:spacing w:line="240" w:lineRule="auto"/>
              <w:rPr>
                <w:sz w:val="18"/>
                <w:szCs w:val="18"/>
              </w:rPr>
            </w:pPr>
            <w:r w:rsidRPr="00133F50">
              <w:rPr>
                <w:sz w:val="18"/>
                <w:szCs w:val="18"/>
              </w:rPr>
              <w:t>Амальгама щелочноземельных металлов твердая</w:t>
            </w:r>
          </w:p>
        </w:tc>
        <w:tc>
          <w:tcPr>
            <w:tcW w:w="1691" w:type="dxa"/>
            <w:vMerge/>
            <w:vAlign w:val="center"/>
          </w:tcPr>
          <w:p w:rsidR="00440714" w:rsidRPr="00133F50" w:rsidRDefault="00440714" w:rsidP="00164E11">
            <w:pPr>
              <w:spacing w:line="240" w:lineRule="auto"/>
              <w:jc w:val="center"/>
              <w:rPr>
                <w:sz w:val="18"/>
                <w:szCs w:val="18"/>
              </w:rPr>
            </w:pPr>
          </w:p>
        </w:tc>
      </w:tr>
      <w:tr w:rsidR="00440714" w:rsidRPr="00133F50" w:rsidTr="00164E11">
        <w:trPr>
          <w:cantSplit/>
          <w:trHeight w:val="20"/>
          <w:jc w:val="center"/>
        </w:trPr>
        <w:tc>
          <w:tcPr>
            <w:tcW w:w="0" w:type="auto"/>
            <w:vMerge/>
          </w:tcPr>
          <w:p w:rsidR="00440714" w:rsidRPr="00133F50" w:rsidRDefault="00440714" w:rsidP="00164E11">
            <w:pPr>
              <w:spacing w:line="240" w:lineRule="auto"/>
              <w:rPr>
                <w:sz w:val="18"/>
                <w:szCs w:val="18"/>
              </w:rPr>
            </w:pPr>
          </w:p>
        </w:tc>
        <w:tc>
          <w:tcPr>
            <w:tcW w:w="0" w:type="auto"/>
          </w:tcPr>
          <w:p w:rsidR="00440714" w:rsidRPr="00133F50" w:rsidRDefault="00440714" w:rsidP="00164E11">
            <w:pPr>
              <w:spacing w:line="240" w:lineRule="auto"/>
              <w:jc w:val="center"/>
              <w:rPr>
                <w:sz w:val="18"/>
                <w:szCs w:val="18"/>
              </w:rPr>
            </w:pPr>
            <w:r w:rsidRPr="00133F50">
              <w:rPr>
                <w:sz w:val="18"/>
                <w:szCs w:val="18"/>
              </w:rPr>
              <w:t>3403</w:t>
            </w:r>
          </w:p>
        </w:tc>
        <w:tc>
          <w:tcPr>
            <w:tcW w:w="5671" w:type="dxa"/>
          </w:tcPr>
          <w:p w:rsidR="00440714" w:rsidRPr="00133F50" w:rsidRDefault="00440714" w:rsidP="00164E11">
            <w:pPr>
              <w:spacing w:line="240" w:lineRule="auto"/>
              <w:rPr>
                <w:sz w:val="18"/>
                <w:szCs w:val="18"/>
              </w:rPr>
            </w:pPr>
            <w:r w:rsidRPr="00133F50">
              <w:rPr>
                <w:sz w:val="18"/>
                <w:szCs w:val="18"/>
              </w:rPr>
              <w:t>Калия металлические сплавы твердые</w:t>
            </w:r>
          </w:p>
        </w:tc>
        <w:tc>
          <w:tcPr>
            <w:tcW w:w="1691" w:type="dxa"/>
            <w:vMerge/>
            <w:vAlign w:val="center"/>
          </w:tcPr>
          <w:p w:rsidR="00440714" w:rsidRPr="00133F50" w:rsidRDefault="00440714" w:rsidP="00164E11">
            <w:pPr>
              <w:spacing w:line="240" w:lineRule="auto"/>
              <w:jc w:val="center"/>
              <w:rPr>
                <w:sz w:val="18"/>
                <w:szCs w:val="18"/>
              </w:rPr>
            </w:pPr>
          </w:p>
        </w:tc>
      </w:tr>
      <w:tr w:rsidR="00440714" w:rsidRPr="00133F50" w:rsidTr="00164E11">
        <w:trPr>
          <w:cantSplit/>
          <w:trHeight w:val="20"/>
          <w:jc w:val="center"/>
        </w:trPr>
        <w:tc>
          <w:tcPr>
            <w:tcW w:w="0" w:type="auto"/>
            <w:vMerge/>
          </w:tcPr>
          <w:p w:rsidR="00440714" w:rsidRPr="00133F50" w:rsidRDefault="00440714" w:rsidP="00164E11">
            <w:pPr>
              <w:spacing w:line="240" w:lineRule="auto"/>
              <w:rPr>
                <w:sz w:val="18"/>
                <w:szCs w:val="18"/>
              </w:rPr>
            </w:pPr>
          </w:p>
        </w:tc>
        <w:tc>
          <w:tcPr>
            <w:tcW w:w="0" w:type="auto"/>
          </w:tcPr>
          <w:p w:rsidR="00440714" w:rsidRPr="00133F50" w:rsidRDefault="00440714" w:rsidP="00164E11">
            <w:pPr>
              <w:spacing w:line="240" w:lineRule="auto"/>
              <w:jc w:val="center"/>
              <w:rPr>
                <w:sz w:val="18"/>
                <w:szCs w:val="18"/>
              </w:rPr>
            </w:pPr>
            <w:r w:rsidRPr="00133F50">
              <w:rPr>
                <w:sz w:val="18"/>
                <w:szCs w:val="18"/>
              </w:rPr>
              <w:t>3404</w:t>
            </w:r>
          </w:p>
        </w:tc>
        <w:tc>
          <w:tcPr>
            <w:tcW w:w="5671" w:type="dxa"/>
          </w:tcPr>
          <w:p w:rsidR="00440714" w:rsidRPr="00133F50" w:rsidRDefault="00440714" w:rsidP="00164E11">
            <w:pPr>
              <w:spacing w:line="240" w:lineRule="auto"/>
              <w:rPr>
                <w:sz w:val="18"/>
                <w:szCs w:val="18"/>
              </w:rPr>
            </w:pPr>
            <w:r w:rsidRPr="00133F50">
              <w:rPr>
                <w:sz w:val="18"/>
                <w:szCs w:val="18"/>
              </w:rPr>
              <w:t>Калия-натрия сплавы твердые</w:t>
            </w:r>
          </w:p>
        </w:tc>
        <w:tc>
          <w:tcPr>
            <w:tcW w:w="1691" w:type="dxa"/>
            <w:vMerge/>
            <w:vAlign w:val="center"/>
          </w:tcPr>
          <w:p w:rsidR="00440714" w:rsidRPr="00133F50" w:rsidRDefault="00440714" w:rsidP="00164E11">
            <w:pPr>
              <w:spacing w:line="240" w:lineRule="auto"/>
              <w:jc w:val="center"/>
              <w:rPr>
                <w:sz w:val="18"/>
                <w:szCs w:val="18"/>
              </w:rPr>
            </w:pPr>
          </w:p>
        </w:tc>
      </w:tr>
      <w:tr w:rsidR="00440714" w:rsidRPr="00133F50" w:rsidTr="00164E11">
        <w:trPr>
          <w:cantSplit/>
          <w:trHeight w:val="20"/>
          <w:jc w:val="center"/>
        </w:trPr>
        <w:tc>
          <w:tcPr>
            <w:tcW w:w="0" w:type="auto"/>
            <w:vMerge/>
          </w:tcPr>
          <w:p w:rsidR="00440714" w:rsidRPr="00133F50" w:rsidRDefault="00440714" w:rsidP="00164E11">
            <w:pPr>
              <w:spacing w:line="240" w:lineRule="auto"/>
              <w:rPr>
                <w:sz w:val="18"/>
                <w:szCs w:val="18"/>
              </w:rPr>
            </w:pPr>
          </w:p>
        </w:tc>
        <w:tc>
          <w:tcPr>
            <w:tcW w:w="0" w:type="auto"/>
          </w:tcPr>
          <w:p w:rsidR="00440714" w:rsidRPr="00133F50" w:rsidRDefault="00440714" w:rsidP="00164E11">
            <w:pPr>
              <w:spacing w:line="240" w:lineRule="auto"/>
              <w:jc w:val="center"/>
              <w:rPr>
                <w:sz w:val="18"/>
                <w:szCs w:val="18"/>
              </w:rPr>
            </w:pPr>
            <w:r w:rsidRPr="00133F50">
              <w:rPr>
                <w:sz w:val="18"/>
                <w:szCs w:val="18"/>
              </w:rPr>
              <w:t>3482</w:t>
            </w:r>
          </w:p>
        </w:tc>
        <w:tc>
          <w:tcPr>
            <w:tcW w:w="5671" w:type="dxa"/>
          </w:tcPr>
          <w:p w:rsidR="00440714" w:rsidRPr="00133F50" w:rsidRDefault="00440714" w:rsidP="00164E11">
            <w:pPr>
              <w:spacing w:line="240" w:lineRule="auto"/>
              <w:rPr>
                <w:sz w:val="18"/>
                <w:szCs w:val="18"/>
              </w:rPr>
            </w:pPr>
            <w:r w:rsidRPr="00133F50">
              <w:rPr>
                <w:sz w:val="18"/>
                <w:szCs w:val="18"/>
              </w:rPr>
              <w:t>Металл щелочной диспергированный легковоспламеняющийся</w:t>
            </w:r>
          </w:p>
        </w:tc>
        <w:tc>
          <w:tcPr>
            <w:tcW w:w="1691" w:type="dxa"/>
            <w:vMerge/>
            <w:vAlign w:val="center"/>
          </w:tcPr>
          <w:p w:rsidR="00440714" w:rsidRPr="00133F50" w:rsidRDefault="00440714" w:rsidP="00164E11">
            <w:pPr>
              <w:spacing w:line="240" w:lineRule="auto"/>
              <w:jc w:val="center"/>
              <w:rPr>
                <w:sz w:val="18"/>
                <w:szCs w:val="18"/>
              </w:rPr>
            </w:pPr>
          </w:p>
        </w:tc>
      </w:tr>
      <w:tr w:rsidR="00440714" w:rsidRPr="00133F50" w:rsidTr="00164E11">
        <w:trPr>
          <w:cantSplit/>
          <w:trHeight w:val="20"/>
          <w:jc w:val="center"/>
        </w:trPr>
        <w:tc>
          <w:tcPr>
            <w:tcW w:w="0" w:type="auto"/>
            <w:vMerge/>
          </w:tcPr>
          <w:p w:rsidR="00440714" w:rsidRPr="00133F50" w:rsidRDefault="00440714" w:rsidP="00164E11">
            <w:pPr>
              <w:spacing w:line="240" w:lineRule="auto"/>
              <w:rPr>
                <w:sz w:val="18"/>
                <w:szCs w:val="18"/>
              </w:rPr>
            </w:pPr>
          </w:p>
        </w:tc>
        <w:tc>
          <w:tcPr>
            <w:tcW w:w="0" w:type="auto"/>
          </w:tcPr>
          <w:p w:rsidR="00440714" w:rsidRPr="00133F50" w:rsidRDefault="00440714" w:rsidP="00164E11">
            <w:pPr>
              <w:spacing w:line="240" w:lineRule="auto"/>
              <w:jc w:val="center"/>
              <w:rPr>
                <w:sz w:val="18"/>
                <w:szCs w:val="18"/>
              </w:rPr>
            </w:pPr>
            <w:r w:rsidRPr="00133F50">
              <w:rPr>
                <w:sz w:val="18"/>
                <w:szCs w:val="18"/>
              </w:rPr>
              <w:t>3482</w:t>
            </w:r>
          </w:p>
        </w:tc>
        <w:tc>
          <w:tcPr>
            <w:tcW w:w="5671" w:type="dxa"/>
          </w:tcPr>
          <w:p w:rsidR="00440714" w:rsidRPr="00133F50" w:rsidRDefault="00440714" w:rsidP="00164E11">
            <w:pPr>
              <w:spacing w:line="240" w:lineRule="auto"/>
              <w:rPr>
                <w:sz w:val="18"/>
                <w:szCs w:val="18"/>
              </w:rPr>
            </w:pPr>
            <w:r w:rsidRPr="00133F50">
              <w:rPr>
                <w:sz w:val="18"/>
                <w:szCs w:val="18"/>
              </w:rPr>
              <w:t>Металл щелочноземельный диспергированный легковосплам</w:t>
            </w:r>
            <w:r w:rsidRPr="00133F50">
              <w:rPr>
                <w:sz w:val="18"/>
                <w:szCs w:val="18"/>
              </w:rPr>
              <w:t>е</w:t>
            </w:r>
            <w:r w:rsidRPr="00133F50">
              <w:rPr>
                <w:sz w:val="18"/>
                <w:szCs w:val="18"/>
              </w:rPr>
              <w:t>няющийся</w:t>
            </w:r>
          </w:p>
        </w:tc>
        <w:tc>
          <w:tcPr>
            <w:tcW w:w="1691" w:type="dxa"/>
            <w:vMerge/>
            <w:vAlign w:val="center"/>
          </w:tcPr>
          <w:p w:rsidR="00440714" w:rsidRPr="00133F50" w:rsidRDefault="00440714" w:rsidP="00164E11">
            <w:pPr>
              <w:spacing w:line="240" w:lineRule="auto"/>
              <w:jc w:val="center"/>
              <w:rPr>
                <w:sz w:val="18"/>
                <w:szCs w:val="18"/>
              </w:rPr>
            </w:pPr>
          </w:p>
        </w:tc>
      </w:tr>
      <w:tr w:rsidR="00440714" w:rsidRPr="00133F50" w:rsidTr="00164E11">
        <w:trPr>
          <w:cantSplit/>
          <w:trHeight w:val="20"/>
          <w:jc w:val="center"/>
        </w:trPr>
        <w:tc>
          <w:tcPr>
            <w:tcW w:w="0" w:type="auto"/>
            <w:vMerge/>
          </w:tcPr>
          <w:p w:rsidR="00440714" w:rsidRPr="00133F50" w:rsidRDefault="00440714" w:rsidP="00164E11">
            <w:pPr>
              <w:spacing w:line="240" w:lineRule="auto"/>
              <w:rPr>
                <w:sz w:val="18"/>
                <w:szCs w:val="18"/>
              </w:rPr>
            </w:pPr>
          </w:p>
        </w:tc>
        <w:tc>
          <w:tcPr>
            <w:tcW w:w="0" w:type="auto"/>
          </w:tcPr>
          <w:p w:rsidR="00440714" w:rsidRPr="00133F50" w:rsidRDefault="00440714" w:rsidP="00164E11">
            <w:pPr>
              <w:spacing w:line="240" w:lineRule="auto"/>
              <w:jc w:val="center"/>
              <w:rPr>
                <w:sz w:val="18"/>
                <w:szCs w:val="18"/>
              </w:rPr>
            </w:pPr>
            <w:r w:rsidRPr="00133F50">
              <w:rPr>
                <w:sz w:val="18"/>
                <w:szCs w:val="18"/>
              </w:rPr>
              <w:t>1407</w:t>
            </w:r>
          </w:p>
        </w:tc>
        <w:tc>
          <w:tcPr>
            <w:tcW w:w="5671" w:type="dxa"/>
          </w:tcPr>
          <w:p w:rsidR="00440714" w:rsidRPr="00133F50" w:rsidRDefault="00440714" w:rsidP="00164E11">
            <w:pPr>
              <w:spacing w:line="240" w:lineRule="auto"/>
              <w:rPr>
                <w:sz w:val="18"/>
                <w:szCs w:val="18"/>
              </w:rPr>
            </w:pPr>
            <w:r w:rsidRPr="00133F50">
              <w:rPr>
                <w:sz w:val="18"/>
                <w:szCs w:val="18"/>
              </w:rPr>
              <w:t>Цезий</w:t>
            </w:r>
          </w:p>
        </w:tc>
        <w:tc>
          <w:tcPr>
            <w:tcW w:w="1691" w:type="dxa"/>
            <w:vMerge w:val="restart"/>
            <w:vAlign w:val="center"/>
          </w:tcPr>
          <w:p w:rsidR="00440714" w:rsidRPr="00133F50" w:rsidRDefault="00440714" w:rsidP="00164E11">
            <w:pPr>
              <w:spacing w:line="240" w:lineRule="auto"/>
              <w:jc w:val="center"/>
              <w:rPr>
                <w:sz w:val="18"/>
                <w:szCs w:val="18"/>
              </w:rPr>
            </w:pPr>
            <w:r w:rsidRPr="00133F50">
              <w:rPr>
                <w:sz w:val="18"/>
                <w:szCs w:val="18"/>
              </w:rPr>
              <w:t>L10CH</w:t>
            </w:r>
          </w:p>
        </w:tc>
      </w:tr>
      <w:tr w:rsidR="00440714" w:rsidRPr="00133F50" w:rsidTr="00164E11">
        <w:trPr>
          <w:cantSplit/>
          <w:trHeight w:val="20"/>
          <w:jc w:val="center"/>
        </w:trPr>
        <w:tc>
          <w:tcPr>
            <w:tcW w:w="0" w:type="auto"/>
            <w:vMerge/>
          </w:tcPr>
          <w:p w:rsidR="00440714" w:rsidRPr="00133F50" w:rsidRDefault="00440714" w:rsidP="00164E11">
            <w:pPr>
              <w:spacing w:line="240" w:lineRule="auto"/>
              <w:rPr>
                <w:sz w:val="18"/>
                <w:szCs w:val="18"/>
              </w:rPr>
            </w:pPr>
          </w:p>
        </w:tc>
        <w:tc>
          <w:tcPr>
            <w:tcW w:w="0" w:type="auto"/>
          </w:tcPr>
          <w:p w:rsidR="00440714" w:rsidRPr="00133F50" w:rsidRDefault="00440714" w:rsidP="00164E11">
            <w:pPr>
              <w:spacing w:line="240" w:lineRule="auto"/>
              <w:jc w:val="center"/>
              <w:rPr>
                <w:sz w:val="18"/>
                <w:szCs w:val="18"/>
              </w:rPr>
            </w:pPr>
            <w:r w:rsidRPr="00133F50">
              <w:rPr>
                <w:sz w:val="18"/>
                <w:szCs w:val="18"/>
              </w:rPr>
              <w:t>1423</w:t>
            </w:r>
          </w:p>
        </w:tc>
        <w:tc>
          <w:tcPr>
            <w:tcW w:w="5671" w:type="dxa"/>
          </w:tcPr>
          <w:p w:rsidR="00440714" w:rsidRPr="00133F50" w:rsidRDefault="00440714" w:rsidP="00164E11">
            <w:pPr>
              <w:spacing w:line="240" w:lineRule="auto"/>
              <w:rPr>
                <w:sz w:val="18"/>
                <w:szCs w:val="18"/>
              </w:rPr>
            </w:pPr>
            <w:r w:rsidRPr="00133F50">
              <w:rPr>
                <w:sz w:val="18"/>
                <w:szCs w:val="18"/>
              </w:rPr>
              <w:t>Рубидий</w:t>
            </w:r>
          </w:p>
        </w:tc>
        <w:tc>
          <w:tcPr>
            <w:tcW w:w="1691" w:type="dxa"/>
            <w:vMerge/>
            <w:vAlign w:val="center"/>
          </w:tcPr>
          <w:p w:rsidR="00440714" w:rsidRPr="00133F50" w:rsidRDefault="00440714" w:rsidP="00164E11">
            <w:pPr>
              <w:spacing w:line="240" w:lineRule="auto"/>
              <w:jc w:val="center"/>
              <w:rPr>
                <w:sz w:val="18"/>
                <w:szCs w:val="18"/>
              </w:rPr>
            </w:pPr>
          </w:p>
        </w:tc>
      </w:tr>
      <w:tr w:rsidR="00440714" w:rsidRPr="00133F50" w:rsidTr="00164E11">
        <w:trPr>
          <w:cantSplit/>
          <w:trHeight w:val="20"/>
          <w:jc w:val="center"/>
        </w:trPr>
        <w:tc>
          <w:tcPr>
            <w:tcW w:w="0" w:type="auto"/>
            <w:vMerge/>
          </w:tcPr>
          <w:p w:rsidR="00440714" w:rsidRPr="00133F50" w:rsidRDefault="00440714" w:rsidP="00164E11">
            <w:pPr>
              <w:spacing w:line="240" w:lineRule="auto"/>
              <w:rPr>
                <w:sz w:val="18"/>
                <w:szCs w:val="18"/>
              </w:rPr>
            </w:pPr>
          </w:p>
        </w:tc>
        <w:tc>
          <w:tcPr>
            <w:tcW w:w="0" w:type="auto"/>
          </w:tcPr>
          <w:p w:rsidR="00440714" w:rsidRPr="00133F50" w:rsidRDefault="00440714" w:rsidP="00164E11">
            <w:pPr>
              <w:spacing w:line="240" w:lineRule="auto"/>
              <w:jc w:val="center"/>
              <w:rPr>
                <w:sz w:val="18"/>
                <w:szCs w:val="18"/>
              </w:rPr>
            </w:pPr>
            <w:r w:rsidRPr="00133F50">
              <w:rPr>
                <w:sz w:val="18"/>
                <w:szCs w:val="18"/>
              </w:rPr>
              <w:t>1402</w:t>
            </w:r>
          </w:p>
        </w:tc>
        <w:tc>
          <w:tcPr>
            <w:tcW w:w="5671" w:type="dxa"/>
          </w:tcPr>
          <w:p w:rsidR="00440714" w:rsidRPr="00133F50" w:rsidRDefault="00440714" w:rsidP="00164E11">
            <w:pPr>
              <w:spacing w:line="240" w:lineRule="auto"/>
              <w:rPr>
                <w:sz w:val="18"/>
                <w:szCs w:val="18"/>
              </w:rPr>
            </w:pPr>
            <w:r w:rsidRPr="00133F50">
              <w:rPr>
                <w:sz w:val="18"/>
                <w:szCs w:val="18"/>
              </w:rPr>
              <w:t>Кальция карбид, группа упаковки I</w:t>
            </w:r>
          </w:p>
        </w:tc>
        <w:tc>
          <w:tcPr>
            <w:tcW w:w="1691" w:type="dxa"/>
            <w:vAlign w:val="center"/>
          </w:tcPr>
          <w:p w:rsidR="00440714" w:rsidRPr="00133F50" w:rsidRDefault="00440714" w:rsidP="00164E11">
            <w:pPr>
              <w:spacing w:line="240" w:lineRule="auto"/>
              <w:jc w:val="center"/>
              <w:rPr>
                <w:sz w:val="18"/>
                <w:szCs w:val="18"/>
              </w:rPr>
            </w:pPr>
            <w:r w:rsidRPr="00133F50">
              <w:rPr>
                <w:sz w:val="18"/>
                <w:szCs w:val="18"/>
              </w:rPr>
              <w:t>S2.65AN</w:t>
            </w:r>
          </w:p>
        </w:tc>
      </w:tr>
      <w:tr w:rsidR="00440714" w:rsidRPr="00133F50" w:rsidTr="00164E11">
        <w:trPr>
          <w:cantSplit/>
          <w:trHeight w:val="20"/>
          <w:jc w:val="center"/>
        </w:trPr>
        <w:tc>
          <w:tcPr>
            <w:tcW w:w="0" w:type="auto"/>
            <w:vMerge w:val="restart"/>
          </w:tcPr>
          <w:p w:rsidR="00440714" w:rsidRPr="00133F50" w:rsidRDefault="00440714" w:rsidP="00853877">
            <w:pPr>
              <w:spacing w:line="200" w:lineRule="exact"/>
              <w:rPr>
                <w:sz w:val="18"/>
                <w:szCs w:val="18"/>
              </w:rPr>
            </w:pPr>
            <w:r w:rsidRPr="00133F50">
              <w:rPr>
                <w:sz w:val="18"/>
                <w:szCs w:val="18"/>
              </w:rPr>
              <w:t>5.1</w:t>
            </w:r>
          </w:p>
        </w:tc>
        <w:tc>
          <w:tcPr>
            <w:tcW w:w="0" w:type="auto"/>
          </w:tcPr>
          <w:p w:rsidR="00440714" w:rsidRPr="00133F50" w:rsidRDefault="00440714" w:rsidP="00853877">
            <w:pPr>
              <w:spacing w:line="200" w:lineRule="exact"/>
              <w:jc w:val="center"/>
              <w:rPr>
                <w:sz w:val="18"/>
                <w:szCs w:val="18"/>
              </w:rPr>
            </w:pPr>
            <w:r w:rsidRPr="00133F50">
              <w:rPr>
                <w:sz w:val="18"/>
                <w:szCs w:val="18"/>
              </w:rPr>
              <w:t>1873</w:t>
            </w:r>
          </w:p>
        </w:tc>
        <w:tc>
          <w:tcPr>
            <w:tcW w:w="5671" w:type="dxa"/>
          </w:tcPr>
          <w:p w:rsidR="00440714" w:rsidRPr="00133F50" w:rsidRDefault="00440714" w:rsidP="00853877">
            <w:pPr>
              <w:spacing w:line="200" w:lineRule="exact"/>
              <w:rPr>
                <w:sz w:val="18"/>
                <w:szCs w:val="18"/>
              </w:rPr>
            </w:pPr>
            <w:r w:rsidRPr="00133F50">
              <w:rPr>
                <w:sz w:val="18"/>
                <w:szCs w:val="18"/>
              </w:rPr>
              <w:t>Кислота хлорная с массовой долей кислоты более 50%, но не более 72%</w:t>
            </w:r>
          </w:p>
        </w:tc>
        <w:tc>
          <w:tcPr>
            <w:tcW w:w="1691" w:type="dxa"/>
            <w:vAlign w:val="center"/>
          </w:tcPr>
          <w:p w:rsidR="00440714" w:rsidRPr="00133F50" w:rsidRDefault="00440714" w:rsidP="00853877">
            <w:pPr>
              <w:spacing w:line="200" w:lineRule="exact"/>
              <w:jc w:val="center"/>
              <w:rPr>
                <w:sz w:val="18"/>
                <w:szCs w:val="18"/>
              </w:rPr>
            </w:pPr>
            <w:r w:rsidRPr="00133F50">
              <w:rPr>
                <w:sz w:val="18"/>
                <w:szCs w:val="18"/>
              </w:rPr>
              <w:t>L4DN</w:t>
            </w:r>
          </w:p>
        </w:tc>
      </w:tr>
      <w:tr w:rsidR="00440714" w:rsidRPr="00133F50" w:rsidTr="00164E11">
        <w:trPr>
          <w:cantSplit/>
          <w:trHeight w:val="20"/>
          <w:jc w:val="center"/>
        </w:trPr>
        <w:tc>
          <w:tcPr>
            <w:tcW w:w="0" w:type="auto"/>
            <w:vMerge/>
          </w:tcPr>
          <w:p w:rsidR="00440714" w:rsidRPr="00133F50" w:rsidRDefault="00440714" w:rsidP="00853877">
            <w:pPr>
              <w:spacing w:line="200" w:lineRule="exact"/>
              <w:rPr>
                <w:sz w:val="18"/>
                <w:szCs w:val="18"/>
              </w:rPr>
            </w:pPr>
          </w:p>
        </w:tc>
        <w:tc>
          <w:tcPr>
            <w:tcW w:w="0" w:type="auto"/>
          </w:tcPr>
          <w:p w:rsidR="00440714" w:rsidRPr="00133F50" w:rsidRDefault="00440714" w:rsidP="00853877">
            <w:pPr>
              <w:spacing w:line="200" w:lineRule="exact"/>
              <w:jc w:val="center"/>
              <w:rPr>
                <w:sz w:val="18"/>
                <w:szCs w:val="18"/>
              </w:rPr>
            </w:pPr>
            <w:r w:rsidRPr="00133F50">
              <w:rPr>
                <w:sz w:val="18"/>
                <w:szCs w:val="18"/>
              </w:rPr>
              <w:t>2015</w:t>
            </w:r>
          </w:p>
        </w:tc>
        <w:tc>
          <w:tcPr>
            <w:tcW w:w="5671" w:type="dxa"/>
          </w:tcPr>
          <w:p w:rsidR="00440714" w:rsidRPr="00133F50" w:rsidRDefault="00440714" w:rsidP="00853877">
            <w:pPr>
              <w:spacing w:line="200" w:lineRule="exact"/>
              <w:rPr>
                <w:sz w:val="18"/>
                <w:szCs w:val="18"/>
              </w:rPr>
            </w:pPr>
            <w:r w:rsidRPr="00133F50">
              <w:rPr>
                <w:sz w:val="18"/>
                <w:szCs w:val="18"/>
              </w:rPr>
              <w:t>Водорода пероксида водный раствор стабилизированный, соде</w:t>
            </w:r>
            <w:r w:rsidRPr="00133F50">
              <w:rPr>
                <w:sz w:val="18"/>
                <w:szCs w:val="18"/>
              </w:rPr>
              <w:t>р</w:t>
            </w:r>
            <w:r w:rsidRPr="00133F50">
              <w:rPr>
                <w:sz w:val="18"/>
                <w:szCs w:val="18"/>
              </w:rPr>
              <w:t>жащий более 70% пероксида водорода</w:t>
            </w:r>
          </w:p>
        </w:tc>
        <w:tc>
          <w:tcPr>
            <w:tcW w:w="1691" w:type="dxa"/>
            <w:vAlign w:val="center"/>
          </w:tcPr>
          <w:p w:rsidR="00440714" w:rsidRPr="00133F50" w:rsidRDefault="00440714" w:rsidP="00853877">
            <w:pPr>
              <w:spacing w:line="200" w:lineRule="exact"/>
              <w:jc w:val="center"/>
              <w:rPr>
                <w:sz w:val="18"/>
                <w:szCs w:val="18"/>
              </w:rPr>
            </w:pPr>
            <w:r w:rsidRPr="00133F50">
              <w:rPr>
                <w:sz w:val="18"/>
                <w:szCs w:val="18"/>
              </w:rPr>
              <w:t>L4DV</w:t>
            </w:r>
          </w:p>
        </w:tc>
      </w:tr>
      <w:tr w:rsidR="00440714" w:rsidRPr="00133F50" w:rsidTr="00164E11">
        <w:trPr>
          <w:cantSplit/>
          <w:trHeight w:val="20"/>
          <w:jc w:val="center"/>
        </w:trPr>
        <w:tc>
          <w:tcPr>
            <w:tcW w:w="0" w:type="auto"/>
            <w:vMerge/>
          </w:tcPr>
          <w:p w:rsidR="00440714" w:rsidRPr="00133F50" w:rsidRDefault="00440714" w:rsidP="00853877">
            <w:pPr>
              <w:spacing w:line="200" w:lineRule="exact"/>
              <w:rPr>
                <w:sz w:val="18"/>
                <w:szCs w:val="18"/>
              </w:rPr>
            </w:pPr>
          </w:p>
        </w:tc>
        <w:tc>
          <w:tcPr>
            <w:tcW w:w="0" w:type="auto"/>
          </w:tcPr>
          <w:p w:rsidR="00440714" w:rsidRPr="00133F50" w:rsidRDefault="00440714" w:rsidP="00853877">
            <w:pPr>
              <w:spacing w:line="200" w:lineRule="exact"/>
              <w:jc w:val="center"/>
              <w:rPr>
                <w:sz w:val="18"/>
                <w:szCs w:val="18"/>
              </w:rPr>
            </w:pPr>
            <w:r w:rsidRPr="00133F50">
              <w:rPr>
                <w:sz w:val="18"/>
                <w:szCs w:val="18"/>
              </w:rPr>
              <w:t>2014</w:t>
            </w:r>
          </w:p>
        </w:tc>
        <w:tc>
          <w:tcPr>
            <w:tcW w:w="5671" w:type="dxa"/>
          </w:tcPr>
          <w:p w:rsidR="00440714" w:rsidRPr="00133F50" w:rsidRDefault="00440714" w:rsidP="00853877">
            <w:pPr>
              <w:spacing w:line="200" w:lineRule="exact"/>
              <w:rPr>
                <w:sz w:val="18"/>
                <w:szCs w:val="18"/>
              </w:rPr>
            </w:pPr>
            <w:r w:rsidRPr="00133F50">
              <w:rPr>
                <w:sz w:val="18"/>
                <w:szCs w:val="18"/>
              </w:rPr>
              <w:t>Водорода пероксида водный раствор, содержащий не менее 20%, но не более 60% пероксида водорода</w:t>
            </w:r>
          </w:p>
        </w:tc>
        <w:tc>
          <w:tcPr>
            <w:tcW w:w="1691" w:type="dxa"/>
            <w:vMerge w:val="restart"/>
            <w:vAlign w:val="center"/>
          </w:tcPr>
          <w:p w:rsidR="00440714" w:rsidRPr="00133F50" w:rsidRDefault="00440714" w:rsidP="00853877">
            <w:pPr>
              <w:spacing w:line="200" w:lineRule="exact"/>
              <w:jc w:val="center"/>
              <w:rPr>
                <w:sz w:val="18"/>
                <w:szCs w:val="18"/>
                <w:highlight w:val="green"/>
              </w:rPr>
            </w:pPr>
            <w:r w:rsidRPr="00133F50">
              <w:rPr>
                <w:sz w:val="18"/>
                <w:szCs w:val="18"/>
              </w:rPr>
              <w:t>L4BV</w:t>
            </w:r>
          </w:p>
        </w:tc>
      </w:tr>
      <w:tr w:rsidR="00440714" w:rsidRPr="00133F50" w:rsidTr="00164E11">
        <w:trPr>
          <w:cantSplit/>
          <w:trHeight w:val="20"/>
          <w:jc w:val="center"/>
        </w:trPr>
        <w:tc>
          <w:tcPr>
            <w:tcW w:w="0" w:type="auto"/>
            <w:vMerge/>
          </w:tcPr>
          <w:p w:rsidR="00440714" w:rsidRPr="00133F50" w:rsidRDefault="00440714" w:rsidP="00853877">
            <w:pPr>
              <w:spacing w:line="200" w:lineRule="exact"/>
              <w:rPr>
                <w:sz w:val="18"/>
                <w:szCs w:val="18"/>
              </w:rPr>
            </w:pPr>
          </w:p>
        </w:tc>
        <w:tc>
          <w:tcPr>
            <w:tcW w:w="0" w:type="auto"/>
          </w:tcPr>
          <w:p w:rsidR="00440714" w:rsidRPr="00133F50" w:rsidRDefault="00440714" w:rsidP="00853877">
            <w:pPr>
              <w:spacing w:line="200" w:lineRule="exact"/>
              <w:jc w:val="center"/>
              <w:rPr>
                <w:sz w:val="18"/>
                <w:szCs w:val="18"/>
              </w:rPr>
            </w:pPr>
            <w:r w:rsidRPr="00133F50">
              <w:rPr>
                <w:sz w:val="18"/>
                <w:szCs w:val="18"/>
              </w:rPr>
              <w:t>2015</w:t>
            </w:r>
          </w:p>
        </w:tc>
        <w:tc>
          <w:tcPr>
            <w:tcW w:w="5671" w:type="dxa"/>
          </w:tcPr>
          <w:p w:rsidR="00440714" w:rsidRPr="00133F50" w:rsidRDefault="00440714" w:rsidP="00853877">
            <w:pPr>
              <w:spacing w:line="200" w:lineRule="exact"/>
              <w:rPr>
                <w:sz w:val="18"/>
                <w:szCs w:val="18"/>
              </w:rPr>
            </w:pPr>
            <w:r w:rsidRPr="00133F50">
              <w:rPr>
                <w:sz w:val="18"/>
                <w:szCs w:val="18"/>
              </w:rPr>
              <w:t>Водорода пероксида водный раствор стабилизированный, соде</w:t>
            </w:r>
            <w:r w:rsidRPr="00133F50">
              <w:rPr>
                <w:sz w:val="18"/>
                <w:szCs w:val="18"/>
              </w:rPr>
              <w:t>р</w:t>
            </w:r>
            <w:r w:rsidRPr="00133F50">
              <w:rPr>
                <w:sz w:val="18"/>
                <w:szCs w:val="18"/>
              </w:rPr>
              <w:t>жащий более 60% и не более 70% пероксида водорода</w:t>
            </w:r>
          </w:p>
        </w:tc>
        <w:tc>
          <w:tcPr>
            <w:tcW w:w="1691" w:type="dxa"/>
            <w:vMerge/>
            <w:vAlign w:val="center"/>
          </w:tcPr>
          <w:p w:rsidR="00440714" w:rsidRPr="00133F50" w:rsidRDefault="00440714" w:rsidP="00853877">
            <w:pPr>
              <w:spacing w:line="200" w:lineRule="exact"/>
              <w:jc w:val="center"/>
              <w:rPr>
                <w:sz w:val="18"/>
                <w:szCs w:val="18"/>
              </w:rPr>
            </w:pPr>
          </w:p>
        </w:tc>
      </w:tr>
      <w:tr w:rsidR="00440714" w:rsidRPr="00133F50" w:rsidTr="00164E11">
        <w:trPr>
          <w:cantSplit/>
          <w:trHeight w:val="20"/>
          <w:jc w:val="center"/>
        </w:trPr>
        <w:tc>
          <w:tcPr>
            <w:tcW w:w="0" w:type="auto"/>
            <w:vMerge/>
          </w:tcPr>
          <w:p w:rsidR="00440714" w:rsidRPr="00133F50" w:rsidRDefault="00440714" w:rsidP="00853877">
            <w:pPr>
              <w:spacing w:line="200" w:lineRule="exact"/>
              <w:rPr>
                <w:spacing w:val="0"/>
                <w:w w:val="100"/>
                <w:kern w:val="0"/>
                <w:sz w:val="18"/>
                <w:szCs w:val="18"/>
                <w:rPrChange w:id="4" w:author="Ekaterina" w:date="2016-07-04T09:59:00Z">
                  <w:rPr/>
                </w:rPrChange>
              </w:rPr>
            </w:pPr>
          </w:p>
        </w:tc>
        <w:tc>
          <w:tcPr>
            <w:tcW w:w="0" w:type="auto"/>
          </w:tcPr>
          <w:p w:rsidR="00440714" w:rsidRPr="00133F50" w:rsidRDefault="00440714" w:rsidP="00853877">
            <w:pPr>
              <w:spacing w:line="200" w:lineRule="exact"/>
              <w:jc w:val="center"/>
              <w:rPr>
                <w:sz w:val="18"/>
                <w:szCs w:val="18"/>
              </w:rPr>
            </w:pPr>
            <w:r w:rsidRPr="00133F50">
              <w:rPr>
                <w:sz w:val="18"/>
                <w:szCs w:val="18"/>
              </w:rPr>
              <w:t>2426</w:t>
            </w:r>
          </w:p>
        </w:tc>
        <w:tc>
          <w:tcPr>
            <w:tcW w:w="5671" w:type="dxa"/>
          </w:tcPr>
          <w:p w:rsidR="00440714" w:rsidRPr="00133F50" w:rsidRDefault="00440714" w:rsidP="00853877">
            <w:pPr>
              <w:spacing w:line="200" w:lineRule="exact"/>
              <w:rPr>
                <w:sz w:val="18"/>
                <w:szCs w:val="18"/>
              </w:rPr>
            </w:pPr>
            <w:r w:rsidRPr="00133F50">
              <w:rPr>
                <w:sz w:val="18"/>
                <w:szCs w:val="18"/>
              </w:rPr>
              <w:t>Аммония нитрат, жидкий, горячий концентрированный раствор, концентрации более 80%, но не более 93%</w:t>
            </w:r>
          </w:p>
        </w:tc>
        <w:tc>
          <w:tcPr>
            <w:tcW w:w="1691" w:type="dxa"/>
            <w:vMerge/>
            <w:vAlign w:val="center"/>
          </w:tcPr>
          <w:p w:rsidR="00440714" w:rsidRPr="00133F50" w:rsidRDefault="00440714" w:rsidP="00853877">
            <w:pPr>
              <w:spacing w:line="200" w:lineRule="exact"/>
              <w:jc w:val="center"/>
              <w:rPr>
                <w:sz w:val="18"/>
                <w:szCs w:val="18"/>
              </w:rPr>
            </w:pPr>
          </w:p>
        </w:tc>
      </w:tr>
      <w:tr w:rsidR="00440714" w:rsidRPr="00133F50" w:rsidTr="00164E11">
        <w:trPr>
          <w:cantSplit/>
          <w:trHeight w:val="20"/>
          <w:jc w:val="center"/>
        </w:trPr>
        <w:tc>
          <w:tcPr>
            <w:tcW w:w="0" w:type="auto"/>
            <w:vMerge/>
          </w:tcPr>
          <w:p w:rsidR="00440714" w:rsidRPr="00133F50" w:rsidRDefault="00440714" w:rsidP="00853877">
            <w:pPr>
              <w:spacing w:line="200" w:lineRule="exact"/>
              <w:rPr>
                <w:sz w:val="18"/>
                <w:szCs w:val="18"/>
              </w:rPr>
            </w:pPr>
          </w:p>
        </w:tc>
        <w:tc>
          <w:tcPr>
            <w:tcW w:w="0" w:type="auto"/>
          </w:tcPr>
          <w:p w:rsidR="00440714" w:rsidRPr="00133F50" w:rsidRDefault="00440714" w:rsidP="00853877">
            <w:pPr>
              <w:spacing w:line="200" w:lineRule="exact"/>
              <w:jc w:val="center"/>
              <w:rPr>
                <w:sz w:val="18"/>
                <w:szCs w:val="18"/>
              </w:rPr>
            </w:pPr>
            <w:r w:rsidRPr="00133F50">
              <w:rPr>
                <w:sz w:val="18"/>
                <w:szCs w:val="18"/>
              </w:rPr>
              <w:t>3149</w:t>
            </w:r>
          </w:p>
        </w:tc>
        <w:tc>
          <w:tcPr>
            <w:tcW w:w="5671" w:type="dxa"/>
          </w:tcPr>
          <w:p w:rsidR="00440714" w:rsidRPr="00133F50" w:rsidRDefault="00440714" w:rsidP="00853877">
            <w:pPr>
              <w:spacing w:line="200" w:lineRule="exact"/>
              <w:rPr>
                <w:sz w:val="18"/>
                <w:szCs w:val="18"/>
              </w:rPr>
            </w:pPr>
            <w:r w:rsidRPr="00133F50">
              <w:rPr>
                <w:sz w:val="18"/>
                <w:szCs w:val="18"/>
              </w:rPr>
              <w:t xml:space="preserve">Водорода пероксида и кислоты </w:t>
            </w:r>
            <w:proofErr w:type="spellStart"/>
            <w:r w:rsidRPr="00133F50">
              <w:rPr>
                <w:sz w:val="18"/>
                <w:szCs w:val="18"/>
              </w:rPr>
              <w:t>надуксусной</w:t>
            </w:r>
            <w:proofErr w:type="spellEnd"/>
            <w:r w:rsidRPr="00133F50">
              <w:rPr>
                <w:sz w:val="18"/>
                <w:szCs w:val="18"/>
              </w:rPr>
              <w:t xml:space="preserve"> смесь стабилизир</w:t>
            </w:r>
            <w:r w:rsidRPr="00133F50">
              <w:rPr>
                <w:sz w:val="18"/>
                <w:szCs w:val="18"/>
              </w:rPr>
              <w:t>о</w:t>
            </w:r>
            <w:r w:rsidRPr="00133F50">
              <w:rPr>
                <w:sz w:val="18"/>
                <w:szCs w:val="18"/>
              </w:rPr>
              <w:t>ванная</w:t>
            </w:r>
          </w:p>
        </w:tc>
        <w:tc>
          <w:tcPr>
            <w:tcW w:w="1691" w:type="dxa"/>
            <w:vMerge/>
            <w:vAlign w:val="center"/>
          </w:tcPr>
          <w:p w:rsidR="00440714" w:rsidRPr="00133F50" w:rsidRDefault="00440714" w:rsidP="00853877">
            <w:pPr>
              <w:spacing w:line="200" w:lineRule="exact"/>
              <w:jc w:val="center"/>
              <w:rPr>
                <w:sz w:val="18"/>
                <w:szCs w:val="18"/>
              </w:rPr>
            </w:pPr>
          </w:p>
        </w:tc>
      </w:tr>
      <w:tr w:rsidR="00440714" w:rsidRPr="00133F50" w:rsidTr="00164E11">
        <w:trPr>
          <w:cantSplit/>
          <w:trHeight w:val="20"/>
          <w:jc w:val="center"/>
        </w:trPr>
        <w:tc>
          <w:tcPr>
            <w:tcW w:w="0" w:type="auto"/>
            <w:vMerge/>
          </w:tcPr>
          <w:p w:rsidR="00440714" w:rsidRPr="00133F50" w:rsidRDefault="00440714" w:rsidP="00853877">
            <w:pPr>
              <w:spacing w:line="200" w:lineRule="exact"/>
              <w:rPr>
                <w:sz w:val="18"/>
                <w:szCs w:val="18"/>
              </w:rPr>
            </w:pPr>
          </w:p>
        </w:tc>
        <w:tc>
          <w:tcPr>
            <w:tcW w:w="0" w:type="auto"/>
          </w:tcPr>
          <w:p w:rsidR="00440714" w:rsidRPr="00133F50" w:rsidRDefault="00440714" w:rsidP="00853877">
            <w:pPr>
              <w:spacing w:line="200" w:lineRule="exact"/>
              <w:jc w:val="center"/>
              <w:rPr>
                <w:sz w:val="18"/>
                <w:szCs w:val="18"/>
              </w:rPr>
            </w:pPr>
            <w:r w:rsidRPr="00133F50">
              <w:rPr>
                <w:sz w:val="18"/>
                <w:szCs w:val="18"/>
              </w:rPr>
              <w:t>3375</w:t>
            </w:r>
          </w:p>
        </w:tc>
        <w:tc>
          <w:tcPr>
            <w:tcW w:w="5671" w:type="dxa"/>
          </w:tcPr>
          <w:p w:rsidR="00440714" w:rsidRPr="00133F50" w:rsidRDefault="00440714" w:rsidP="00853877">
            <w:pPr>
              <w:spacing w:line="200" w:lineRule="exact"/>
              <w:rPr>
                <w:sz w:val="18"/>
                <w:szCs w:val="18"/>
              </w:rPr>
            </w:pPr>
            <w:r w:rsidRPr="00133F50">
              <w:rPr>
                <w:sz w:val="18"/>
                <w:szCs w:val="18"/>
              </w:rPr>
              <w:t>Аммония нитрата эмульсия суспензия или гель, промежуточное сырье для бризантных взрывчатых веществ, жидкое</w:t>
            </w:r>
          </w:p>
        </w:tc>
        <w:tc>
          <w:tcPr>
            <w:tcW w:w="1691" w:type="dxa"/>
            <w:vAlign w:val="center"/>
          </w:tcPr>
          <w:p w:rsidR="00440714" w:rsidRPr="00133F50" w:rsidRDefault="00440714" w:rsidP="00853877">
            <w:pPr>
              <w:spacing w:line="200" w:lineRule="exact"/>
              <w:jc w:val="center"/>
              <w:rPr>
                <w:sz w:val="18"/>
                <w:szCs w:val="18"/>
              </w:rPr>
            </w:pPr>
            <w:r w:rsidRPr="00133F50">
              <w:rPr>
                <w:sz w:val="18"/>
                <w:szCs w:val="18"/>
              </w:rPr>
              <w:t>LGAV</w:t>
            </w:r>
          </w:p>
        </w:tc>
      </w:tr>
      <w:tr w:rsidR="00440714" w:rsidRPr="00133F50" w:rsidTr="00164E11">
        <w:trPr>
          <w:cantSplit/>
          <w:trHeight w:val="20"/>
          <w:jc w:val="center"/>
        </w:trPr>
        <w:tc>
          <w:tcPr>
            <w:tcW w:w="0" w:type="auto"/>
            <w:vMerge/>
            <w:tcBorders>
              <w:bottom w:val="single" w:sz="4" w:space="0" w:color="auto"/>
            </w:tcBorders>
          </w:tcPr>
          <w:p w:rsidR="00440714" w:rsidRPr="00133F50" w:rsidRDefault="00440714" w:rsidP="00853877">
            <w:pPr>
              <w:spacing w:line="200" w:lineRule="exact"/>
              <w:rPr>
                <w:sz w:val="18"/>
                <w:szCs w:val="18"/>
              </w:rPr>
            </w:pPr>
          </w:p>
        </w:tc>
        <w:tc>
          <w:tcPr>
            <w:tcW w:w="0" w:type="auto"/>
          </w:tcPr>
          <w:p w:rsidR="00440714" w:rsidRPr="00133F50" w:rsidRDefault="00440714" w:rsidP="00853877">
            <w:pPr>
              <w:spacing w:line="200" w:lineRule="exact"/>
              <w:jc w:val="center"/>
              <w:rPr>
                <w:sz w:val="18"/>
                <w:szCs w:val="18"/>
              </w:rPr>
            </w:pPr>
            <w:r w:rsidRPr="00133F50">
              <w:rPr>
                <w:sz w:val="18"/>
                <w:szCs w:val="18"/>
              </w:rPr>
              <w:t>3375</w:t>
            </w:r>
          </w:p>
        </w:tc>
        <w:tc>
          <w:tcPr>
            <w:tcW w:w="5671" w:type="dxa"/>
          </w:tcPr>
          <w:p w:rsidR="00440714" w:rsidRPr="00133F50" w:rsidRDefault="00440714" w:rsidP="00853877">
            <w:pPr>
              <w:spacing w:line="200" w:lineRule="exact"/>
              <w:rPr>
                <w:sz w:val="18"/>
                <w:szCs w:val="18"/>
              </w:rPr>
            </w:pPr>
            <w:r w:rsidRPr="00133F50">
              <w:rPr>
                <w:sz w:val="18"/>
                <w:szCs w:val="18"/>
              </w:rPr>
              <w:t>Аммония нитрата эмульсия, суспензия или гель, промежуточное сырье для бризантных взрывчатых веществ, твердое</w:t>
            </w:r>
          </w:p>
        </w:tc>
        <w:tc>
          <w:tcPr>
            <w:tcW w:w="1691" w:type="dxa"/>
            <w:vAlign w:val="center"/>
          </w:tcPr>
          <w:p w:rsidR="00440714" w:rsidRPr="00133F50" w:rsidRDefault="00440714" w:rsidP="00853877">
            <w:pPr>
              <w:spacing w:line="200" w:lineRule="exact"/>
              <w:jc w:val="center"/>
              <w:rPr>
                <w:sz w:val="18"/>
                <w:szCs w:val="18"/>
              </w:rPr>
            </w:pPr>
            <w:r w:rsidRPr="00133F50">
              <w:rPr>
                <w:sz w:val="18"/>
                <w:szCs w:val="18"/>
              </w:rPr>
              <w:t>SGAV</w:t>
            </w:r>
          </w:p>
        </w:tc>
      </w:tr>
      <w:tr w:rsidR="00440714" w:rsidRPr="00133F50" w:rsidTr="00164E11">
        <w:trPr>
          <w:cantSplit/>
          <w:trHeight w:val="20"/>
          <w:jc w:val="center"/>
        </w:trPr>
        <w:tc>
          <w:tcPr>
            <w:tcW w:w="0" w:type="auto"/>
            <w:vMerge w:val="restart"/>
            <w:tcBorders>
              <w:bottom w:val="nil"/>
            </w:tcBorders>
          </w:tcPr>
          <w:p w:rsidR="00440714" w:rsidRPr="00133F50" w:rsidRDefault="00440714" w:rsidP="00853877">
            <w:pPr>
              <w:spacing w:line="200" w:lineRule="exact"/>
              <w:rPr>
                <w:sz w:val="18"/>
                <w:szCs w:val="18"/>
              </w:rPr>
            </w:pPr>
            <w:r w:rsidRPr="00133F50">
              <w:rPr>
                <w:sz w:val="18"/>
                <w:szCs w:val="18"/>
              </w:rPr>
              <w:t>5.2</w:t>
            </w:r>
          </w:p>
        </w:tc>
        <w:tc>
          <w:tcPr>
            <w:tcW w:w="0" w:type="auto"/>
            <w:tcBorders>
              <w:bottom w:val="single" w:sz="4" w:space="0" w:color="auto"/>
            </w:tcBorders>
          </w:tcPr>
          <w:p w:rsidR="00440714" w:rsidRPr="00133F50" w:rsidRDefault="00440714" w:rsidP="00853877">
            <w:pPr>
              <w:spacing w:line="200" w:lineRule="exact"/>
              <w:jc w:val="center"/>
              <w:rPr>
                <w:sz w:val="18"/>
                <w:szCs w:val="18"/>
              </w:rPr>
            </w:pPr>
            <w:r w:rsidRPr="00133F50">
              <w:rPr>
                <w:sz w:val="18"/>
                <w:szCs w:val="18"/>
              </w:rPr>
              <w:t>3109</w:t>
            </w:r>
          </w:p>
        </w:tc>
        <w:tc>
          <w:tcPr>
            <w:tcW w:w="5671" w:type="dxa"/>
            <w:tcBorders>
              <w:bottom w:val="single" w:sz="4" w:space="0" w:color="auto"/>
            </w:tcBorders>
          </w:tcPr>
          <w:p w:rsidR="00440714" w:rsidRPr="00133F50" w:rsidRDefault="00440714" w:rsidP="00853877">
            <w:pPr>
              <w:spacing w:line="200" w:lineRule="exact"/>
              <w:rPr>
                <w:sz w:val="18"/>
                <w:szCs w:val="18"/>
              </w:rPr>
            </w:pPr>
            <w:proofErr w:type="gramStart"/>
            <w:r w:rsidRPr="00133F50">
              <w:rPr>
                <w:sz w:val="18"/>
                <w:szCs w:val="18"/>
              </w:rPr>
              <w:t>Органический</w:t>
            </w:r>
            <w:proofErr w:type="gramEnd"/>
            <w:r w:rsidRPr="00133F50">
              <w:rPr>
                <w:sz w:val="18"/>
                <w:szCs w:val="18"/>
              </w:rPr>
              <w:t xml:space="preserve"> пероксид типа F жидкий</w:t>
            </w:r>
          </w:p>
        </w:tc>
        <w:tc>
          <w:tcPr>
            <w:tcW w:w="1691" w:type="dxa"/>
            <w:vMerge w:val="restart"/>
            <w:vAlign w:val="center"/>
          </w:tcPr>
          <w:p w:rsidR="00440714" w:rsidRPr="00133F50" w:rsidRDefault="00440714" w:rsidP="00853877">
            <w:pPr>
              <w:spacing w:line="200" w:lineRule="exact"/>
              <w:jc w:val="center"/>
              <w:rPr>
                <w:sz w:val="18"/>
                <w:szCs w:val="18"/>
              </w:rPr>
            </w:pPr>
            <w:r w:rsidRPr="00133F50">
              <w:rPr>
                <w:sz w:val="18"/>
                <w:szCs w:val="18"/>
              </w:rPr>
              <w:t>L4BN</w:t>
            </w:r>
          </w:p>
        </w:tc>
      </w:tr>
      <w:tr w:rsidR="00440714" w:rsidRPr="00133F50" w:rsidTr="00692125">
        <w:trPr>
          <w:cantSplit/>
          <w:trHeight w:val="20"/>
          <w:jc w:val="center"/>
        </w:trPr>
        <w:tc>
          <w:tcPr>
            <w:tcW w:w="0" w:type="auto"/>
            <w:vMerge/>
            <w:tcBorders>
              <w:bottom w:val="nil"/>
            </w:tcBorders>
          </w:tcPr>
          <w:p w:rsidR="00440714" w:rsidRPr="00133F50" w:rsidRDefault="00440714" w:rsidP="00853877">
            <w:pPr>
              <w:spacing w:line="200" w:lineRule="exact"/>
              <w:rPr>
                <w:sz w:val="18"/>
                <w:szCs w:val="18"/>
              </w:rPr>
            </w:pPr>
          </w:p>
        </w:tc>
        <w:tc>
          <w:tcPr>
            <w:tcW w:w="6532" w:type="dxa"/>
            <w:gridSpan w:val="2"/>
            <w:tcBorders>
              <w:bottom w:val="nil"/>
            </w:tcBorders>
          </w:tcPr>
          <w:p w:rsidR="00440714" w:rsidRPr="00133F50" w:rsidRDefault="00440714" w:rsidP="00853877">
            <w:pPr>
              <w:spacing w:line="200" w:lineRule="exact"/>
              <w:rPr>
                <w:sz w:val="18"/>
                <w:szCs w:val="18"/>
              </w:rPr>
            </w:pPr>
            <w:r w:rsidRPr="00133F50">
              <w:rPr>
                <w:sz w:val="18"/>
                <w:szCs w:val="18"/>
              </w:rPr>
              <w:t>[только ДОПОГ</w:t>
            </w:r>
            <w:proofErr w:type="gramStart"/>
            <w:r w:rsidRPr="00133F50">
              <w:rPr>
                <w:sz w:val="18"/>
                <w:szCs w:val="18"/>
              </w:rPr>
              <w:t>:]</w:t>
            </w:r>
            <w:proofErr w:type="gramEnd"/>
          </w:p>
        </w:tc>
        <w:tc>
          <w:tcPr>
            <w:tcW w:w="1691" w:type="dxa"/>
            <w:vMerge/>
            <w:vAlign w:val="center"/>
          </w:tcPr>
          <w:p w:rsidR="00440714" w:rsidRPr="00133F50" w:rsidRDefault="00440714" w:rsidP="00853877">
            <w:pPr>
              <w:spacing w:line="200" w:lineRule="exact"/>
              <w:jc w:val="center"/>
              <w:rPr>
                <w:sz w:val="18"/>
                <w:szCs w:val="18"/>
              </w:rPr>
            </w:pPr>
          </w:p>
        </w:tc>
      </w:tr>
      <w:tr w:rsidR="00440714" w:rsidRPr="00133F50" w:rsidTr="00164E11">
        <w:trPr>
          <w:cantSplit/>
          <w:trHeight w:val="20"/>
          <w:jc w:val="center"/>
        </w:trPr>
        <w:tc>
          <w:tcPr>
            <w:tcW w:w="0" w:type="auto"/>
            <w:vMerge/>
            <w:tcBorders>
              <w:bottom w:val="nil"/>
            </w:tcBorders>
          </w:tcPr>
          <w:p w:rsidR="00440714" w:rsidRPr="00133F50" w:rsidRDefault="00440714" w:rsidP="00853877">
            <w:pPr>
              <w:spacing w:line="200" w:lineRule="exact"/>
              <w:rPr>
                <w:sz w:val="18"/>
                <w:szCs w:val="18"/>
              </w:rPr>
            </w:pPr>
          </w:p>
        </w:tc>
        <w:tc>
          <w:tcPr>
            <w:tcW w:w="0" w:type="auto"/>
            <w:tcBorders>
              <w:top w:val="nil"/>
            </w:tcBorders>
          </w:tcPr>
          <w:p w:rsidR="00440714" w:rsidRPr="00133F50" w:rsidRDefault="00440714" w:rsidP="00853877">
            <w:pPr>
              <w:spacing w:line="200" w:lineRule="exact"/>
              <w:jc w:val="center"/>
              <w:rPr>
                <w:sz w:val="18"/>
                <w:szCs w:val="18"/>
              </w:rPr>
            </w:pPr>
            <w:r w:rsidRPr="00133F50">
              <w:rPr>
                <w:sz w:val="18"/>
                <w:szCs w:val="18"/>
              </w:rPr>
              <w:t>3119</w:t>
            </w:r>
          </w:p>
        </w:tc>
        <w:tc>
          <w:tcPr>
            <w:tcW w:w="5671" w:type="dxa"/>
            <w:tcBorders>
              <w:top w:val="nil"/>
            </w:tcBorders>
          </w:tcPr>
          <w:p w:rsidR="00440714" w:rsidRPr="00133F50" w:rsidRDefault="00440714" w:rsidP="00853877">
            <w:pPr>
              <w:spacing w:line="200" w:lineRule="exact"/>
              <w:rPr>
                <w:sz w:val="18"/>
                <w:szCs w:val="18"/>
              </w:rPr>
            </w:pPr>
            <w:proofErr w:type="gramStart"/>
            <w:r w:rsidRPr="00133F50">
              <w:rPr>
                <w:sz w:val="18"/>
                <w:szCs w:val="18"/>
              </w:rPr>
              <w:t>Органический</w:t>
            </w:r>
            <w:proofErr w:type="gramEnd"/>
            <w:r w:rsidRPr="00133F50">
              <w:rPr>
                <w:sz w:val="18"/>
                <w:szCs w:val="18"/>
              </w:rPr>
              <w:t xml:space="preserve"> пероксид типа F жидкий с регулируемой темпер</w:t>
            </w:r>
            <w:r w:rsidRPr="00133F50">
              <w:rPr>
                <w:sz w:val="18"/>
                <w:szCs w:val="18"/>
              </w:rPr>
              <w:t>а</w:t>
            </w:r>
            <w:r w:rsidRPr="00133F50">
              <w:rPr>
                <w:sz w:val="18"/>
                <w:szCs w:val="18"/>
              </w:rPr>
              <w:t>турой</w:t>
            </w:r>
          </w:p>
        </w:tc>
        <w:tc>
          <w:tcPr>
            <w:tcW w:w="1691" w:type="dxa"/>
            <w:vMerge/>
            <w:vAlign w:val="center"/>
          </w:tcPr>
          <w:p w:rsidR="00440714" w:rsidRPr="00133F50" w:rsidRDefault="00440714" w:rsidP="00853877">
            <w:pPr>
              <w:spacing w:line="200" w:lineRule="exact"/>
              <w:jc w:val="center"/>
              <w:rPr>
                <w:sz w:val="18"/>
                <w:szCs w:val="18"/>
              </w:rPr>
            </w:pPr>
          </w:p>
        </w:tc>
      </w:tr>
      <w:tr w:rsidR="00440714" w:rsidRPr="00133F50" w:rsidTr="00164E11">
        <w:trPr>
          <w:cantSplit/>
          <w:trHeight w:val="20"/>
          <w:jc w:val="center"/>
        </w:trPr>
        <w:tc>
          <w:tcPr>
            <w:tcW w:w="0" w:type="auto"/>
            <w:vMerge/>
            <w:tcBorders>
              <w:top w:val="nil"/>
              <w:bottom w:val="nil"/>
            </w:tcBorders>
          </w:tcPr>
          <w:p w:rsidR="00440714" w:rsidRPr="00133F50" w:rsidRDefault="00440714" w:rsidP="00853877">
            <w:pPr>
              <w:spacing w:line="200" w:lineRule="exact"/>
              <w:rPr>
                <w:sz w:val="18"/>
                <w:szCs w:val="18"/>
              </w:rPr>
            </w:pPr>
          </w:p>
        </w:tc>
        <w:tc>
          <w:tcPr>
            <w:tcW w:w="0" w:type="auto"/>
            <w:tcBorders>
              <w:bottom w:val="single" w:sz="4" w:space="0" w:color="auto"/>
            </w:tcBorders>
          </w:tcPr>
          <w:p w:rsidR="00440714" w:rsidRPr="00133F50" w:rsidRDefault="00440714" w:rsidP="00853877">
            <w:pPr>
              <w:spacing w:line="200" w:lineRule="exact"/>
              <w:jc w:val="center"/>
              <w:rPr>
                <w:sz w:val="18"/>
                <w:szCs w:val="18"/>
              </w:rPr>
            </w:pPr>
            <w:r w:rsidRPr="00133F50">
              <w:rPr>
                <w:sz w:val="18"/>
                <w:szCs w:val="18"/>
              </w:rPr>
              <w:t>3110</w:t>
            </w:r>
          </w:p>
        </w:tc>
        <w:tc>
          <w:tcPr>
            <w:tcW w:w="5671" w:type="dxa"/>
            <w:tcBorders>
              <w:bottom w:val="single" w:sz="4" w:space="0" w:color="auto"/>
            </w:tcBorders>
          </w:tcPr>
          <w:p w:rsidR="00440714" w:rsidRPr="00133F50" w:rsidRDefault="00440714" w:rsidP="00853877">
            <w:pPr>
              <w:spacing w:line="200" w:lineRule="exact"/>
              <w:rPr>
                <w:sz w:val="18"/>
                <w:szCs w:val="18"/>
              </w:rPr>
            </w:pPr>
            <w:proofErr w:type="gramStart"/>
            <w:r w:rsidRPr="00133F50">
              <w:rPr>
                <w:sz w:val="18"/>
                <w:szCs w:val="18"/>
              </w:rPr>
              <w:t>Органический</w:t>
            </w:r>
            <w:proofErr w:type="gramEnd"/>
            <w:r w:rsidRPr="00133F50">
              <w:rPr>
                <w:sz w:val="18"/>
                <w:szCs w:val="18"/>
              </w:rPr>
              <w:t xml:space="preserve"> пероксид типа F твердый</w:t>
            </w:r>
          </w:p>
        </w:tc>
        <w:tc>
          <w:tcPr>
            <w:tcW w:w="1691" w:type="dxa"/>
            <w:vMerge w:val="restart"/>
            <w:vAlign w:val="center"/>
          </w:tcPr>
          <w:p w:rsidR="00440714" w:rsidRPr="00133F50" w:rsidRDefault="00440714" w:rsidP="00853877">
            <w:pPr>
              <w:spacing w:line="200" w:lineRule="exact"/>
              <w:jc w:val="center"/>
              <w:rPr>
                <w:sz w:val="18"/>
                <w:szCs w:val="18"/>
              </w:rPr>
            </w:pPr>
            <w:r w:rsidRPr="00133F50">
              <w:rPr>
                <w:sz w:val="18"/>
                <w:szCs w:val="18"/>
              </w:rPr>
              <w:t>S4AN</w:t>
            </w:r>
          </w:p>
        </w:tc>
      </w:tr>
      <w:tr w:rsidR="00440714" w:rsidRPr="00133F50" w:rsidTr="00692125">
        <w:trPr>
          <w:cantSplit/>
          <w:trHeight w:val="20"/>
          <w:jc w:val="center"/>
        </w:trPr>
        <w:tc>
          <w:tcPr>
            <w:tcW w:w="0" w:type="auto"/>
            <w:tcBorders>
              <w:top w:val="nil"/>
              <w:bottom w:val="nil"/>
            </w:tcBorders>
          </w:tcPr>
          <w:p w:rsidR="00440714" w:rsidRPr="00133F50" w:rsidRDefault="00440714" w:rsidP="00853877">
            <w:pPr>
              <w:spacing w:line="200" w:lineRule="exact"/>
              <w:rPr>
                <w:sz w:val="18"/>
                <w:szCs w:val="18"/>
              </w:rPr>
            </w:pPr>
          </w:p>
        </w:tc>
        <w:tc>
          <w:tcPr>
            <w:tcW w:w="6532" w:type="dxa"/>
            <w:gridSpan w:val="2"/>
            <w:tcBorders>
              <w:bottom w:val="nil"/>
            </w:tcBorders>
          </w:tcPr>
          <w:p w:rsidR="00440714" w:rsidRPr="00133F50" w:rsidRDefault="00440714" w:rsidP="00853877">
            <w:pPr>
              <w:spacing w:line="200" w:lineRule="exact"/>
              <w:rPr>
                <w:sz w:val="18"/>
                <w:szCs w:val="18"/>
              </w:rPr>
            </w:pPr>
            <w:r w:rsidRPr="00133F50">
              <w:rPr>
                <w:sz w:val="18"/>
                <w:szCs w:val="18"/>
              </w:rPr>
              <w:t>[только ДОПОГ</w:t>
            </w:r>
            <w:proofErr w:type="gramStart"/>
            <w:r w:rsidRPr="00133F50">
              <w:rPr>
                <w:sz w:val="18"/>
                <w:szCs w:val="18"/>
              </w:rPr>
              <w:t>:]</w:t>
            </w:r>
            <w:proofErr w:type="gramEnd"/>
          </w:p>
        </w:tc>
        <w:tc>
          <w:tcPr>
            <w:tcW w:w="1691" w:type="dxa"/>
            <w:vMerge/>
            <w:vAlign w:val="center"/>
          </w:tcPr>
          <w:p w:rsidR="00440714" w:rsidRPr="00133F50" w:rsidRDefault="00440714" w:rsidP="00853877">
            <w:pPr>
              <w:spacing w:line="200" w:lineRule="exact"/>
              <w:jc w:val="center"/>
              <w:rPr>
                <w:sz w:val="18"/>
                <w:szCs w:val="18"/>
              </w:rPr>
            </w:pPr>
          </w:p>
        </w:tc>
      </w:tr>
      <w:tr w:rsidR="00440714" w:rsidRPr="00133F50" w:rsidTr="00164E11">
        <w:trPr>
          <w:cantSplit/>
          <w:trHeight w:val="20"/>
          <w:jc w:val="center"/>
        </w:trPr>
        <w:tc>
          <w:tcPr>
            <w:tcW w:w="0" w:type="auto"/>
            <w:tcBorders>
              <w:top w:val="nil"/>
            </w:tcBorders>
          </w:tcPr>
          <w:p w:rsidR="00440714" w:rsidRPr="00133F50" w:rsidRDefault="00440714" w:rsidP="00853877">
            <w:pPr>
              <w:spacing w:line="200" w:lineRule="exact"/>
              <w:rPr>
                <w:sz w:val="18"/>
                <w:szCs w:val="18"/>
              </w:rPr>
            </w:pPr>
          </w:p>
        </w:tc>
        <w:tc>
          <w:tcPr>
            <w:tcW w:w="0" w:type="auto"/>
            <w:tcBorders>
              <w:top w:val="nil"/>
            </w:tcBorders>
          </w:tcPr>
          <w:p w:rsidR="00440714" w:rsidRPr="00133F50" w:rsidRDefault="00440714" w:rsidP="00853877">
            <w:pPr>
              <w:spacing w:line="200" w:lineRule="exact"/>
              <w:jc w:val="center"/>
              <w:rPr>
                <w:sz w:val="18"/>
                <w:szCs w:val="18"/>
              </w:rPr>
            </w:pPr>
            <w:r w:rsidRPr="00133F50">
              <w:rPr>
                <w:sz w:val="18"/>
                <w:szCs w:val="18"/>
              </w:rPr>
              <w:t>3120</w:t>
            </w:r>
          </w:p>
        </w:tc>
        <w:tc>
          <w:tcPr>
            <w:tcW w:w="5671" w:type="dxa"/>
            <w:tcBorders>
              <w:top w:val="nil"/>
            </w:tcBorders>
          </w:tcPr>
          <w:p w:rsidR="00440714" w:rsidRPr="00133F50" w:rsidRDefault="00440714" w:rsidP="00853877">
            <w:pPr>
              <w:spacing w:line="200" w:lineRule="exact"/>
              <w:rPr>
                <w:sz w:val="18"/>
                <w:szCs w:val="18"/>
              </w:rPr>
            </w:pPr>
            <w:proofErr w:type="gramStart"/>
            <w:r w:rsidRPr="00133F50">
              <w:rPr>
                <w:sz w:val="18"/>
                <w:szCs w:val="18"/>
              </w:rPr>
              <w:t>Органический</w:t>
            </w:r>
            <w:proofErr w:type="gramEnd"/>
            <w:r w:rsidRPr="00133F50">
              <w:rPr>
                <w:sz w:val="18"/>
                <w:szCs w:val="18"/>
              </w:rPr>
              <w:t xml:space="preserve"> пероксид типа F твердый с регулируемой темпер</w:t>
            </w:r>
            <w:r w:rsidRPr="00133F50">
              <w:rPr>
                <w:sz w:val="18"/>
                <w:szCs w:val="18"/>
              </w:rPr>
              <w:t>а</w:t>
            </w:r>
            <w:r w:rsidRPr="00133F50">
              <w:rPr>
                <w:sz w:val="18"/>
                <w:szCs w:val="18"/>
              </w:rPr>
              <w:t>турой</w:t>
            </w:r>
          </w:p>
        </w:tc>
        <w:tc>
          <w:tcPr>
            <w:tcW w:w="1691" w:type="dxa"/>
            <w:vMerge/>
            <w:vAlign w:val="center"/>
          </w:tcPr>
          <w:p w:rsidR="00440714" w:rsidRPr="00133F50" w:rsidRDefault="00440714" w:rsidP="00853877">
            <w:pPr>
              <w:spacing w:line="200" w:lineRule="exact"/>
              <w:jc w:val="center"/>
              <w:rPr>
                <w:sz w:val="18"/>
                <w:szCs w:val="18"/>
              </w:rPr>
            </w:pPr>
          </w:p>
        </w:tc>
      </w:tr>
      <w:tr w:rsidR="00440714" w:rsidRPr="00133F50" w:rsidTr="00164E11">
        <w:trPr>
          <w:cantSplit/>
          <w:trHeight w:val="20"/>
          <w:jc w:val="center"/>
        </w:trPr>
        <w:tc>
          <w:tcPr>
            <w:tcW w:w="0" w:type="auto"/>
            <w:vMerge w:val="restart"/>
          </w:tcPr>
          <w:p w:rsidR="00440714" w:rsidRPr="00133F50" w:rsidRDefault="00440714" w:rsidP="00853877">
            <w:pPr>
              <w:spacing w:line="200" w:lineRule="exact"/>
              <w:jc w:val="center"/>
              <w:rPr>
                <w:sz w:val="18"/>
                <w:szCs w:val="18"/>
              </w:rPr>
            </w:pPr>
            <w:r w:rsidRPr="00133F50">
              <w:rPr>
                <w:sz w:val="18"/>
                <w:szCs w:val="18"/>
              </w:rPr>
              <w:t>6.1</w:t>
            </w:r>
          </w:p>
        </w:tc>
        <w:tc>
          <w:tcPr>
            <w:tcW w:w="0" w:type="auto"/>
          </w:tcPr>
          <w:p w:rsidR="00440714" w:rsidRPr="00133F50" w:rsidRDefault="00440714" w:rsidP="00853877">
            <w:pPr>
              <w:spacing w:line="200" w:lineRule="exact"/>
              <w:jc w:val="center"/>
              <w:rPr>
                <w:sz w:val="18"/>
                <w:szCs w:val="18"/>
              </w:rPr>
            </w:pPr>
            <w:r w:rsidRPr="00133F50">
              <w:rPr>
                <w:sz w:val="18"/>
                <w:szCs w:val="18"/>
              </w:rPr>
              <w:t>1613</w:t>
            </w:r>
          </w:p>
        </w:tc>
        <w:tc>
          <w:tcPr>
            <w:tcW w:w="5671" w:type="dxa"/>
          </w:tcPr>
          <w:p w:rsidR="00440714" w:rsidRPr="00133F50" w:rsidRDefault="00440714" w:rsidP="00853877">
            <w:pPr>
              <w:spacing w:line="200" w:lineRule="exact"/>
              <w:rPr>
                <w:sz w:val="18"/>
                <w:szCs w:val="18"/>
              </w:rPr>
            </w:pPr>
            <w:r w:rsidRPr="00133F50">
              <w:rPr>
                <w:sz w:val="18"/>
                <w:szCs w:val="18"/>
              </w:rPr>
              <w:t>Водорода цианистого водный раствор</w:t>
            </w:r>
          </w:p>
        </w:tc>
        <w:tc>
          <w:tcPr>
            <w:tcW w:w="1691" w:type="dxa"/>
            <w:vMerge w:val="restart"/>
            <w:vAlign w:val="center"/>
          </w:tcPr>
          <w:p w:rsidR="00440714" w:rsidRPr="00133F50" w:rsidRDefault="00440714" w:rsidP="00853877">
            <w:pPr>
              <w:spacing w:line="200" w:lineRule="exact"/>
              <w:jc w:val="center"/>
              <w:rPr>
                <w:sz w:val="18"/>
                <w:szCs w:val="18"/>
              </w:rPr>
            </w:pPr>
            <w:r w:rsidRPr="00133F50">
              <w:rPr>
                <w:sz w:val="18"/>
                <w:szCs w:val="18"/>
              </w:rPr>
              <w:t>L15DH</w:t>
            </w:r>
          </w:p>
        </w:tc>
      </w:tr>
      <w:tr w:rsidR="00440714" w:rsidRPr="00133F50" w:rsidTr="00164E11">
        <w:trPr>
          <w:cantSplit/>
          <w:trHeight w:val="20"/>
          <w:jc w:val="center"/>
        </w:trPr>
        <w:tc>
          <w:tcPr>
            <w:tcW w:w="0" w:type="auto"/>
            <w:vMerge/>
          </w:tcPr>
          <w:p w:rsidR="00440714" w:rsidRPr="00133F50" w:rsidRDefault="00440714" w:rsidP="00164E11">
            <w:pPr>
              <w:spacing w:line="240" w:lineRule="auto"/>
              <w:jc w:val="center"/>
              <w:rPr>
                <w:sz w:val="18"/>
                <w:szCs w:val="18"/>
              </w:rPr>
            </w:pPr>
          </w:p>
        </w:tc>
        <w:tc>
          <w:tcPr>
            <w:tcW w:w="0" w:type="auto"/>
          </w:tcPr>
          <w:p w:rsidR="00440714" w:rsidRPr="00133F50" w:rsidRDefault="00440714" w:rsidP="00164E11">
            <w:pPr>
              <w:spacing w:line="240" w:lineRule="auto"/>
              <w:jc w:val="center"/>
              <w:rPr>
                <w:sz w:val="18"/>
                <w:szCs w:val="18"/>
              </w:rPr>
            </w:pPr>
            <w:r w:rsidRPr="00133F50">
              <w:rPr>
                <w:sz w:val="18"/>
                <w:szCs w:val="18"/>
              </w:rPr>
              <w:t>3294</w:t>
            </w:r>
          </w:p>
        </w:tc>
        <w:tc>
          <w:tcPr>
            <w:tcW w:w="5671" w:type="dxa"/>
          </w:tcPr>
          <w:p w:rsidR="00440714" w:rsidRPr="00133F50" w:rsidRDefault="00440714" w:rsidP="00164E11">
            <w:pPr>
              <w:spacing w:line="240" w:lineRule="auto"/>
              <w:rPr>
                <w:sz w:val="18"/>
                <w:szCs w:val="18"/>
              </w:rPr>
            </w:pPr>
            <w:r w:rsidRPr="00133F50">
              <w:rPr>
                <w:sz w:val="18"/>
                <w:szCs w:val="18"/>
              </w:rPr>
              <w:t>Водорода цианистого спиртовой раствор</w:t>
            </w:r>
          </w:p>
        </w:tc>
        <w:tc>
          <w:tcPr>
            <w:tcW w:w="1691" w:type="dxa"/>
            <w:vMerge/>
            <w:vAlign w:val="center"/>
          </w:tcPr>
          <w:p w:rsidR="00440714" w:rsidRPr="00133F50" w:rsidRDefault="00440714" w:rsidP="00164E11">
            <w:pPr>
              <w:spacing w:line="240" w:lineRule="auto"/>
              <w:jc w:val="center"/>
              <w:rPr>
                <w:sz w:val="18"/>
                <w:szCs w:val="18"/>
              </w:rPr>
            </w:pPr>
          </w:p>
        </w:tc>
      </w:tr>
      <w:tr w:rsidR="00440714" w:rsidRPr="00133F50" w:rsidTr="00164E11">
        <w:trPr>
          <w:cantSplit/>
          <w:trHeight w:val="20"/>
          <w:jc w:val="center"/>
        </w:trPr>
        <w:tc>
          <w:tcPr>
            <w:tcW w:w="0" w:type="auto"/>
            <w:vMerge w:val="restart"/>
          </w:tcPr>
          <w:p w:rsidR="00440714" w:rsidRPr="00133F50" w:rsidRDefault="00440714" w:rsidP="001D63D9">
            <w:pPr>
              <w:pageBreakBefore/>
              <w:spacing w:line="240" w:lineRule="auto"/>
              <w:jc w:val="center"/>
              <w:rPr>
                <w:sz w:val="18"/>
                <w:szCs w:val="18"/>
              </w:rPr>
            </w:pPr>
            <w:r w:rsidRPr="00133F50">
              <w:rPr>
                <w:sz w:val="18"/>
                <w:szCs w:val="18"/>
              </w:rPr>
              <w:lastRenderedPageBreak/>
              <w:t>7*</w:t>
            </w:r>
          </w:p>
        </w:tc>
        <w:tc>
          <w:tcPr>
            <w:tcW w:w="0" w:type="auto"/>
            <w:vMerge w:val="restart"/>
          </w:tcPr>
          <w:p w:rsidR="00440714" w:rsidRPr="00133F50" w:rsidRDefault="00440714" w:rsidP="00164E11">
            <w:pPr>
              <w:spacing w:line="240" w:lineRule="auto"/>
              <w:jc w:val="center"/>
              <w:rPr>
                <w:sz w:val="18"/>
                <w:szCs w:val="18"/>
              </w:rPr>
            </w:pPr>
          </w:p>
        </w:tc>
        <w:tc>
          <w:tcPr>
            <w:tcW w:w="5671" w:type="dxa"/>
          </w:tcPr>
          <w:p w:rsidR="00440714" w:rsidRPr="00133F50" w:rsidRDefault="00440714" w:rsidP="00164E11">
            <w:pPr>
              <w:spacing w:line="240" w:lineRule="auto"/>
              <w:rPr>
                <w:sz w:val="18"/>
                <w:szCs w:val="18"/>
              </w:rPr>
            </w:pPr>
            <w:r w:rsidRPr="00133F50">
              <w:rPr>
                <w:sz w:val="18"/>
                <w:szCs w:val="18"/>
              </w:rPr>
              <w:t>Все вещества</w:t>
            </w:r>
          </w:p>
        </w:tc>
        <w:tc>
          <w:tcPr>
            <w:tcW w:w="1691" w:type="dxa"/>
            <w:vAlign w:val="center"/>
          </w:tcPr>
          <w:p w:rsidR="00440714" w:rsidRPr="00133F50" w:rsidRDefault="00440714" w:rsidP="00164E11">
            <w:pPr>
              <w:spacing w:line="240" w:lineRule="auto"/>
              <w:jc w:val="center"/>
              <w:rPr>
                <w:sz w:val="18"/>
                <w:szCs w:val="18"/>
              </w:rPr>
            </w:pPr>
            <w:r w:rsidRPr="00133F50">
              <w:rPr>
                <w:sz w:val="18"/>
                <w:szCs w:val="18"/>
              </w:rPr>
              <w:t>специальные цистерны</w:t>
            </w:r>
          </w:p>
        </w:tc>
      </w:tr>
      <w:tr w:rsidR="00440714" w:rsidRPr="00133F50" w:rsidTr="00164E11">
        <w:trPr>
          <w:cantSplit/>
          <w:trHeight w:val="20"/>
          <w:jc w:val="center"/>
        </w:trPr>
        <w:tc>
          <w:tcPr>
            <w:tcW w:w="0" w:type="auto"/>
            <w:vMerge/>
          </w:tcPr>
          <w:p w:rsidR="00440714" w:rsidRPr="00133F50" w:rsidRDefault="00440714" w:rsidP="00164E11">
            <w:pPr>
              <w:spacing w:line="240" w:lineRule="auto"/>
              <w:jc w:val="center"/>
              <w:rPr>
                <w:sz w:val="18"/>
                <w:szCs w:val="18"/>
              </w:rPr>
            </w:pPr>
          </w:p>
        </w:tc>
        <w:tc>
          <w:tcPr>
            <w:tcW w:w="0" w:type="auto"/>
            <w:vMerge/>
          </w:tcPr>
          <w:p w:rsidR="00440714" w:rsidRPr="00133F50" w:rsidRDefault="00440714" w:rsidP="00164E11">
            <w:pPr>
              <w:spacing w:line="240" w:lineRule="auto"/>
              <w:jc w:val="center"/>
              <w:rPr>
                <w:sz w:val="18"/>
                <w:szCs w:val="18"/>
              </w:rPr>
            </w:pPr>
          </w:p>
        </w:tc>
        <w:tc>
          <w:tcPr>
            <w:tcW w:w="5671" w:type="dxa"/>
          </w:tcPr>
          <w:p w:rsidR="00440714" w:rsidRPr="00133F50" w:rsidRDefault="00440714" w:rsidP="00164E11">
            <w:pPr>
              <w:spacing w:line="240" w:lineRule="auto"/>
              <w:rPr>
                <w:sz w:val="18"/>
                <w:szCs w:val="18"/>
              </w:rPr>
            </w:pPr>
            <w:r w:rsidRPr="00133F50">
              <w:rPr>
                <w:sz w:val="18"/>
                <w:szCs w:val="18"/>
              </w:rPr>
              <w:t>Минимальные требования для жидкостей</w:t>
            </w:r>
          </w:p>
        </w:tc>
        <w:tc>
          <w:tcPr>
            <w:tcW w:w="1691" w:type="dxa"/>
            <w:vAlign w:val="center"/>
          </w:tcPr>
          <w:p w:rsidR="00440714" w:rsidRPr="00133F50" w:rsidRDefault="00440714" w:rsidP="00164E11">
            <w:pPr>
              <w:spacing w:line="240" w:lineRule="auto"/>
              <w:jc w:val="center"/>
              <w:rPr>
                <w:sz w:val="18"/>
                <w:szCs w:val="18"/>
              </w:rPr>
            </w:pPr>
            <w:r w:rsidRPr="00133F50">
              <w:rPr>
                <w:sz w:val="18"/>
                <w:szCs w:val="18"/>
              </w:rPr>
              <w:t>L2.65CN</w:t>
            </w:r>
          </w:p>
        </w:tc>
      </w:tr>
      <w:tr w:rsidR="00440714" w:rsidRPr="00133F50" w:rsidTr="00164E11">
        <w:trPr>
          <w:cantSplit/>
          <w:trHeight w:val="20"/>
          <w:jc w:val="center"/>
        </w:trPr>
        <w:tc>
          <w:tcPr>
            <w:tcW w:w="0" w:type="auto"/>
            <w:vMerge/>
          </w:tcPr>
          <w:p w:rsidR="00440714" w:rsidRPr="00133F50" w:rsidRDefault="00440714" w:rsidP="00164E11">
            <w:pPr>
              <w:spacing w:line="240" w:lineRule="auto"/>
              <w:jc w:val="center"/>
              <w:rPr>
                <w:sz w:val="18"/>
                <w:szCs w:val="18"/>
              </w:rPr>
            </w:pPr>
          </w:p>
        </w:tc>
        <w:tc>
          <w:tcPr>
            <w:tcW w:w="0" w:type="auto"/>
            <w:vMerge/>
          </w:tcPr>
          <w:p w:rsidR="00440714" w:rsidRPr="00133F50" w:rsidRDefault="00440714" w:rsidP="00164E11">
            <w:pPr>
              <w:spacing w:line="240" w:lineRule="auto"/>
              <w:jc w:val="center"/>
              <w:rPr>
                <w:sz w:val="18"/>
                <w:szCs w:val="18"/>
              </w:rPr>
            </w:pPr>
          </w:p>
        </w:tc>
        <w:tc>
          <w:tcPr>
            <w:tcW w:w="5671" w:type="dxa"/>
          </w:tcPr>
          <w:p w:rsidR="00440714" w:rsidRPr="00133F50" w:rsidRDefault="00440714" w:rsidP="00164E11">
            <w:pPr>
              <w:spacing w:line="240" w:lineRule="auto"/>
              <w:rPr>
                <w:sz w:val="18"/>
                <w:szCs w:val="18"/>
              </w:rPr>
            </w:pPr>
            <w:r w:rsidRPr="00133F50">
              <w:rPr>
                <w:sz w:val="18"/>
                <w:szCs w:val="18"/>
              </w:rPr>
              <w:t>Минимальные требования для твердых веществ</w:t>
            </w:r>
          </w:p>
        </w:tc>
        <w:tc>
          <w:tcPr>
            <w:tcW w:w="1691" w:type="dxa"/>
            <w:vAlign w:val="center"/>
          </w:tcPr>
          <w:p w:rsidR="00440714" w:rsidRPr="00133F50" w:rsidRDefault="00440714" w:rsidP="00164E11">
            <w:pPr>
              <w:spacing w:line="240" w:lineRule="auto"/>
              <w:jc w:val="center"/>
              <w:rPr>
                <w:sz w:val="18"/>
                <w:szCs w:val="18"/>
              </w:rPr>
            </w:pPr>
            <w:r w:rsidRPr="00133F50">
              <w:rPr>
                <w:sz w:val="18"/>
                <w:szCs w:val="18"/>
              </w:rPr>
              <w:t>S2.65AN</w:t>
            </w:r>
          </w:p>
        </w:tc>
      </w:tr>
      <w:tr w:rsidR="00440714" w:rsidRPr="00133F50" w:rsidTr="00164E11">
        <w:trPr>
          <w:cantSplit/>
          <w:trHeight w:val="20"/>
          <w:jc w:val="center"/>
        </w:trPr>
        <w:tc>
          <w:tcPr>
            <w:tcW w:w="0" w:type="auto"/>
            <w:vMerge w:val="restart"/>
          </w:tcPr>
          <w:p w:rsidR="00440714" w:rsidRPr="00133F50" w:rsidRDefault="00440714" w:rsidP="00164E11">
            <w:pPr>
              <w:spacing w:line="240" w:lineRule="auto"/>
              <w:jc w:val="center"/>
              <w:rPr>
                <w:sz w:val="18"/>
                <w:szCs w:val="18"/>
              </w:rPr>
            </w:pPr>
            <w:r w:rsidRPr="00133F50">
              <w:rPr>
                <w:sz w:val="18"/>
                <w:szCs w:val="18"/>
              </w:rPr>
              <w:t>8</w:t>
            </w:r>
          </w:p>
        </w:tc>
        <w:tc>
          <w:tcPr>
            <w:tcW w:w="0" w:type="auto"/>
          </w:tcPr>
          <w:p w:rsidR="00440714" w:rsidRPr="00133F50" w:rsidRDefault="00440714" w:rsidP="00164E11">
            <w:pPr>
              <w:spacing w:line="240" w:lineRule="auto"/>
              <w:jc w:val="center"/>
              <w:rPr>
                <w:sz w:val="18"/>
                <w:szCs w:val="18"/>
              </w:rPr>
            </w:pPr>
            <w:r w:rsidRPr="00133F50">
              <w:rPr>
                <w:sz w:val="18"/>
                <w:szCs w:val="18"/>
              </w:rPr>
              <w:t>1052</w:t>
            </w:r>
          </w:p>
        </w:tc>
        <w:tc>
          <w:tcPr>
            <w:tcW w:w="5671" w:type="dxa"/>
          </w:tcPr>
          <w:p w:rsidR="00440714" w:rsidRPr="00133F50" w:rsidRDefault="00440714" w:rsidP="00164E11">
            <w:pPr>
              <w:spacing w:line="240" w:lineRule="auto"/>
              <w:rPr>
                <w:sz w:val="18"/>
                <w:szCs w:val="18"/>
              </w:rPr>
            </w:pPr>
            <w:r w:rsidRPr="00133F50">
              <w:rPr>
                <w:sz w:val="18"/>
                <w:szCs w:val="18"/>
              </w:rPr>
              <w:t>Водород фтористый безводный</w:t>
            </w:r>
          </w:p>
        </w:tc>
        <w:tc>
          <w:tcPr>
            <w:tcW w:w="1691" w:type="dxa"/>
            <w:vMerge w:val="restart"/>
            <w:vAlign w:val="center"/>
          </w:tcPr>
          <w:p w:rsidR="00440714" w:rsidRPr="00133F50" w:rsidRDefault="00440714" w:rsidP="00164E11">
            <w:pPr>
              <w:spacing w:line="240" w:lineRule="auto"/>
              <w:jc w:val="center"/>
              <w:rPr>
                <w:sz w:val="18"/>
                <w:szCs w:val="18"/>
              </w:rPr>
            </w:pPr>
            <w:r w:rsidRPr="00133F50">
              <w:rPr>
                <w:sz w:val="18"/>
                <w:szCs w:val="18"/>
              </w:rPr>
              <w:t>L21DH</w:t>
            </w:r>
          </w:p>
        </w:tc>
      </w:tr>
      <w:tr w:rsidR="00440714" w:rsidRPr="00133F50" w:rsidTr="00164E11">
        <w:trPr>
          <w:cantSplit/>
          <w:trHeight w:val="20"/>
          <w:jc w:val="center"/>
        </w:trPr>
        <w:tc>
          <w:tcPr>
            <w:tcW w:w="0" w:type="auto"/>
            <w:vMerge/>
          </w:tcPr>
          <w:p w:rsidR="00440714" w:rsidRPr="00133F50" w:rsidRDefault="00440714" w:rsidP="00164E11">
            <w:pPr>
              <w:spacing w:line="240" w:lineRule="auto"/>
              <w:rPr>
                <w:sz w:val="18"/>
                <w:szCs w:val="18"/>
              </w:rPr>
            </w:pPr>
          </w:p>
        </w:tc>
        <w:tc>
          <w:tcPr>
            <w:tcW w:w="0" w:type="auto"/>
          </w:tcPr>
          <w:p w:rsidR="00440714" w:rsidRPr="00133F50" w:rsidRDefault="00440714" w:rsidP="00164E11">
            <w:pPr>
              <w:spacing w:line="240" w:lineRule="auto"/>
              <w:jc w:val="center"/>
              <w:rPr>
                <w:sz w:val="18"/>
                <w:szCs w:val="18"/>
              </w:rPr>
            </w:pPr>
            <w:r w:rsidRPr="00133F50">
              <w:rPr>
                <w:sz w:val="18"/>
                <w:szCs w:val="18"/>
              </w:rPr>
              <w:t>1744</w:t>
            </w:r>
          </w:p>
        </w:tc>
        <w:tc>
          <w:tcPr>
            <w:tcW w:w="5671" w:type="dxa"/>
          </w:tcPr>
          <w:p w:rsidR="00440714" w:rsidRPr="00133F50" w:rsidRDefault="00440714" w:rsidP="00164E11">
            <w:pPr>
              <w:spacing w:line="240" w:lineRule="auto"/>
              <w:rPr>
                <w:sz w:val="18"/>
                <w:szCs w:val="18"/>
              </w:rPr>
            </w:pPr>
            <w:r w:rsidRPr="00133F50">
              <w:rPr>
                <w:sz w:val="18"/>
                <w:szCs w:val="18"/>
              </w:rPr>
              <w:t>Бром или брома раствор</w:t>
            </w:r>
          </w:p>
        </w:tc>
        <w:tc>
          <w:tcPr>
            <w:tcW w:w="1691" w:type="dxa"/>
            <w:vMerge/>
            <w:vAlign w:val="center"/>
          </w:tcPr>
          <w:p w:rsidR="00440714" w:rsidRPr="00133F50" w:rsidRDefault="00440714" w:rsidP="00164E11">
            <w:pPr>
              <w:spacing w:line="240" w:lineRule="auto"/>
              <w:jc w:val="center"/>
              <w:rPr>
                <w:sz w:val="18"/>
                <w:szCs w:val="18"/>
              </w:rPr>
            </w:pPr>
          </w:p>
        </w:tc>
      </w:tr>
      <w:tr w:rsidR="00440714" w:rsidRPr="00133F50" w:rsidTr="00164E11">
        <w:trPr>
          <w:cantSplit/>
          <w:trHeight w:val="20"/>
          <w:jc w:val="center"/>
        </w:trPr>
        <w:tc>
          <w:tcPr>
            <w:tcW w:w="0" w:type="auto"/>
            <w:vMerge/>
          </w:tcPr>
          <w:p w:rsidR="00440714" w:rsidRPr="00133F50" w:rsidRDefault="00440714" w:rsidP="00164E11">
            <w:pPr>
              <w:spacing w:line="240" w:lineRule="auto"/>
              <w:rPr>
                <w:sz w:val="18"/>
                <w:szCs w:val="18"/>
              </w:rPr>
            </w:pPr>
          </w:p>
        </w:tc>
        <w:tc>
          <w:tcPr>
            <w:tcW w:w="0" w:type="auto"/>
          </w:tcPr>
          <w:p w:rsidR="00440714" w:rsidRPr="00133F50" w:rsidRDefault="00440714" w:rsidP="00164E11">
            <w:pPr>
              <w:spacing w:line="240" w:lineRule="auto"/>
              <w:jc w:val="center"/>
              <w:rPr>
                <w:sz w:val="18"/>
                <w:szCs w:val="18"/>
              </w:rPr>
            </w:pPr>
            <w:r w:rsidRPr="00133F50">
              <w:rPr>
                <w:sz w:val="18"/>
                <w:szCs w:val="18"/>
              </w:rPr>
              <w:t>1790</w:t>
            </w:r>
          </w:p>
        </w:tc>
        <w:tc>
          <w:tcPr>
            <w:tcW w:w="5671" w:type="dxa"/>
          </w:tcPr>
          <w:p w:rsidR="00440714" w:rsidRPr="00133F50" w:rsidRDefault="00440714" w:rsidP="00164E11">
            <w:pPr>
              <w:spacing w:line="240" w:lineRule="auto"/>
              <w:rPr>
                <w:sz w:val="18"/>
                <w:szCs w:val="18"/>
              </w:rPr>
            </w:pPr>
            <w:r w:rsidRPr="00133F50">
              <w:rPr>
                <w:sz w:val="18"/>
                <w:szCs w:val="18"/>
              </w:rPr>
              <w:t>Кислоты фтористоводородной раствор с содержанием фторист</w:t>
            </w:r>
            <w:r w:rsidRPr="00133F50">
              <w:rPr>
                <w:sz w:val="18"/>
                <w:szCs w:val="18"/>
              </w:rPr>
              <w:t>о</w:t>
            </w:r>
            <w:r w:rsidRPr="00133F50">
              <w:rPr>
                <w:sz w:val="18"/>
                <w:szCs w:val="18"/>
              </w:rPr>
              <w:t>водородной кислоты более 85%</w:t>
            </w:r>
          </w:p>
        </w:tc>
        <w:tc>
          <w:tcPr>
            <w:tcW w:w="1691" w:type="dxa"/>
            <w:vMerge/>
            <w:vAlign w:val="center"/>
          </w:tcPr>
          <w:p w:rsidR="00440714" w:rsidRPr="00133F50" w:rsidRDefault="00440714" w:rsidP="00164E11">
            <w:pPr>
              <w:spacing w:line="240" w:lineRule="auto"/>
              <w:jc w:val="center"/>
              <w:rPr>
                <w:sz w:val="18"/>
                <w:szCs w:val="18"/>
              </w:rPr>
            </w:pPr>
          </w:p>
        </w:tc>
      </w:tr>
      <w:tr w:rsidR="00440714" w:rsidRPr="00133F50" w:rsidTr="00164E11">
        <w:trPr>
          <w:cantSplit/>
          <w:trHeight w:val="20"/>
          <w:jc w:val="center"/>
        </w:trPr>
        <w:tc>
          <w:tcPr>
            <w:tcW w:w="0" w:type="auto"/>
            <w:vMerge/>
          </w:tcPr>
          <w:p w:rsidR="00440714" w:rsidRPr="00133F50" w:rsidRDefault="00440714" w:rsidP="00164E11">
            <w:pPr>
              <w:spacing w:line="240" w:lineRule="auto"/>
              <w:rPr>
                <w:sz w:val="18"/>
                <w:szCs w:val="18"/>
              </w:rPr>
            </w:pPr>
          </w:p>
        </w:tc>
        <w:tc>
          <w:tcPr>
            <w:tcW w:w="0" w:type="auto"/>
          </w:tcPr>
          <w:p w:rsidR="00440714" w:rsidRPr="00133F50" w:rsidRDefault="00440714" w:rsidP="00164E11">
            <w:pPr>
              <w:spacing w:line="240" w:lineRule="auto"/>
              <w:jc w:val="center"/>
              <w:rPr>
                <w:sz w:val="18"/>
                <w:szCs w:val="18"/>
              </w:rPr>
            </w:pPr>
            <w:r w:rsidRPr="00133F50">
              <w:rPr>
                <w:sz w:val="18"/>
                <w:szCs w:val="18"/>
              </w:rPr>
              <w:t>1791</w:t>
            </w:r>
          </w:p>
        </w:tc>
        <w:tc>
          <w:tcPr>
            <w:tcW w:w="5671" w:type="dxa"/>
          </w:tcPr>
          <w:p w:rsidR="00440714" w:rsidRPr="00133F50" w:rsidRDefault="00440714" w:rsidP="00164E11">
            <w:pPr>
              <w:spacing w:line="240" w:lineRule="auto"/>
              <w:rPr>
                <w:sz w:val="18"/>
                <w:szCs w:val="18"/>
              </w:rPr>
            </w:pPr>
            <w:r w:rsidRPr="00133F50">
              <w:rPr>
                <w:sz w:val="18"/>
                <w:szCs w:val="18"/>
              </w:rPr>
              <w:t>Гипохлорита раствор</w:t>
            </w:r>
          </w:p>
        </w:tc>
        <w:tc>
          <w:tcPr>
            <w:tcW w:w="1691" w:type="dxa"/>
            <w:vMerge w:val="restart"/>
            <w:vAlign w:val="center"/>
          </w:tcPr>
          <w:p w:rsidR="00440714" w:rsidRPr="00133F50" w:rsidRDefault="00440714" w:rsidP="00164E11">
            <w:pPr>
              <w:spacing w:line="240" w:lineRule="auto"/>
              <w:jc w:val="center"/>
              <w:rPr>
                <w:sz w:val="18"/>
                <w:szCs w:val="18"/>
              </w:rPr>
            </w:pPr>
            <w:r w:rsidRPr="00133F50">
              <w:rPr>
                <w:sz w:val="18"/>
                <w:szCs w:val="18"/>
              </w:rPr>
              <w:t>L4BV</w:t>
            </w:r>
          </w:p>
        </w:tc>
      </w:tr>
      <w:tr w:rsidR="00440714" w:rsidRPr="00133F50" w:rsidTr="00164E11">
        <w:trPr>
          <w:cantSplit/>
          <w:trHeight w:val="20"/>
          <w:jc w:val="center"/>
        </w:trPr>
        <w:tc>
          <w:tcPr>
            <w:tcW w:w="0" w:type="auto"/>
            <w:vMerge/>
          </w:tcPr>
          <w:p w:rsidR="00440714" w:rsidRPr="00133F50" w:rsidRDefault="00440714" w:rsidP="00164E11">
            <w:pPr>
              <w:spacing w:line="240" w:lineRule="auto"/>
              <w:rPr>
                <w:sz w:val="18"/>
                <w:szCs w:val="18"/>
              </w:rPr>
            </w:pPr>
          </w:p>
        </w:tc>
        <w:tc>
          <w:tcPr>
            <w:tcW w:w="0" w:type="auto"/>
          </w:tcPr>
          <w:p w:rsidR="00440714" w:rsidRPr="00133F50" w:rsidRDefault="00440714" w:rsidP="00164E11">
            <w:pPr>
              <w:spacing w:line="240" w:lineRule="auto"/>
              <w:jc w:val="center"/>
              <w:rPr>
                <w:sz w:val="18"/>
                <w:szCs w:val="18"/>
              </w:rPr>
            </w:pPr>
            <w:r w:rsidRPr="00133F50">
              <w:rPr>
                <w:sz w:val="18"/>
                <w:szCs w:val="18"/>
              </w:rPr>
              <w:t>1908</w:t>
            </w:r>
          </w:p>
        </w:tc>
        <w:tc>
          <w:tcPr>
            <w:tcW w:w="5671" w:type="dxa"/>
          </w:tcPr>
          <w:p w:rsidR="00440714" w:rsidRPr="00133F50" w:rsidRDefault="00440714" w:rsidP="00164E11">
            <w:pPr>
              <w:spacing w:line="240" w:lineRule="auto"/>
              <w:rPr>
                <w:sz w:val="18"/>
                <w:szCs w:val="18"/>
              </w:rPr>
            </w:pPr>
            <w:r w:rsidRPr="00133F50">
              <w:rPr>
                <w:sz w:val="18"/>
                <w:szCs w:val="18"/>
              </w:rPr>
              <w:t>Хлорита раствор</w:t>
            </w:r>
          </w:p>
        </w:tc>
        <w:tc>
          <w:tcPr>
            <w:tcW w:w="1691" w:type="dxa"/>
            <w:vMerge/>
            <w:vAlign w:val="center"/>
          </w:tcPr>
          <w:p w:rsidR="00440714" w:rsidRPr="00133F50" w:rsidRDefault="00440714" w:rsidP="00164E11">
            <w:pPr>
              <w:spacing w:line="240" w:lineRule="auto"/>
              <w:rPr>
                <w:sz w:val="18"/>
                <w:szCs w:val="18"/>
              </w:rPr>
            </w:pPr>
          </w:p>
        </w:tc>
      </w:tr>
    </w:tbl>
    <w:p w:rsidR="00692125" w:rsidRDefault="001D63D9" w:rsidP="00826140">
      <w:pPr>
        <w:pStyle w:val="SingleTxtGR"/>
        <w:suppressAutoHyphens/>
        <w:spacing w:before="120" w:after="0" w:line="220" w:lineRule="exact"/>
        <w:ind w:firstLine="170"/>
        <w:jc w:val="left"/>
        <w:rPr>
          <w:i/>
          <w:sz w:val="18"/>
          <w:szCs w:val="18"/>
        </w:rPr>
      </w:pPr>
      <w:r>
        <w:rPr>
          <w:i/>
          <w:sz w:val="18"/>
          <w:szCs w:val="18"/>
        </w:rPr>
        <w:t xml:space="preserve">*  </w:t>
      </w:r>
      <w:r w:rsidR="00692125" w:rsidRPr="00692125">
        <w:rPr>
          <w:i/>
          <w:sz w:val="18"/>
          <w:szCs w:val="18"/>
        </w:rPr>
        <w:t>Независимо от общих требований этого пункта, цистерны, используемые для радиоактивного материала, могут также использоваться для перевозки других грузов при условии соблюдения требований пункта 5.1.3.2.</w:t>
      </w:r>
    </w:p>
    <w:p w:rsidR="00692125" w:rsidRPr="00447AF0" w:rsidRDefault="00692125" w:rsidP="00692125">
      <w:pPr>
        <w:pStyle w:val="SingleTxtGR"/>
        <w:spacing w:before="120"/>
        <w:rPr>
          <w:i/>
          <w:iCs/>
        </w:rPr>
      </w:pPr>
      <w:r w:rsidRPr="00447AF0">
        <w:rPr>
          <w:i/>
          <w:iCs/>
        </w:rPr>
        <w:t>(Справочный документ: неофициальные документы INF.6 и INF.19)</w:t>
      </w:r>
    </w:p>
    <w:p w:rsidR="00692125" w:rsidRPr="00692125" w:rsidRDefault="00692125" w:rsidP="00506999">
      <w:pPr>
        <w:pStyle w:val="SingleTxtGR"/>
        <w:tabs>
          <w:tab w:val="clear" w:pos="1701"/>
          <w:tab w:val="clear" w:pos="2268"/>
          <w:tab w:val="left" w:pos="2240"/>
        </w:tabs>
      </w:pPr>
      <w:r w:rsidRPr="00692125">
        <w:t>4.3.5</w:t>
      </w:r>
      <w:proofErr w:type="gramStart"/>
      <w:r w:rsidRPr="00692125">
        <w:tab/>
        <w:t>Д</w:t>
      </w:r>
      <w:proofErr w:type="gramEnd"/>
      <w:r w:rsidRPr="00692125">
        <w:t>обавить новое специальное положение следующего содержания:</w:t>
      </w:r>
    </w:p>
    <w:p w:rsidR="00692125" w:rsidRPr="00692125" w:rsidRDefault="00692125" w:rsidP="00447AF0">
      <w:pPr>
        <w:pStyle w:val="SingleTxtGR"/>
      </w:pPr>
      <w:r w:rsidRPr="00692125">
        <w:t>«TU42</w:t>
      </w:r>
      <w:r w:rsidRPr="00692125">
        <w:tab/>
        <w:t>Цистерны с корпусом, изготовленным из алюминиевого сплава, в</w:t>
      </w:r>
      <w:r w:rsidR="00447AF0">
        <w:t> </w:t>
      </w:r>
      <w:r w:rsidRPr="00692125">
        <w:t>том числе с защитной облицовкой, используются только в случае, если знач</w:t>
      </w:r>
      <w:r w:rsidRPr="00692125">
        <w:t>е</w:t>
      </w:r>
      <w:r w:rsidRPr="00692125">
        <w:t xml:space="preserve">ние </w:t>
      </w:r>
      <w:proofErr w:type="spellStart"/>
      <w:r w:rsidRPr="00692125">
        <w:t>pH</w:t>
      </w:r>
      <w:proofErr w:type="spellEnd"/>
      <w:r w:rsidRPr="00692125">
        <w:t xml:space="preserve"> вещества составляет не менее 5,0 и не более 8,0».</w:t>
      </w:r>
    </w:p>
    <w:p w:rsidR="00692125" w:rsidRPr="00692125" w:rsidRDefault="00692125" w:rsidP="00692125">
      <w:pPr>
        <w:pStyle w:val="SingleTxtGR"/>
        <w:rPr>
          <w:i/>
          <w:iCs/>
        </w:rPr>
      </w:pPr>
      <w:r w:rsidRPr="00692125">
        <w:rPr>
          <w:i/>
          <w:iCs/>
        </w:rPr>
        <w:t>(Справочный документ: неофициальный документ INF.38, предложение 8)</w:t>
      </w:r>
    </w:p>
    <w:p w:rsidR="00692125" w:rsidRPr="00692125" w:rsidRDefault="00692125" w:rsidP="00447AF0">
      <w:pPr>
        <w:pStyle w:val="H1GR"/>
      </w:pPr>
      <w:r w:rsidRPr="00692125">
        <w:tab/>
      </w:r>
      <w:r w:rsidRPr="00692125">
        <w:tab/>
        <w:t>Глава 6.2</w:t>
      </w:r>
    </w:p>
    <w:p w:rsidR="00692125" w:rsidRPr="00692125" w:rsidRDefault="00692125" w:rsidP="00A50BFD">
      <w:pPr>
        <w:pStyle w:val="SingleTxtGR"/>
      </w:pPr>
      <w:r w:rsidRPr="00692125">
        <w:t>6.2.3.9.6</w:t>
      </w:r>
      <w:proofErr w:type="gramStart"/>
      <w:r w:rsidRPr="00692125">
        <w:tab/>
        <w:t>Д</w:t>
      </w:r>
      <w:proofErr w:type="gramEnd"/>
      <w:r w:rsidRPr="00692125">
        <w:t>обавить «или барабану под давлением» после «баллону» и «или</w:t>
      </w:r>
      <w:r w:rsidR="00A50BFD">
        <w:t> </w:t>
      </w:r>
      <w:r w:rsidRPr="00692125">
        <w:t>барабана под давлением» после «баллона».</w:t>
      </w:r>
    </w:p>
    <w:p w:rsidR="00692125" w:rsidRPr="00692125" w:rsidRDefault="00692125" w:rsidP="00692125">
      <w:pPr>
        <w:pStyle w:val="SingleTxtGR"/>
        <w:rPr>
          <w:i/>
        </w:rPr>
      </w:pPr>
      <w:proofErr w:type="gramStart"/>
      <w:r w:rsidRPr="00692125">
        <w:rPr>
          <w:i/>
        </w:rPr>
        <w:t>(Справочный документ:</w:t>
      </w:r>
      <w:proofErr w:type="gramEnd"/>
      <w:r w:rsidRPr="00692125">
        <w:rPr>
          <w:i/>
        </w:rPr>
        <w:t xml:space="preserve"> </w:t>
      </w:r>
      <w:proofErr w:type="gramStart"/>
      <w:r w:rsidRPr="00692125">
        <w:rPr>
          <w:i/>
        </w:rPr>
        <w:t>ECE/TRANS/WP.15/AC.1/2016/32)</w:t>
      </w:r>
      <w:proofErr w:type="gramEnd"/>
    </w:p>
    <w:p w:rsidR="004775DD" w:rsidRDefault="00447AF0" w:rsidP="00692125">
      <w:pPr>
        <w:pStyle w:val="SingleTxtGR"/>
      </w:pPr>
      <w:r>
        <w:t>6.2.4.1</w:t>
      </w:r>
      <w:proofErr w:type="gramStart"/>
      <w:r>
        <w:tab/>
      </w:r>
      <w:r w:rsidR="00692125" w:rsidRPr="00692125">
        <w:t>В</w:t>
      </w:r>
      <w:proofErr w:type="gramEnd"/>
      <w:r w:rsidR="00692125" w:rsidRPr="00692125">
        <w:t xml:space="preserve"> таблице, под заголовком «Для конструкции и изготовления» для стандарта «EN ISO 11120:1999 + A1:2013», в колонке 4 заменить «До дальне</w:t>
      </w:r>
      <w:r w:rsidR="00692125" w:rsidRPr="00692125">
        <w:t>й</w:t>
      </w:r>
      <w:r w:rsidR="00692125" w:rsidRPr="00692125">
        <w:t>шего указания» на «С 1 января 2015 года до 31 декабря 2020 года». После ста</w:t>
      </w:r>
      <w:r w:rsidR="00692125" w:rsidRPr="00692125">
        <w:t>н</w:t>
      </w:r>
      <w:r w:rsidR="00692125" w:rsidRPr="00692125">
        <w:t>дарта «EN ISO 11120:1999 + A1:2013» включить следующую новую строку:</w:t>
      </w:r>
    </w:p>
    <w:tbl>
      <w:tblPr>
        <w:tblStyle w:val="TabTxt"/>
        <w:tblW w:w="9637"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588"/>
        <w:gridCol w:w="5103"/>
        <w:gridCol w:w="1231"/>
        <w:gridCol w:w="1178"/>
        <w:gridCol w:w="537"/>
      </w:tblGrid>
      <w:tr w:rsidR="00447AF0" w:rsidRPr="00447AF0" w:rsidTr="00447AF0">
        <w:tc>
          <w:tcPr>
            <w:tcW w:w="1588" w:type="dxa"/>
          </w:tcPr>
          <w:p w:rsidR="00447AF0" w:rsidRPr="00447AF0" w:rsidRDefault="00447AF0" w:rsidP="00447AF0">
            <w:r w:rsidRPr="00447AF0">
              <w:t>EN ISO 11120:2015</w:t>
            </w:r>
          </w:p>
        </w:tc>
        <w:tc>
          <w:tcPr>
            <w:tcW w:w="5103" w:type="dxa"/>
          </w:tcPr>
          <w:p w:rsidR="00447AF0" w:rsidRPr="00447AF0" w:rsidRDefault="00447AF0" w:rsidP="00447AF0">
            <w:r>
              <w:t>Газовые баллоны –</w:t>
            </w:r>
            <w:r w:rsidRPr="00447AF0">
              <w:t xml:space="preserve"> Бесшовные стальные цилиндры многоразового использования вместимостью </w:t>
            </w:r>
            <w:r>
              <w:t>по воде от 150 до 3 000 литров –</w:t>
            </w:r>
            <w:r w:rsidRPr="00447AF0">
              <w:t xml:space="preserve"> Конструкция, изготовление и испытания</w:t>
            </w:r>
          </w:p>
        </w:tc>
        <w:tc>
          <w:tcPr>
            <w:tcW w:w="1231" w:type="dxa"/>
          </w:tcPr>
          <w:p w:rsidR="00447AF0" w:rsidRPr="00447AF0" w:rsidRDefault="00447AF0" w:rsidP="00447AF0">
            <w:r w:rsidRPr="00447AF0">
              <w:t>6.2.3.1 и 6.2.3.4</w:t>
            </w:r>
          </w:p>
        </w:tc>
        <w:tc>
          <w:tcPr>
            <w:tcW w:w="1178" w:type="dxa"/>
          </w:tcPr>
          <w:p w:rsidR="00447AF0" w:rsidRPr="00447AF0" w:rsidRDefault="00447AF0" w:rsidP="00447AF0">
            <w:r w:rsidRPr="00447AF0">
              <w:t>До дал</w:t>
            </w:r>
            <w:r w:rsidRPr="00447AF0">
              <w:t>ь</w:t>
            </w:r>
            <w:r w:rsidRPr="00447AF0">
              <w:t>нейшего указания</w:t>
            </w:r>
          </w:p>
        </w:tc>
        <w:tc>
          <w:tcPr>
            <w:cnfStyle w:val="000100000000" w:firstRow="0" w:lastRow="0" w:firstColumn="0" w:lastColumn="1"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47AF0" w:rsidRPr="00447AF0" w:rsidRDefault="00447AF0" w:rsidP="00447AF0"/>
        </w:tc>
      </w:tr>
    </w:tbl>
    <w:p w:rsidR="00A20F7A" w:rsidRPr="00A20F7A" w:rsidRDefault="00A20F7A" w:rsidP="00A20F7A">
      <w:pPr>
        <w:pStyle w:val="SingleTxtGR"/>
        <w:spacing w:before="120"/>
        <w:rPr>
          <w:i/>
          <w:iCs/>
        </w:rPr>
      </w:pPr>
      <w:r w:rsidRPr="00A20F7A">
        <w:rPr>
          <w:i/>
          <w:iCs/>
        </w:rPr>
        <w:t>(Справочный документ: неофициальный документ INF.34, предложение 3)</w:t>
      </w:r>
    </w:p>
    <w:p w:rsidR="00A20F7A" w:rsidRPr="00A20F7A" w:rsidRDefault="00A20F7A" w:rsidP="00A20F7A">
      <w:pPr>
        <w:pStyle w:val="SingleTxtGR"/>
      </w:pPr>
      <w:r w:rsidRPr="00A20F7A">
        <w:t>6.2.6.4</w:t>
      </w:r>
      <w:proofErr w:type="gramStart"/>
      <w:r w:rsidRPr="00A20F7A">
        <w:tab/>
        <w:t>В</w:t>
      </w:r>
      <w:proofErr w:type="gramEnd"/>
      <w:r w:rsidRPr="00A20F7A">
        <w:t xml:space="preserve"> конце третьего абзаца исключить «за исключением пункта 9» и добавить следующее новое предложение: «Помимо маркировочных знаков, предусмотренных этим стандартом, газовый баллончик маркируется следу</w:t>
      </w:r>
      <w:r w:rsidRPr="00A20F7A">
        <w:t>ю</w:t>
      </w:r>
      <w:r w:rsidRPr="00A20F7A">
        <w:t>щим образом: "UN 2037/EN 16509"».</w:t>
      </w:r>
    </w:p>
    <w:p w:rsidR="00A20F7A" w:rsidRPr="00A20F7A" w:rsidRDefault="00A20F7A" w:rsidP="00A20F7A">
      <w:pPr>
        <w:pStyle w:val="SingleTxtGR"/>
        <w:rPr>
          <w:i/>
          <w:iCs/>
        </w:rPr>
      </w:pPr>
      <w:proofErr w:type="gramStart"/>
      <w:r w:rsidRPr="00A20F7A">
        <w:rPr>
          <w:i/>
          <w:iCs/>
        </w:rPr>
        <w:t>(Справочный документ:</w:t>
      </w:r>
      <w:proofErr w:type="gramEnd"/>
      <w:r w:rsidRPr="00A20F7A">
        <w:rPr>
          <w:i/>
          <w:iCs/>
        </w:rPr>
        <w:t xml:space="preserve"> </w:t>
      </w:r>
      <w:proofErr w:type="gramStart"/>
      <w:r w:rsidRPr="00A20F7A">
        <w:rPr>
          <w:i/>
          <w:iCs/>
        </w:rPr>
        <w:t>ECE/TRANS/WP.15/AC.1/2016/38 и неофициальные д</w:t>
      </w:r>
      <w:r w:rsidRPr="00A20F7A">
        <w:rPr>
          <w:i/>
          <w:iCs/>
        </w:rPr>
        <w:t>о</w:t>
      </w:r>
      <w:r w:rsidRPr="00A20F7A">
        <w:rPr>
          <w:i/>
          <w:iCs/>
        </w:rPr>
        <w:t>кументы INF.11 и INF.34, предложение 4, с поправками)</w:t>
      </w:r>
      <w:proofErr w:type="gramEnd"/>
    </w:p>
    <w:p w:rsidR="00A20F7A" w:rsidRPr="00A20F7A" w:rsidRDefault="00A20F7A" w:rsidP="00506999">
      <w:pPr>
        <w:pStyle w:val="H1GR"/>
        <w:pageBreakBefore/>
      </w:pPr>
      <w:r w:rsidRPr="00A20F7A">
        <w:lastRenderedPageBreak/>
        <w:tab/>
      </w:r>
      <w:r w:rsidRPr="00A20F7A">
        <w:tab/>
        <w:t>Глава 6.8</w:t>
      </w:r>
    </w:p>
    <w:p w:rsidR="00A20F7A" w:rsidRPr="00A20F7A" w:rsidRDefault="00A20F7A" w:rsidP="00A20F7A">
      <w:pPr>
        <w:pStyle w:val="SingleTxtGR"/>
      </w:pPr>
      <w:r w:rsidRPr="00A20F7A">
        <w:t>6.8.2.1.9</w:t>
      </w:r>
      <w:proofErr w:type="gramStart"/>
      <w:r w:rsidRPr="00A20F7A">
        <w:tab/>
        <w:t>В</w:t>
      </w:r>
      <w:proofErr w:type="gramEnd"/>
      <w:r w:rsidRPr="00A20F7A">
        <w:t xml:space="preserve"> первом абзаце заменить «существенно» на «заметно».</w:t>
      </w:r>
    </w:p>
    <w:p w:rsidR="00A20F7A" w:rsidRPr="00A20F7A" w:rsidRDefault="00A20F7A" w:rsidP="00A20F7A">
      <w:pPr>
        <w:pStyle w:val="SingleTxtGR"/>
        <w:rPr>
          <w:i/>
          <w:iCs/>
        </w:rPr>
      </w:pPr>
      <w:r w:rsidRPr="00A20F7A">
        <w:rPr>
          <w:i/>
          <w:iCs/>
        </w:rPr>
        <w:t>(Справочный документ: неофициальный документ INF.38, предложение 10)</w:t>
      </w:r>
    </w:p>
    <w:p w:rsidR="00A20F7A" w:rsidRPr="00A20F7A" w:rsidRDefault="00A20F7A" w:rsidP="00A20F7A">
      <w:pPr>
        <w:pStyle w:val="SingleTxtGR"/>
        <w:rPr>
          <w:iCs/>
        </w:rPr>
      </w:pPr>
      <w:r w:rsidRPr="00A20F7A">
        <w:t>[6.8.2.2</w:t>
      </w:r>
      <w:proofErr w:type="gramStart"/>
      <w:r w:rsidRPr="00A20F7A">
        <w:tab/>
        <w:t>Д</w:t>
      </w:r>
      <w:proofErr w:type="gramEnd"/>
      <w:r w:rsidRPr="00A20F7A">
        <w:t xml:space="preserve">обавить следующий новый пункт: </w:t>
      </w:r>
      <w:proofErr w:type="gramStart"/>
      <w:r w:rsidRPr="00A20F7A">
        <w:t>«Не должны использоваться стеклянные уровнемеры и измерительные приборы из другого хрупкого мат</w:t>
      </w:r>
      <w:r w:rsidRPr="00A20F7A">
        <w:t>е</w:t>
      </w:r>
      <w:r w:rsidRPr="00A20F7A">
        <w:t>риала, находящиеся в непосредственном контакте с содержимым корпуса».</w:t>
      </w:r>
      <w:r w:rsidRPr="00A20F7A">
        <w:rPr>
          <w:iCs/>
        </w:rPr>
        <w:t>]</w:t>
      </w:r>
      <w:proofErr w:type="gramEnd"/>
    </w:p>
    <w:p w:rsidR="00A20F7A" w:rsidRPr="00A20F7A" w:rsidRDefault="00A20F7A" w:rsidP="00A20F7A">
      <w:pPr>
        <w:pStyle w:val="SingleTxtGR"/>
        <w:rPr>
          <w:i/>
          <w:iCs/>
        </w:rPr>
      </w:pPr>
      <w:r w:rsidRPr="00A20F7A">
        <w:rPr>
          <w:i/>
          <w:iCs/>
        </w:rPr>
        <w:t>(Справочный документ: неофициальный документ INF.38, предложение 1)</w:t>
      </w:r>
    </w:p>
    <w:p w:rsidR="00A20F7A" w:rsidRPr="00A20F7A" w:rsidRDefault="00A20F7A" w:rsidP="00A20F7A">
      <w:pPr>
        <w:pStyle w:val="SingleTxtGR"/>
      </w:pPr>
      <w:r w:rsidRPr="00A20F7A">
        <w:t>6.8.2.2.2</w:t>
      </w:r>
      <w:proofErr w:type="gramStart"/>
      <w:r w:rsidRPr="00A20F7A">
        <w:tab/>
        <w:t>П</w:t>
      </w:r>
      <w:proofErr w:type="gramEnd"/>
      <w:r w:rsidRPr="00A20F7A">
        <w:t>осле второй серии отступов с тире заменить «с эбонитовым или термопластическим покрытием» на «с защитной облицовкой».</w:t>
      </w:r>
    </w:p>
    <w:p w:rsidR="00A20F7A" w:rsidRPr="00A20F7A" w:rsidRDefault="00A20F7A" w:rsidP="00A20F7A">
      <w:pPr>
        <w:pStyle w:val="SingleTxtGR"/>
        <w:rPr>
          <w:i/>
          <w:iCs/>
        </w:rPr>
      </w:pPr>
      <w:r w:rsidRPr="00A20F7A">
        <w:rPr>
          <w:i/>
          <w:iCs/>
        </w:rPr>
        <w:t>(Справочный документ: неофициальный документ INF.38, предложение 11)</w:t>
      </w:r>
    </w:p>
    <w:p w:rsidR="00A20F7A" w:rsidRPr="00A20F7A" w:rsidRDefault="00A20F7A" w:rsidP="00A20F7A">
      <w:pPr>
        <w:pStyle w:val="SingleTxtGR"/>
      </w:pPr>
      <w:r w:rsidRPr="00A20F7A">
        <w:t>[6.8.3.2.6</w:t>
      </w:r>
      <w:proofErr w:type="gramStart"/>
      <w:r w:rsidRPr="00A20F7A">
        <w:tab/>
        <w:t>И</w:t>
      </w:r>
      <w:proofErr w:type="gramEnd"/>
      <w:r w:rsidRPr="00A20F7A">
        <w:t>сключить первое предложение.]</w:t>
      </w:r>
    </w:p>
    <w:p w:rsidR="00A20F7A" w:rsidRPr="00A20F7A" w:rsidRDefault="00A20F7A" w:rsidP="00A20F7A">
      <w:pPr>
        <w:pStyle w:val="SingleTxtGR"/>
        <w:rPr>
          <w:i/>
          <w:iCs/>
        </w:rPr>
      </w:pPr>
      <w:r w:rsidRPr="00A20F7A">
        <w:rPr>
          <w:i/>
          <w:iCs/>
        </w:rPr>
        <w:t>(Справочный документ: неофициальный документ INF.38, предложение 2)</w:t>
      </w:r>
    </w:p>
    <w:p w:rsidR="00A20F7A" w:rsidRPr="00A20F7A" w:rsidRDefault="00A20F7A" w:rsidP="00A20F7A">
      <w:pPr>
        <w:pStyle w:val="SingleTxtGR"/>
        <w:rPr>
          <w:iCs/>
        </w:rPr>
      </w:pPr>
      <w:r w:rsidRPr="00A20F7A">
        <w:rPr>
          <w:iCs/>
        </w:rPr>
        <w:t>6.8.2.4.2 и 6.8.2.4.3</w:t>
      </w:r>
      <w:proofErr w:type="gramStart"/>
      <w:r w:rsidRPr="00A20F7A">
        <w:rPr>
          <w:iCs/>
        </w:rPr>
        <w:tab/>
        <w:t>В</w:t>
      </w:r>
      <w:proofErr w:type="gramEnd"/>
      <w:r w:rsidRPr="00A20F7A">
        <w:rPr>
          <w:iCs/>
        </w:rPr>
        <w:t xml:space="preserve"> конце добавить следующий новый пункт: </w:t>
      </w:r>
    </w:p>
    <w:p w:rsidR="00A20F7A" w:rsidRPr="00A20F7A" w:rsidRDefault="00A20F7A" w:rsidP="00A20F7A">
      <w:pPr>
        <w:pStyle w:val="SingleTxtGR"/>
        <w:rPr>
          <w:iCs/>
        </w:rPr>
      </w:pPr>
      <w:r w:rsidRPr="00A20F7A">
        <w:rPr>
          <w:iCs/>
        </w:rPr>
        <w:t>«Защитные облицовки визуально проверяются на предмет дефектов. В случае появления дефектов состояние облицовки оценивается с помощью соотве</w:t>
      </w:r>
      <w:r w:rsidRPr="00A20F7A">
        <w:rPr>
          <w:iCs/>
        </w:rPr>
        <w:t>т</w:t>
      </w:r>
      <w:r w:rsidRPr="00A20F7A">
        <w:rPr>
          <w:iCs/>
        </w:rPr>
        <w:t>ствующих испытаний».</w:t>
      </w:r>
    </w:p>
    <w:p w:rsidR="00A20F7A" w:rsidRPr="00A20F7A" w:rsidRDefault="00A20F7A" w:rsidP="00A20F7A">
      <w:pPr>
        <w:pStyle w:val="SingleTxtGR"/>
        <w:rPr>
          <w:i/>
          <w:iCs/>
        </w:rPr>
      </w:pPr>
      <w:r w:rsidRPr="00A20F7A">
        <w:rPr>
          <w:i/>
          <w:iCs/>
        </w:rPr>
        <w:t>(Справочный документ: неофициальный документ INF.38, предложение 12)</w:t>
      </w:r>
    </w:p>
    <w:p w:rsidR="00A20F7A" w:rsidRPr="00A20F7A" w:rsidRDefault="00A20F7A" w:rsidP="00A20F7A">
      <w:pPr>
        <w:pStyle w:val="SingleTxtGR"/>
      </w:pPr>
      <w:r w:rsidRPr="00A20F7A">
        <w:rPr>
          <w:bCs/>
          <w:iCs/>
        </w:rPr>
        <w:t>[6.8.3.2.9</w:t>
      </w:r>
      <w:proofErr w:type="gramStart"/>
      <w:r w:rsidRPr="00A20F7A">
        <w:rPr>
          <w:bCs/>
          <w:iCs/>
        </w:rPr>
        <w:tab/>
      </w:r>
      <w:r w:rsidRPr="00A20F7A">
        <w:t>В</w:t>
      </w:r>
      <w:proofErr w:type="gramEnd"/>
      <w:r w:rsidRPr="00A20F7A">
        <w:t xml:space="preserve"> конце добавить следующий новый пункт:</w:t>
      </w:r>
    </w:p>
    <w:p w:rsidR="00A20F7A" w:rsidRPr="00A20F7A" w:rsidRDefault="00A20F7A" w:rsidP="00A20F7A">
      <w:pPr>
        <w:pStyle w:val="SingleTxtGR"/>
        <w:rPr>
          <w:iCs/>
        </w:rPr>
      </w:pPr>
      <w:r w:rsidRPr="00A20F7A">
        <w:rPr>
          <w:iCs/>
        </w:rPr>
        <w:t xml:space="preserve">«Предохранительные клапаны, которые могут собирать воду, </w:t>
      </w:r>
      <w:proofErr w:type="gramStart"/>
      <w:r w:rsidRPr="00A20F7A">
        <w:rPr>
          <w:iCs/>
        </w:rPr>
        <w:t>например</w:t>
      </w:r>
      <w:proofErr w:type="gramEnd"/>
      <w:r w:rsidRPr="00A20F7A">
        <w:rPr>
          <w:iCs/>
        </w:rPr>
        <w:t xml:space="preserve"> от д</w:t>
      </w:r>
      <w:r w:rsidRPr="00A20F7A">
        <w:rPr>
          <w:iCs/>
        </w:rPr>
        <w:t>о</w:t>
      </w:r>
      <w:r w:rsidRPr="00A20F7A">
        <w:rPr>
          <w:iCs/>
        </w:rPr>
        <w:t xml:space="preserve">ждя или брызг, что может помешать их правильному функционированию, например в случае, если вода замерзнет, оснащаются защитным колпаком. </w:t>
      </w:r>
      <w:proofErr w:type="gramStart"/>
      <w:r w:rsidRPr="00A20F7A">
        <w:rPr>
          <w:iCs/>
        </w:rPr>
        <w:t>З</w:t>
      </w:r>
      <w:r w:rsidRPr="00A20F7A">
        <w:rPr>
          <w:iCs/>
        </w:rPr>
        <w:t>а</w:t>
      </w:r>
      <w:r w:rsidRPr="00A20F7A">
        <w:rPr>
          <w:iCs/>
        </w:rPr>
        <w:t>щитный колпак не должен влиять на эффективность работы клапана»</w:t>
      </w:r>
      <w:r w:rsidRPr="00A20F7A">
        <w:t>.]</w:t>
      </w:r>
      <w:proofErr w:type="gramEnd"/>
    </w:p>
    <w:p w:rsidR="00A20F7A" w:rsidRPr="00A20F7A" w:rsidRDefault="00A20F7A" w:rsidP="00A20F7A">
      <w:pPr>
        <w:pStyle w:val="SingleTxtGR"/>
        <w:rPr>
          <w:i/>
        </w:rPr>
      </w:pPr>
      <w:r w:rsidRPr="00A20F7A">
        <w:rPr>
          <w:i/>
        </w:rPr>
        <w:t xml:space="preserve">(Справочный документ: </w:t>
      </w:r>
      <w:r w:rsidRPr="00A20F7A">
        <w:rPr>
          <w:i/>
          <w:iCs/>
        </w:rPr>
        <w:t xml:space="preserve">неофициальный документ </w:t>
      </w:r>
      <w:r w:rsidRPr="00A20F7A">
        <w:rPr>
          <w:i/>
        </w:rPr>
        <w:t>INF.38, предложение 4)</w:t>
      </w:r>
    </w:p>
    <w:p w:rsidR="00A20F7A" w:rsidRPr="00A20F7A" w:rsidRDefault="00A20F7A" w:rsidP="00A20F7A">
      <w:pPr>
        <w:pStyle w:val="SingleTxtGR"/>
      </w:pPr>
      <w:r>
        <w:t>6.8.5.4</w:t>
      </w:r>
      <w:proofErr w:type="gramStart"/>
      <w:r>
        <w:tab/>
      </w:r>
      <w:r w:rsidRPr="00A20F7A">
        <w:t>З</w:t>
      </w:r>
      <w:proofErr w:type="gramEnd"/>
      <w:r w:rsidRPr="00A20F7A">
        <w:t>аменить «EN</w:t>
      </w:r>
      <w:r>
        <w:t xml:space="preserve"> 1252-1:1998 Криогенные сосуды –</w:t>
      </w:r>
      <w:r w:rsidRPr="00A20F7A">
        <w:t xml:space="preserve"> Материалы </w:t>
      </w:r>
      <w:r>
        <w:t>–</w:t>
      </w:r>
      <w:r w:rsidRPr="00A20F7A">
        <w:t xml:space="preserve"> Часть 1: Требования в отношении ударной вязкости при температуре ни</w:t>
      </w:r>
      <w:r>
        <w:t xml:space="preserve">же </w:t>
      </w:r>
      <w:r>
        <w:br/>
        <w:t>–</w:t>
      </w:r>
      <w:r w:rsidRPr="00A20F7A">
        <w:t>80</w:t>
      </w:r>
      <w:proofErr w:type="gramStart"/>
      <w:r>
        <w:t> </w:t>
      </w:r>
      <w:r w:rsidRPr="00A20F7A">
        <w:t>°С</w:t>
      </w:r>
      <w:proofErr w:type="gramEnd"/>
      <w:r w:rsidRPr="00A20F7A">
        <w:t>» на «EN ISO 21</w:t>
      </w:r>
      <w:r>
        <w:t>028-1:[2016] Криогенные сосуды –</w:t>
      </w:r>
      <w:r w:rsidRPr="00A20F7A">
        <w:t xml:space="preserve"> Требования в отн</w:t>
      </w:r>
      <w:r w:rsidRPr="00A20F7A">
        <w:t>о</w:t>
      </w:r>
      <w:r w:rsidRPr="00A20F7A">
        <w:t>шении ударной вязкости материа</w:t>
      </w:r>
      <w:r>
        <w:t>лов при криогенной температуре –</w:t>
      </w:r>
      <w:r w:rsidRPr="00A20F7A">
        <w:t xml:space="preserve"> Часть 1: Темпера</w:t>
      </w:r>
      <w:r>
        <w:t>тура ниже –</w:t>
      </w:r>
      <w:r w:rsidRPr="00A20F7A">
        <w:t>80 °C».</w:t>
      </w:r>
    </w:p>
    <w:p w:rsidR="00A20F7A" w:rsidRPr="00A20F7A" w:rsidRDefault="00A20F7A" w:rsidP="00A20F7A">
      <w:pPr>
        <w:pStyle w:val="SingleTxtGR"/>
        <w:rPr>
          <w:i/>
          <w:iCs/>
        </w:rPr>
      </w:pPr>
      <w:r w:rsidRPr="00A20F7A">
        <w:rPr>
          <w:i/>
          <w:iCs/>
        </w:rPr>
        <w:t>(Справочный документ: неофициальный документ INF.34, предложение 2)</w:t>
      </w:r>
    </w:p>
    <w:p w:rsidR="00A20F7A" w:rsidRPr="00A20F7A" w:rsidRDefault="00A20F7A" w:rsidP="00A20F7A">
      <w:pPr>
        <w:pStyle w:val="H1GR"/>
      </w:pPr>
      <w:r w:rsidRPr="00A20F7A">
        <w:tab/>
      </w:r>
      <w:r w:rsidRPr="00A20F7A">
        <w:tab/>
        <w:t>Глава 6.10</w:t>
      </w:r>
    </w:p>
    <w:p w:rsidR="00A20F7A" w:rsidRPr="00A20F7A" w:rsidRDefault="00A20F7A" w:rsidP="00A20F7A">
      <w:pPr>
        <w:pStyle w:val="SingleTxtGR"/>
        <w:rPr>
          <w:iCs/>
        </w:rPr>
      </w:pPr>
      <w:r w:rsidRPr="00A20F7A">
        <w:rPr>
          <w:bCs/>
          <w:iCs/>
        </w:rPr>
        <w:t>[</w:t>
      </w:r>
      <w:r w:rsidRPr="00A20F7A">
        <w:rPr>
          <w:iCs/>
        </w:rPr>
        <w:t>6.10.3.8</w:t>
      </w:r>
      <w:r>
        <w:rPr>
          <w:iCs/>
        </w:rPr>
        <w:t xml:space="preserve"> </w:t>
      </w:r>
      <w:r w:rsidRPr="00A20F7A">
        <w:rPr>
          <w:iCs/>
        </w:rPr>
        <w:t>f</w:t>
      </w:r>
      <w:r>
        <w:rPr>
          <w:iCs/>
        </w:rPr>
        <w:t>)</w:t>
      </w:r>
      <w:r w:rsidRPr="00A20F7A">
        <w:rPr>
          <w:iCs/>
        </w:rPr>
        <w:tab/>
        <w:t>Во втором предложении заменить «смотровые стекла» на «</w:t>
      </w:r>
      <w:r w:rsidRPr="00A20F7A">
        <w:t>сте</w:t>
      </w:r>
      <w:r w:rsidRPr="00A20F7A">
        <w:t>к</w:t>
      </w:r>
      <w:r w:rsidRPr="00A20F7A">
        <w:t xml:space="preserve">лянные уровнемеры и измерительные приборы из другого </w:t>
      </w:r>
      <w:r w:rsidRPr="00A20F7A">
        <w:rPr>
          <w:iCs/>
        </w:rPr>
        <w:t>подходящего пр</w:t>
      </w:r>
      <w:r w:rsidRPr="00A20F7A">
        <w:rPr>
          <w:iCs/>
        </w:rPr>
        <w:t>о</w:t>
      </w:r>
      <w:r w:rsidRPr="00A20F7A">
        <w:rPr>
          <w:iCs/>
        </w:rPr>
        <w:t>зрачного материала».]</w:t>
      </w:r>
    </w:p>
    <w:p w:rsidR="00447AF0" w:rsidRDefault="00A20F7A" w:rsidP="00A20F7A">
      <w:pPr>
        <w:pStyle w:val="SingleTxtGR"/>
        <w:rPr>
          <w:i/>
        </w:rPr>
      </w:pPr>
      <w:r w:rsidRPr="00A20F7A">
        <w:rPr>
          <w:i/>
        </w:rPr>
        <w:t xml:space="preserve">(Справочный документ: </w:t>
      </w:r>
      <w:r w:rsidRPr="00A20F7A">
        <w:rPr>
          <w:i/>
          <w:iCs/>
        </w:rPr>
        <w:t xml:space="preserve">неофициальный документ </w:t>
      </w:r>
      <w:r w:rsidRPr="00A20F7A">
        <w:rPr>
          <w:i/>
        </w:rPr>
        <w:t>INF.38, предложение 3)</w:t>
      </w:r>
    </w:p>
    <w:p w:rsidR="008E3A21" w:rsidRPr="008E3A21" w:rsidRDefault="008E3A21" w:rsidP="008E3A21">
      <w:pPr>
        <w:pStyle w:val="HChGR"/>
      </w:pPr>
      <w:r w:rsidRPr="008E3A21">
        <w:lastRenderedPageBreak/>
        <w:t>Приложение III</w:t>
      </w:r>
    </w:p>
    <w:p w:rsidR="008E3A21" w:rsidRPr="008E3A21" w:rsidRDefault="008E3A21" w:rsidP="008E3A21">
      <w:pPr>
        <w:pStyle w:val="HChGR"/>
      </w:pPr>
      <w:r>
        <w:tab/>
      </w:r>
      <w:r>
        <w:tab/>
      </w:r>
      <w:r w:rsidRPr="008E3A21">
        <w:t xml:space="preserve">Проект исправлений к МПОГ/ДОПОГ/ВОПОГ, </w:t>
      </w:r>
      <w:proofErr w:type="gramStart"/>
      <w:r w:rsidRPr="008E3A21">
        <w:t>измененному</w:t>
      </w:r>
      <w:proofErr w:type="gramEnd"/>
      <w:r w:rsidRPr="008E3A21">
        <w:t xml:space="preserve"> в соответствии с поправками, вступающими в силу 1 января 2017 года</w:t>
      </w:r>
    </w:p>
    <w:p w:rsidR="008E3A21" w:rsidRPr="008E3A21" w:rsidRDefault="008E3A21" w:rsidP="008E3A21">
      <w:pPr>
        <w:pStyle w:val="H1GR"/>
      </w:pPr>
      <w:r w:rsidRPr="008E3A21">
        <w:tab/>
      </w:r>
      <w:r w:rsidRPr="008E3A21">
        <w:tab/>
        <w:t>Глава 3.3</w:t>
      </w:r>
    </w:p>
    <w:p w:rsidR="008E3A21" w:rsidRPr="008E3A21" w:rsidRDefault="001722CB" w:rsidP="008E3A21">
      <w:pPr>
        <w:pStyle w:val="SingleTxtGR"/>
      </w:pPr>
      <w:r>
        <w:tab/>
      </w:r>
      <w:r w:rsidR="008E3A21" w:rsidRPr="008E3A21">
        <w:t>В специальном положении 363</w:t>
      </w:r>
      <w:r>
        <w:t xml:space="preserve"> a) </w:t>
      </w:r>
      <w:r w:rsidR="008E3A21" w:rsidRPr="008E3A21">
        <w:t>исключить слова «в количестве, пр</w:t>
      </w:r>
      <w:r w:rsidR="008E3A21" w:rsidRPr="008E3A21">
        <w:t>е</w:t>
      </w:r>
      <w:r w:rsidR="008E3A21" w:rsidRPr="008E3A21">
        <w:t>вышающем значение, указанное в колонке 7</w:t>
      </w:r>
      <w:r w:rsidR="00506999">
        <w:t xml:space="preserve"> </w:t>
      </w:r>
      <w:r w:rsidR="008E3A21" w:rsidRPr="008E3A21">
        <w:t>а</w:t>
      </w:r>
      <w:r>
        <w:t>)</w:t>
      </w:r>
      <w:r w:rsidR="008E3A21" w:rsidRPr="008E3A21">
        <w:t xml:space="preserve"> таблицы</w:t>
      </w:r>
      <w:proofErr w:type="gramStart"/>
      <w:r w:rsidR="008E3A21" w:rsidRPr="008E3A21">
        <w:t xml:space="preserve"> А</w:t>
      </w:r>
      <w:proofErr w:type="gramEnd"/>
      <w:r w:rsidR="008E3A21" w:rsidRPr="008E3A21">
        <w:t xml:space="preserve"> главы 3.2».</w:t>
      </w:r>
    </w:p>
    <w:p w:rsidR="008E3A21" w:rsidRPr="008E3A21" w:rsidRDefault="008E3A21" w:rsidP="008E3A21">
      <w:pPr>
        <w:pStyle w:val="SingleTxtGR"/>
        <w:rPr>
          <w:i/>
        </w:rPr>
      </w:pPr>
      <w:proofErr w:type="gramStart"/>
      <w:r w:rsidRPr="008E3A21">
        <w:rPr>
          <w:i/>
        </w:rPr>
        <w:t>(</w:t>
      </w:r>
      <w:r w:rsidRPr="008E3A21">
        <w:rPr>
          <w:i/>
          <w:iCs/>
        </w:rPr>
        <w:t>Справочный документ</w:t>
      </w:r>
      <w:r w:rsidRPr="008E3A21">
        <w:rPr>
          <w:i/>
        </w:rPr>
        <w:t>:</w:t>
      </w:r>
      <w:proofErr w:type="gramEnd"/>
      <w:r w:rsidRPr="008E3A21">
        <w:rPr>
          <w:i/>
        </w:rPr>
        <w:t xml:space="preserve"> </w:t>
      </w:r>
      <w:proofErr w:type="gramStart"/>
      <w:r w:rsidRPr="008E3A21">
        <w:rPr>
          <w:i/>
        </w:rPr>
        <w:t>ECE/TRANS/WP.15/AC.1/2016/27)</w:t>
      </w:r>
      <w:proofErr w:type="gramEnd"/>
    </w:p>
    <w:p w:rsidR="008E3A21" w:rsidRPr="008E3A21" w:rsidRDefault="008E3A21" w:rsidP="008E3A21">
      <w:pPr>
        <w:pStyle w:val="H1GR"/>
      </w:pPr>
      <w:r w:rsidRPr="008E3A21">
        <w:tab/>
      </w:r>
      <w:r w:rsidRPr="008E3A21">
        <w:tab/>
        <w:t>Глава 6.2</w:t>
      </w:r>
    </w:p>
    <w:p w:rsidR="008E3A21" w:rsidRPr="008E3A21" w:rsidRDefault="008E3A21" w:rsidP="008E3A21">
      <w:pPr>
        <w:pStyle w:val="SingleTxtGR"/>
      </w:pPr>
      <w:r w:rsidRPr="008E3A21">
        <w:t>6.2.4.1</w:t>
      </w:r>
      <w:r w:rsidRPr="008E3A21">
        <w:tab/>
        <w:t>Данное исправление не касается текста на русском языке.</w:t>
      </w:r>
    </w:p>
    <w:p w:rsidR="008E3A21" w:rsidRPr="008E3A21" w:rsidRDefault="008E3A21" w:rsidP="008E3A21">
      <w:pPr>
        <w:pStyle w:val="SingleTxtGR"/>
        <w:rPr>
          <w:i/>
          <w:iCs/>
        </w:rPr>
      </w:pPr>
      <w:r w:rsidRPr="008E3A21">
        <w:rPr>
          <w:i/>
          <w:iCs/>
        </w:rPr>
        <w:t>(Справочный документ</w:t>
      </w:r>
      <w:r w:rsidRPr="008E3A21">
        <w:rPr>
          <w:i/>
        </w:rPr>
        <w:t>:</w:t>
      </w:r>
      <w:r w:rsidRPr="008E3A21">
        <w:rPr>
          <w:i/>
          <w:iCs/>
        </w:rPr>
        <w:t xml:space="preserve"> неофициальный документ INF.50, представленный на осенней сессии 2015 года)</w:t>
      </w:r>
    </w:p>
    <w:p w:rsidR="008E3A21" w:rsidRPr="008E3A21" w:rsidRDefault="008E3A21" w:rsidP="008E3A21">
      <w:pPr>
        <w:pStyle w:val="H1GR"/>
      </w:pPr>
      <w:r w:rsidRPr="008E3A21">
        <w:tab/>
      </w:r>
      <w:r w:rsidRPr="008E3A21">
        <w:tab/>
        <w:t>Глава 6.8</w:t>
      </w:r>
    </w:p>
    <w:p w:rsidR="008E3A21" w:rsidRPr="008E3A21" w:rsidRDefault="008E3A21" w:rsidP="008E3A21">
      <w:pPr>
        <w:pStyle w:val="SingleTxtGR"/>
        <w:tabs>
          <w:tab w:val="left" w:pos="3119"/>
        </w:tabs>
      </w:pPr>
      <w:r w:rsidRPr="008E3A21">
        <w:t xml:space="preserve">6.8.2.6.1 (ДОПОГ) </w:t>
      </w:r>
      <w:r w:rsidRPr="008E3A21">
        <w:tab/>
        <w:t>Данное исправление не касается текста на русском языке.</w:t>
      </w:r>
    </w:p>
    <w:p w:rsidR="008E3A21" w:rsidRPr="008E3A21" w:rsidRDefault="008E3A21" w:rsidP="008E3A21">
      <w:pPr>
        <w:pStyle w:val="SingleTxtGR"/>
        <w:rPr>
          <w:i/>
          <w:iCs/>
        </w:rPr>
      </w:pPr>
      <w:r w:rsidRPr="008E3A21">
        <w:rPr>
          <w:i/>
          <w:iCs/>
        </w:rPr>
        <w:t>(Справочный документ</w:t>
      </w:r>
      <w:r w:rsidRPr="008E3A21">
        <w:rPr>
          <w:i/>
        </w:rPr>
        <w:t>:</w:t>
      </w:r>
      <w:r w:rsidRPr="008E3A21">
        <w:rPr>
          <w:i/>
          <w:iCs/>
        </w:rPr>
        <w:t xml:space="preserve"> неофициальный документ INF.50, представленный на осенней сессии 2015 года)</w:t>
      </w:r>
    </w:p>
    <w:p w:rsidR="008E3A21" w:rsidRPr="008E3A21" w:rsidRDefault="008E3A21" w:rsidP="008E3A21">
      <w:pPr>
        <w:pStyle w:val="H1GR"/>
      </w:pPr>
      <w:r w:rsidRPr="008E3A21">
        <w:tab/>
      </w:r>
      <w:r w:rsidRPr="008E3A21">
        <w:tab/>
        <w:t>Глава 7.5</w:t>
      </w:r>
    </w:p>
    <w:p w:rsidR="008E3A21" w:rsidRPr="008E3A21" w:rsidRDefault="008E3A21" w:rsidP="008E3A21">
      <w:pPr>
        <w:pStyle w:val="SingleTxtGR"/>
      </w:pPr>
      <w:r w:rsidRPr="008E3A21">
        <w:t>7.5.2.1</w:t>
      </w:r>
      <w:r w:rsidRPr="008E3A21">
        <w:tab/>
        <w:t>Таблица: в заголовках последней графы и последней колонки зам</w:t>
      </w:r>
      <w:r w:rsidRPr="008E3A21">
        <w:t>е</w:t>
      </w:r>
      <w:r w:rsidRPr="008E3A21">
        <w:t>нить «9» на «9 или 9A».</w:t>
      </w:r>
    </w:p>
    <w:p w:rsidR="00A20F7A" w:rsidRDefault="008E3A21" w:rsidP="008E3A21">
      <w:pPr>
        <w:pStyle w:val="SingleTxtGR"/>
        <w:rPr>
          <w:i/>
        </w:rPr>
      </w:pPr>
      <w:r w:rsidRPr="008E3A21">
        <w:rPr>
          <w:i/>
        </w:rPr>
        <w:t>(</w:t>
      </w:r>
      <w:r w:rsidRPr="008E3A21">
        <w:rPr>
          <w:i/>
          <w:iCs/>
        </w:rPr>
        <w:t>Справочный документ</w:t>
      </w:r>
      <w:r w:rsidRPr="008E3A21">
        <w:rPr>
          <w:i/>
        </w:rPr>
        <w:t xml:space="preserve">: </w:t>
      </w:r>
      <w:r w:rsidRPr="008E3A21">
        <w:rPr>
          <w:i/>
          <w:iCs/>
        </w:rPr>
        <w:t xml:space="preserve">неофициальный документ </w:t>
      </w:r>
      <w:r w:rsidRPr="008E3A21">
        <w:rPr>
          <w:i/>
        </w:rPr>
        <w:t>INF.10)</w:t>
      </w:r>
    </w:p>
    <w:p w:rsidR="008E3A21" w:rsidRPr="008E3A21" w:rsidRDefault="008E3A21" w:rsidP="008E3A21">
      <w:pPr>
        <w:spacing w:before="240"/>
        <w:jc w:val="center"/>
        <w:rPr>
          <w:u w:val="single"/>
        </w:rPr>
      </w:pPr>
      <w:r>
        <w:rPr>
          <w:u w:val="single"/>
        </w:rPr>
        <w:tab/>
      </w:r>
      <w:r>
        <w:rPr>
          <w:u w:val="single"/>
        </w:rPr>
        <w:tab/>
      </w:r>
      <w:r>
        <w:rPr>
          <w:u w:val="single"/>
        </w:rPr>
        <w:tab/>
      </w:r>
    </w:p>
    <w:sectPr w:rsidR="008E3A21" w:rsidRPr="008E3A21" w:rsidSect="004D639B">
      <w:headerReference w:type="even" r:id="rId11"/>
      <w:headerReference w:type="default" r:id="rId12"/>
      <w:footerReference w:type="even" r:id="rId13"/>
      <w:footerReference w:type="default" r:id="rId14"/>
      <w:footerReference w:type="first" r:id="rId15"/>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E11" w:rsidRDefault="00164E11" w:rsidP="00B471C5">
      <w:r>
        <w:separator/>
      </w:r>
    </w:p>
  </w:endnote>
  <w:endnote w:type="continuationSeparator" w:id="0">
    <w:p w:rsidR="00164E11" w:rsidRDefault="00164E11"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11" w:rsidRPr="009A6F4A" w:rsidRDefault="00164E11" w:rsidP="007005EE">
    <w:pPr>
      <w:pStyle w:val="Pieddepage"/>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CE48A2">
      <w:rPr>
        <w:b/>
        <w:noProof/>
        <w:sz w:val="18"/>
        <w:szCs w:val="18"/>
      </w:rPr>
      <w:t>26</w:t>
    </w:r>
    <w:r w:rsidRPr="00BA2D2B">
      <w:rPr>
        <w:b/>
        <w:sz w:val="18"/>
        <w:szCs w:val="18"/>
      </w:rPr>
      <w:fldChar w:fldCharType="end"/>
    </w:r>
    <w:r>
      <w:rPr>
        <w:b/>
        <w:sz w:val="18"/>
        <w:szCs w:val="18"/>
      </w:rPr>
      <w:tab/>
    </w:r>
    <w:r>
      <w:rPr>
        <w:lang w:val="en-US"/>
      </w:rPr>
      <w:t>GE.16-17953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11" w:rsidRPr="009A6F4A" w:rsidRDefault="00164E11" w:rsidP="007005EE">
    <w:pPr>
      <w:pStyle w:val="Pieddepage"/>
      <w:rPr>
        <w:lang w:val="en-US"/>
      </w:rPr>
    </w:pPr>
    <w:r>
      <w:rPr>
        <w:lang w:val="en-US"/>
      </w:rPr>
      <w:t>GE.16-17953</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CE48A2">
      <w:rPr>
        <w:b/>
        <w:noProof/>
        <w:sz w:val="18"/>
        <w:szCs w:val="18"/>
      </w:rPr>
      <w:t>27</w:t>
    </w:r>
    <w:r w:rsidRPr="00BA2D2B">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164E11" w:rsidRPr="00797A78" w:rsidTr="000B1FD5">
      <w:trPr>
        <w:trHeight w:val="431"/>
      </w:trPr>
      <w:tc>
        <w:tcPr>
          <w:tcW w:w="3648" w:type="dxa"/>
          <w:tcMar>
            <w:left w:w="57" w:type="dxa"/>
            <w:right w:w="57" w:type="dxa"/>
          </w:tcMar>
          <w:vAlign w:val="bottom"/>
        </w:tcPr>
        <w:p w:rsidR="00164E11" w:rsidRPr="001C3ABC" w:rsidRDefault="00164E11" w:rsidP="004A2521">
          <w:pPr>
            <w:spacing w:after="40"/>
            <w:rPr>
              <w:rFonts w:ascii="C39T30Lfz" w:hAnsi="C39T30Lfz"/>
              <w:spacing w:val="0"/>
              <w:w w:val="100"/>
              <w:kern w:val="0"/>
              <w:lang w:val="en-US" w:eastAsia="ru-RU"/>
            </w:rPr>
          </w:pPr>
          <w:r w:rsidRPr="001C3ABC">
            <w:rPr>
              <w:lang w:val="en-US"/>
            </w:rPr>
            <w:t>GE.16-</w:t>
          </w:r>
          <w:r>
            <w:rPr>
              <w:lang w:val="en-US"/>
            </w:rPr>
            <w:t>17953</w:t>
          </w:r>
          <w:r w:rsidRPr="001C3ABC">
            <w:rPr>
              <w:lang w:val="en-US"/>
            </w:rPr>
            <w:t xml:space="preserve"> (R)</w:t>
          </w:r>
          <w:r>
            <w:rPr>
              <w:lang w:val="en-US"/>
            </w:rPr>
            <w:t xml:space="preserve">  211116  221116</w:t>
          </w:r>
        </w:p>
      </w:tc>
      <w:tc>
        <w:tcPr>
          <w:tcW w:w="5056" w:type="dxa"/>
          <w:vMerge w:val="restart"/>
          <w:tcMar>
            <w:left w:w="57" w:type="dxa"/>
            <w:right w:w="57" w:type="dxa"/>
          </w:tcMar>
          <w:vAlign w:val="bottom"/>
        </w:tcPr>
        <w:p w:rsidR="00164E11" w:rsidRDefault="00164E11" w:rsidP="004A2521">
          <w:pPr>
            <w:jc w:val="right"/>
          </w:pPr>
          <w:r>
            <w:rPr>
              <w:b/>
              <w:noProof/>
              <w:lang w:val="en-GB" w:eastAsia="en-GB"/>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164E11" w:rsidRDefault="00164E11" w:rsidP="004A2521">
          <w:pPr>
            <w:jc w:val="right"/>
          </w:pPr>
          <w:r>
            <w:rPr>
              <w:noProof/>
              <w:lang w:val="en-GB" w:eastAsia="en-GB"/>
            </w:rPr>
            <w:drawing>
              <wp:inline distT="0" distB="0" distL="0" distR="0">
                <wp:extent cx="579755" cy="579755"/>
                <wp:effectExtent l="0" t="0" r="0" b="0"/>
                <wp:docPr id="3" name="Рисунок 3" descr="http://undocs.org/m2/QRCode.ashx?DS=ECE/TRANS/WP.15/AC.1/144&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1/144&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164E11" w:rsidRPr="00797A78" w:rsidTr="004A2521">
      <w:trPr>
        <w:trHeight w:hRule="exact" w:val="564"/>
      </w:trPr>
      <w:tc>
        <w:tcPr>
          <w:tcW w:w="3648" w:type="dxa"/>
          <w:tcMar>
            <w:left w:w="57" w:type="dxa"/>
            <w:right w:w="57" w:type="dxa"/>
          </w:tcMar>
          <w:vAlign w:val="bottom"/>
        </w:tcPr>
        <w:p w:rsidR="00164E11" w:rsidRPr="00F11B0F" w:rsidRDefault="00164E11" w:rsidP="004A2521">
          <w:pPr>
            <w:spacing w:after="40"/>
            <w:rPr>
              <w:rFonts w:ascii="C39T30Lfz" w:hAnsi="C39T30Lfz"/>
              <w:spacing w:val="0"/>
              <w:w w:val="100"/>
              <w:kern w:val="0"/>
              <w:sz w:val="56"/>
              <w:szCs w:val="56"/>
              <w:lang w:val="en-US" w:eastAsia="ru-RU"/>
            </w:rPr>
          </w:pPr>
          <w:r w:rsidRPr="00F11B0F">
            <w:rPr>
              <w:rFonts w:ascii="C39T30Lfz" w:hAnsi="C39T30Lfz"/>
              <w:spacing w:val="0"/>
              <w:w w:val="100"/>
              <w:kern w:val="0"/>
              <w:sz w:val="56"/>
              <w:szCs w:val="56"/>
              <w:lang w:val="en-US" w:eastAsia="ru-RU"/>
            </w:rPr>
            <w:t></w:t>
          </w:r>
          <w:r w:rsidRPr="00F11B0F">
            <w:rPr>
              <w:rFonts w:ascii="C39T30Lfz" w:hAnsi="C39T30Lfz"/>
              <w:spacing w:val="0"/>
              <w:w w:val="100"/>
              <w:kern w:val="0"/>
              <w:sz w:val="56"/>
              <w:szCs w:val="56"/>
              <w:lang w:val="en-US" w:eastAsia="ru-RU"/>
            </w:rPr>
            <w:t></w:t>
          </w:r>
          <w:r w:rsidRPr="00F11B0F">
            <w:rPr>
              <w:rFonts w:ascii="C39T30Lfz" w:hAnsi="C39T30Lfz"/>
              <w:spacing w:val="0"/>
              <w:w w:val="100"/>
              <w:kern w:val="0"/>
              <w:sz w:val="56"/>
              <w:szCs w:val="56"/>
              <w:lang w:val="en-US" w:eastAsia="ru-RU"/>
            </w:rPr>
            <w:t></w:t>
          </w:r>
          <w:r w:rsidRPr="00F11B0F">
            <w:rPr>
              <w:rFonts w:ascii="C39T30Lfz" w:hAnsi="C39T30Lfz"/>
              <w:spacing w:val="0"/>
              <w:w w:val="100"/>
              <w:kern w:val="0"/>
              <w:sz w:val="56"/>
              <w:szCs w:val="56"/>
              <w:lang w:val="en-US" w:eastAsia="ru-RU"/>
            </w:rPr>
            <w:t></w:t>
          </w:r>
          <w:r w:rsidRPr="00F11B0F">
            <w:rPr>
              <w:rFonts w:ascii="C39T30Lfz" w:hAnsi="C39T30Lfz"/>
              <w:spacing w:val="0"/>
              <w:w w:val="100"/>
              <w:kern w:val="0"/>
              <w:sz w:val="56"/>
              <w:szCs w:val="56"/>
              <w:lang w:val="en-US" w:eastAsia="ru-RU"/>
            </w:rPr>
            <w:t></w:t>
          </w:r>
          <w:r w:rsidRPr="00F11B0F">
            <w:rPr>
              <w:rFonts w:ascii="C39T30Lfz" w:hAnsi="C39T30Lfz"/>
              <w:spacing w:val="0"/>
              <w:w w:val="100"/>
              <w:kern w:val="0"/>
              <w:sz w:val="56"/>
              <w:szCs w:val="56"/>
              <w:lang w:val="en-US" w:eastAsia="ru-RU"/>
            </w:rPr>
            <w:t></w:t>
          </w:r>
          <w:r w:rsidRPr="00F11B0F">
            <w:rPr>
              <w:rFonts w:ascii="C39T30Lfz" w:hAnsi="C39T30Lfz"/>
              <w:spacing w:val="0"/>
              <w:w w:val="100"/>
              <w:kern w:val="0"/>
              <w:sz w:val="56"/>
              <w:szCs w:val="56"/>
              <w:lang w:val="en-US" w:eastAsia="ru-RU"/>
            </w:rPr>
            <w:t></w:t>
          </w:r>
          <w:r w:rsidRPr="00F11B0F">
            <w:rPr>
              <w:rFonts w:ascii="C39T30Lfz" w:hAnsi="C39T30Lfz"/>
              <w:spacing w:val="0"/>
              <w:w w:val="100"/>
              <w:kern w:val="0"/>
              <w:sz w:val="56"/>
              <w:szCs w:val="56"/>
              <w:lang w:val="en-US" w:eastAsia="ru-RU"/>
            </w:rPr>
            <w:t></w:t>
          </w:r>
          <w:r w:rsidRPr="00F11B0F">
            <w:rPr>
              <w:rFonts w:ascii="C39T30Lfz" w:hAnsi="C39T30Lfz"/>
              <w:spacing w:val="0"/>
              <w:w w:val="100"/>
              <w:kern w:val="0"/>
              <w:sz w:val="56"/>
              <w:szCs w:val="56"/>
              <w:lang w:val="en-US" w:eastAsia="ru-RU"/>
            </w:rPr>
            <w:t></w:t>
          </w:r>
        </w:p>
      </w:tc>
      <w:tc>
        <w:tcPr>
          <w:tcW w:w="5056" w:type="dxa"/>
          <w:vMerge/>
          <w:tcMar>
            <w:left w:w="57" w:type="dxa"/>
            <w:right w:w="57" w:type="dxa"/>
          </w:tcMar>
        </w:tcPr>
        <w:p w:rsidR="00164E11" w:rsidRDefault="00164E11" w:rsidP="004A2521"/>
      </w:tc>
      <w:tc>
        <w:tcPr>
          <w:tcW w:w="972" w:type="dxa"/>
          <w:vMerge/>
          <w:tcMar>
            <w:left w:w="57" w:type="dxa"/>
            <w:right w:w="57" w:type="dxa"/>
          </w:tcMar>
        </w:tcPr>
        <w:p w:rsidR="00164E11" w:rsidRDefault="00164E11" w:rsidP="004A2521"/>
      </w:tc>
    </w:tr>
  </w:tbl>
  <w:p w:rsidR="00164E11" w:rsidRPr="007005EE" w:rsidRDefault="00164E11" w:rsidP="004D639B">
    <w:pPr>
      <w:pStyle w:val="Pieddepage"/>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E11" w:rsidRPr="009141DC" w:rsidRDefault="00164E11" w:rsidP="00D1261C">
      <w:pPr>
        <w:tabs>
          <w:tab w:val="left" w:pos="2268"/>
        </w:tabs>
        <w:spacing w:after="80"/>
        <w:ind w:left="680"/>
        <w:rPr>
          <w:u w:val="single"/>
          <w:lang w:val="en-US"/>
        </w:rPr>
      </w:pPr>
      <w:r>
        <w:rPr>
          <w:u w:val="single"/>
          <w:lang w:val="en-US"/>
        </w:rPr>
        <w:tab/>
      </w:r>
    </w:p>
  </w:footnote>
  <w:footnote w:type="continuationSeparator" w:id="0">
    <w:p w:rsidR="00164E11" w:rsidRPr="00D1261C" w:rsidRDefault="00164E11" w:rsidP="00D1261C">
      <w:pPr>
        <w:tabs>
          <w:tab w:val="left" w:pos="2268"/>
        </w:tabs>
        <w:spacing w:after="80"/>
        <w:rPr>
          <w:u w:val="single"/>
          <w:lang w:val="en-US"/>
        </w:rPr>
      </w:pPr>
      <w:r>
        <w:rPr>
          <w:u w:val="single"/>
          <w:lang w:val="en-US"/>
        </w:rPr>
        <w:tab/>
      </w:r>
    </w:p>
  </w:footnote>
  <w:footnote w:id="1">
    <w:p w:rsidR="00164E11" w:rsidRPr="00050CBE" w:rsidRDefault="00164E11" w:rsidP="004A2521">
      <w:pPr>
        <w:pStyle w:val="Notedebasdepage"/>
        <w:rPr>
          <w:lang w:val="ru-RU"/>
        </w:rPr>
      </w:pPr>
      <w:r>
        <w:tab/>
      </w:r>
      <w:r>
        <w:rPr>
          <w:rStyle w:val="Appelnotedebasdep"/>
        </w:rPr>
        <w:footnoteRef/>
      </w:r>
      <w:r w:rsidRPr="00050CBE">
        <w:rPr>
          <w:lang w:val="ru-RU"/>
        </w:rPr>
        <w:tab/>
      </w:r>
      <w:proofErr w:type="gramStart"/>
      <w:r w:rsidRPr="00050CBE">
        <w:rPr>
          <w:lang w:val="ru-RU"/>
        </w:rPr>
        <w:t>Распространен</w:t>
      </w:r>
      <w:proofErr w:type="gramEnd"/>
      <w:r w:rsidRPr="00050CBE">
        <w:rPr>
          <w:lang w:val="ru-RU"/>
        </w:rPr>
        <w:t xml:space="preserve"> Межправительственной организацией по международным железнодорожным перевозкам (ОТИФ) в качестве документа </w:t>
      </w:r>
      <w:r>
        <w:t>OTIF</w:t>
      </w:r>
      <w:r w:rsidRPr="00050CBE">
        <w:rPr>
          <w:lang w:val="ru-RU"/>
        </w:rPr>
        <w:t>/</w:t>
      </w:r>
      <w:r>
        <w:t>RID</w:t>
      </w:r>
      <w:r w:rsidRPr="00050CBE">
        <w:rPr>
          <w:lang w:val="ru-RU"/>
        </w:rPr>
        <w:t>/</w:t>
      </w:r>
      <w:r>
        <w:t>RC</w:t>
      </w:r>
      <w:r w:rsidRPr="00050CBE">
        <w:rPr>
          <w:lang w:val="ru-RU"/>
        </w:rPr>
        <w:t>/2016-</w:t>
      </w:r>
      <w:r>
        <w:t>B</w:t>
      </w:r>
      <w:r w:rsidRPr="00050CBE">
        <w:rPr>
          <w:lang w:val="ru-RU"/>
        </w:rPr>
        <w:t xml:space="preserve">. Если не указано иное, то другие документы, упоминаемые в настоящем докладе и имеющие условное обозначение </w:t>
      </w:r>
      <w:r w:rsidRPr="00050CBE">
        <w:t>ECE</w:t>
      </w:r>
      <w:r w:rsidRPr="00050CBE">
        <w:rPr>
          <w:lang w:val="ru-RU"/>
        </w:rPr>
        <w:t>/</w:t>
      </w:r>
      <w:r w:rsidRPr="00050CBE">
        <w:t>TRANS</w:t>
      </w:r>
      <w:r w:rsidRPr="00050CBE">
        <w:rPr>
          <w:lang w:val="ru-RU"/>
        </w:rPr>
        <w:t>/</w:t>
      </w:r>
      <w:r w:rsidRPr="00050CBE">
        <w:t>WP</w:t>
      </w:r>
      <w:r w:rsidRPr="00050CBE">
        <w:rPr>
          <w:lang w:val="ru-RU"/>
        </w:rPr>
        <w:t>.15/</w:t>
      </w:r>
      <w:r w:rsidRPr="00050CBE">
        <w:t>AC</w:t>
      </w:r>
      <w:r w:rsidRPr="00050CBE">
        <w:rPr>
          <w:lang w:val="ru-RU"/>
        </w:rPr>
        <w:t xml:space="preserve">.1/, после которого указаны год и порядковый номер, были распространены ОТИФ под условным обозначением </w:t>
      </w:r>
      <w:r w:rsidRPr="00050CBE">
        <w:t>OTIF</w:t>
      </w:r>
      <w:r w:rsidRPr="00050CBE">
        <w:rPr>
          <w:lang w:val="ru-RU"/>
        </w:rPr>
        <w:t>/</w:t>
      </w:r>
      <w:r w:rsidRPr="00050CBE">
        <w:t>RID</w:t>
      </w:r>
      <w:r w:rsidRPr="00050CBE">
        <w:rPr>
          <w:lang w:val="ru-RU"/>
        </w:rPr>
        <w:t>/</w:t>
      </w:r>
      <w:r w:rsidRPr="00050CBE">
        <w:t>RC</w:t>
      </w:r>
      <w:r w:rsidRPr="00050CBE">
        <w:rPr>
          <w:lang w:val="ru-RU"/>
        </w:rPr>
        <w:t>/, после которого указаны год и тот же порядковый номер.</w:t>
      </w:r>
    </w:p>
  </w:footnote>
  <w:footnote w:id="2">
    <w:p w:rsidR="00164E11" w:rsidRPr="00350F3F" w:rsidRDefault="00164E11" w:rsidP="004A2521">
      <w:pPr>
        <w:pStyle w:val="Notedebasdepage"/>
        <w:widowControl w:val="0"/>
        <w:tabs>
          <w:tab w:val="clear" w:pos="1021"/>
          <w:tab w:val="right" w:pos="1020"/>
        </w:tabs>
        <w:rPr>
          <w:lang w:val="ru-RU"/>
        </w:rPr>
      </w:pPr>
      <w:r w:rsidRPr="00050CBE">
        <w:rPr>
          <w:lang w:val="ru-RU"/>
        </w:rPr>
        <w:tab/>
      </w:r>
      <w:r>
        <w:rPr>
          <w:rStyle w:val="Appelnotedebasdep"/>
        </w:rPr>
        <w:footnoteRef/>
      </w:r>
      <w:r w:rsidRPr="00350F3F">
        <w:rPr>
          <w:lang w:val="ru-RU"/>
        </w:rPr>
        <w:tab/>
      </w:r>
      <w:r w:rsidRPr="00350F3F">
        <w:rPr>
          <w:i/>
          <w:lang w:val="ru-RU"/>
        </w:rPr>
        <w:t>Примечание секретариата:</w:t>
      </w:r>
      <w:r w:rsidRPr="00350F3F">
        <w:rPr>
          <w:lang w:val="ru-RU"/>
        </w:rPr>
        <w:t xml:space="preserve"> Предлагается следующая формулировка: </w:t>
      </w:r>
      <w:r>
        <w:rPr>
          <w:lang w:val="ru-RU"/>
        </w:rPr>
        <w:t>«</w:t>
      </w:r>
      <w:r w:rsidRPr="00350F3F">
        <w:rPr>
          <w:lang w:val="ru-RU"/>
        </w:rPr>
        <w:t xml:space="preserve">Вопреки требованиям специального положения </w:t>
      </w:r>
      <w:r w:rsidRPr="00350F3F">
        <w:rPr>
          <w:lang w:val="en-US"/>
        </w:rPr>
        <w:t>TU</w:t>
      </w:r>
      <w:r w:rsidRPr="00350F3F">
        <w:rPr>
          <w:lang w:val="ru-RU"/>
        </w:rPr>
        <w:t xml:space="preserve">42 </w:t>
      </w:r>
      <w:r>
        <w:rPr>
          <w:lang w:val="ru-RU"/>
        </w:rPr>
        <w:t xml:space="preserve">подраздела </w:t>
      </w:r>
      <w:r w:rsidRPr="00350F3F">
        <w:rPr>
          <w:lang w:val="ru-RU"/>
        </w:rPr>
        <w:t>4.3.5, примен</w:t>
      </w:r>
      <w:r>
        <w:rPr>
          <w:lang w:val="ru-RU"/>
        </w:rPr>
        <w:t>яемым</w:t>
      </w:r>
      <w:r w:rsidRPr="00350F3F">
        <w:rPr>
          <w:lang w:val="ru-RU"/>
        </w:rPr>
        <w:t xml:space="preserve"> </w:t>
      </w:r>
      <w:r>
        <w:rPr>
          <w:lang w:val="ru-RU"/>
        </w:rPr>
        <w:br/>
      </w:r>
      <w:r w:rsidRPr="00350F3F">
        <w:rPr>
          <w:lang w:val="ru-RU"/>
        </w:rPr>
        <w:t>с 1 января 2019</w:t>
      </w:r>
      <w:r>
        <w:rPr>
          <w:lang w:val="ru-RU"/>
        </w:rPr>
        <w:t xml:space="preserve"> года, </w:t>
      </w:r>
      <w:proofErr w:type="gramStart"/>
      <w:r>
        <w:rPr>
          <w:lang w:val="ru-RU"/>
        </w:rPr>
        <w:t>вагоны-цистерны</w:t>
      </w:r>
      <w:proofErr w:type="gramEnd"/>
      <w:r w:rsidRPr="00350F3F">
        <w:rPr>
          <w:lang w:val="ru-RU"/>
        </w:rPr>
        <w:t xml:space="preserve">/встроенные цистерны (автоцистерны) и съемные цистерны с </w:t>
      </w:r>
      <w:r>
        <w:rPr>
          <w:lang w:val="ru-RU"/>
        </w:rPr>
        <w:t>корпусом</w:t>
      </w:r>
      <w:r w:rsidRPr="00350F3F">
        <w:rPr>
          <w:lang w:val="ru-RU"/>
        </w:rPr>
        <w:t>, изготовленны</w:t>
      </w:r>
      <w:r>
        <w:rPr>
          <w:lang w:val="ru-RU"/>
        </w:rPr>
        <w:t>м</w:t>
      </w:r>
      <w:r w:rsidRPr="00350F3F">
        <w:rPr>
          <w:lang w:val="ru-RU"/>
        </w:rPr>
        <w:t xml:space="preserve"> из алю</w:t>
      </w:r>
      <w:r>
        <w:rPr>
          <w:lang w:val="ru-RU"/>
        </w:rPr>
        <w:t>миниевого сплава, в том числе с </w:t>
      </w:r>
      <w:r w:rsidRPr="00350F3F">
        <w:rPr>
          <w:lang w:val="ru-RU"/>
        </w:rPr>
        <w:t xml:space="preserve">защитной </w:t>
      </w:r>
      <w:r>
        <w:rPr>
          <w:lang w:val="ru-RU"/>
        </w:rPr>
        <w:t>облицовкой</w:t>
      </w:r>
      <w:r w:rsidRPr="00350F3F">
        <w:rPr>
          <w:lang w:val="ru-RU"/>
        </w:rPr>
        <w:t>, которые использовались до 1 января 2019 года для перевозки веществ с</w:t>
      </w:r>
      <w:r>
        <w:rPr>
          <w:lang w:val="ru-RU"/>
        </w:rPr>
        <w:t>о значением</w:t>
      </w:r>
      <w:r w:rsidRPr="00350F3F">
        <w:rPr>
          <w:lang w:val="ru-RU"/>
        </w:rPr>
        <w:t xml:space="preserve"> рН менее 5</w:t>
      </w:r>
      <w:r>
        <w:rPr>
          <w:lang w:val="ru-RU"/>
        </w:rPr>
        <w:t>,</w:t>
      </w:r>
      <w:r w:rsidRPr="00350F3F">
        <w:rPr>
          <w:lang w:val="ru-RU"/>
        </w:rPr>
        <w:t>0 или более 8</w:t>
      </w:r>
      <w:r>
        <w:rPr>
          <w:lang w:val="ru-RU"/>
        </w:rPr>
        <w:t>,</w:t>
      </w:r>
      <w:r w:rsidRPr="00350F3F">
        <w:rPr>
          <w:lang w:val="ru-RU"/>
        </w:rPr>
        <w:t>0, могут по-прежнему использоваться для перевозки таких веществ до 31 декабря 2022 года</w:t>
      </w:r>
      <w:r>
        <w:rPr>
          <w:lang w:val="ru-RU"/>
        </w:rPr>
        <w:t>»</w:t>
      </w:r>
      <w:r w:rsidRPr="00350F3F">
        <w:rPr>
          <w:lang w:val="ru-RU"/>
        </w:rPr>
        <w:t>.</w:t>
      </w:r>
    </w:p>
  </w:footnote>
  <w:footnote w:id="3">
    <w:p w:rsidR="00164E11" w:rsidRPr="002557CC" w:rsidRDefault="00164E11" w:rsidP="007C7A52">
      <w:pPr>
        <w:pStyle w:val="Notedebasdepage"/>
        <w:widowControl w:val="0"/>
        <w:tabs>
          <w:tab w:val="clear" w:pos="1021"/>
          <w:tab w:val="right" w:pos="1020"/>
        </w:tabs>
        <w:rPr>
          <w:lang w:val="ru-RU"/>
        </w:rPr>
      </w:pPr>
      <w:r w:rsidRPr="00350F3F">
        <w:rPr>
          <w:lang w:val="ru-RU"/>
        </w:rPr>
        <w:tab/>
      </w:r>
      <w:r>
        <w:rPr>
          <w:rStyle w:val="Appelnotedebasdep"/>
        </w:rPr>
        <w:footnoteRef/>
      </w:r>
      <w:r w:rsidRPr="002557CC">
        <w:rPr>
          <w:lang w:val="ru-RU"/>
        </w:rPr>
        <w:tab/>
      </w:r>
      <w:r w:rsidRPr="002557CC">
        <w:rPr>
          <w:i/>
          <w:lang w:val="ru-RU"/>
        </w:rPr>
        <w:t>Примечание секретариата:</w:t>
      </w:r>
      <w:r w:rsidRPr="002557CC">
        <w:rPr>
          <w:lang w:val="ru-RU"/>
        </w:rPr>
        <w:t xml:space="preserve"> Предлагается следующая формулировка: </w:t>
      </w:r>
      <w:proofErr w:type="gramStart"/>
      <w:r w:rsidRPr="002557CC">
        <w:rPr>
          <w:lang w:val="ru-RU"/>
        </w:rPr>
        <w:t xml:space="preserve">«Вопреки требованиям специального положения </w:t>
      </w:r>
      <w:r w:rsidRPr="002557CC">
        <w:t>TU</w:t>
      </w:r>
      <w:r w:rsidRPr="002557CC">
        <w:rPr>
          <w:lang w:val="ru-RU"/>
        </w:rPr>
        <w:t xml:space="preserve">42 подраздела 4.3.5, применяемым </w:t>
      </w:r>
      <w:r>
        <w:rPr>
          <w:lang w:val="ru-RU"/>
        </w:rPr>
        <w:br/>
      </w:r>
      <w:r w:rsidRPr="002557CC">
        <w:rPr>
          <w:lang w:val="ru-RU"/>
        </w:rPr>
        <w:t>с 1 января 2019 года, контейнеры-цистерны с корпусом, изготовленным из алюминиевого сплава, в том числе с защитной облицо</w:t>
      </w:r>
      <w:r>
        <w:rPr>
          <w:lang w:val="ru-RU"/>
        </w:rPr>
        <w:t>вкой, которые использовались до </w:t>
      </w:r>
      <w:r w:rsidRPr="002557CC">
        <w:rPr>
          <w:lang w:val="ru-RU"/>
        </w:rPr>
        <w:t>1 января 2019 года для перевозки веществ со значением рН менее 5,0 или более 8,0, могут по-прежнему использоваться для перевозки таких веществ до 31 декабря 2022</w:t>
      </w:r>
      <w:r>
        <w:rPr>
          <w:lang w:val="ru-RU"/>
        </w:rPr>
        <w:t> </w:t>
      </w:r>
      <w:r w:rsidRPr="002557CC">
        <w:rPr>
          <w:lang w:val="ru-RU"/>
        </w:rPr>
        <w:t>года».</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11" w:rsidRPr="007005EE" w:rsidRDefault="00164E11">
    <w:pPr>
      <w:pStyle w:val="En-tte"/>
      <w:rPr>
        <w:lang w:val="en-US"/>
      </w:rPr>
    </w:pPr>
    <w:r>
      <w:rPr>
        <w:lang w:val="en-US"/>
      </w:rPr>
      <w:t>ECE/TRANS/WP.15/AC.1/144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11" w:rsidRPr="004D639B" w:rsidRDefault="00164E11" w:rsidP="007005EE">
    <w:pPr>
      <w:pStyle w:val="En-tte"/>
      <w:jc w:val="right"/>
      <w:rPr>
        <w:lang w:val="en-US"/>
      </w:rPr>
    </w:pPr>
    <w:r>
      <w:rPr>
        <w:lang w:val="en-US"/>
      </w:rPr>
      <w:t>ECE/TRANS/WP.15/AC.1/144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isplayBackgroundShape/>
  <w:proofState w:spelling="clean" w:grammar="clean"/>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0F"/>
    <w:rsid w:val="000450D1"/>
    <w:rsid w:val="000B1FD5"/>
    <w:rsid w:val="000C6A59"/>
    <w:rsid w:val="000F2A4F"/>
    <w:rsid w:val="00164E11"/>
    <w:rsid w:val="001722CB"/>
    <w:rsid w:val="00197107"/>
    <w:rsid w:val="001D00B5"/>
    <w:rsid w:val="001D63D9"/>
    <w:rsid w:val="00201F89"/>
    <w:rsid w:val="00203F84"/>
    <w:rsid w:val="0022656A"/>
    <w:rsid w:val="00250BC3"/>
    <w:rsid w:val="00275188"/>
    <w:rsid w:val="0028687D"/>
    <w:rsid w:val="00293D66"/>
    <w:rsid w:val="002B091C"/>
    <w:rsid w:val="002B3D40"/>
    <w:rsid w:val="002D0CCB"/>
    <w:rsid w:val="00301D47"/>
    <w:rsid w:val="00345C79"/>
    <w:rsid w:val="00350173"/>
    <w:rsid w:val="00366A39"/>
    <w:rsid w:val="003A577B"/>
    <w:rsid w:val="003B3255"/>
    <w:rsid w:val="003C31FC"/>
    <w:rsid w:val="00416BC2"/>
    <w:rsid w:val="0042212F"/>
    <w:rsid w:val="004333F1"/>
    <w:rsid w:val="00440714"/>
    <w:rsid w:val="00447AF0"/>
    <w:rsid w:val="004775DD"/>
    <w:rsid w:val="0048005C"/>
    <w:rsid w:val="004A2521"/>
    <w:rsid w:val="004C60B7"/>
    <w:rsid w:val="004D639B"/>
    <w:rsid w:val="004E242B"/>
    <w:rsid w:val="00506999"/>
    <w:rsid w:val="00544379"/>
    <w:rsid w:val="00560735"/>
    <w:rsid w:val="00566944"/>
    <w:rsid w:val="005D56BF"/>
    <w:rsid w:val="0061413B"/>
    <w:rsid w:val="0062027E"/>
    <w:rsid w:val="00643644"/>
    <w:rsid w:val="00665D8D"/>
    <w:rsid w:val="00692125"/>
    <w:rsid w:val="006A7A3B"/>
    <w:rsid w:val="006B6B57"/>
    <w:rsid w:val="006F49F1"/>
    <w:rsid w:val="007005EE"/>
    <w:rsid w:val="00705394"/>
    <w:rsid w:val="007104F3"/>
    <w:rsid w:val="00743F62"/>
    <w:rsid w:val="00760D3A"/>
    <w:rsid w:val="00764BEA"/>
    <w:rsid w:val="00773BA8"/>
    <w:rsid w:val="0078680A"/>
    <w:rsid w:val="007A1F42"/>
    <w:rsid w:val="007B44C8"/>
    <w:rsid w:val="007C7A52"/>
    <w:rsid w:val="007D76DD"/>
    <w:rsid w:val="00826140"/>
    <w:rsid w:val="00853877"/>
    <w:rsid w:val="008678B4"/>
    <w:rsid w:val="008710CD"/>
    <w:rsid w:val="008717E8"/>
    <w:rsid w:val="008D01AE"/>
    <w:rsid w:val="008D64E2"/>
    <w:rsid w:val="008E0423"/>
    <w:rsid w:val="008E3A21"/>
    <w:rsid w:val="009141DC"/>
    <w:rsid w:val="00915683"/>
    <w:rsid w:val="009174A1"/>
    <w:rsid w:val="0098398B"/>
    <w:rsid w:val="0098674D"/>
    <w:rsid w:val="009870FF"/>
    <w:rsid w:val="00997ACA"/>
    <w:rsid w:val="00A03FB7"/>
    <w:rsid w:val="00A20F7A"/>
    <w:rsid w:val="00A34E63"/>
    <w:rsid w:val="00A36241"/>
    <w:rsid w:val="00A50BFD"/>
    <w:rsid w:val="00A55C56"/>
    <w:rsid w:val="00A658DB"/>
    <w:rsid w:val="00A75A11"/>
    <w:rsid w:val="00A9606E"/>
    <w:rsid w:val="00AD7EAD"/>
    <w:rsid w:val="00B35A32"/>
    <w:rsid w:val="00B432C6"/>
    <w:rsid w:val="00B471C5"/>
    <w:rsid w:val="00B61C46"/>
    <w:rsid w:val="00B6474A"/>
    <w:rsid w:val="00B96456"/>
    <w:rsid w:val="00B97741"/>
    <w:rsid w:val="00BE1742"/>
    <w:rsid w:val="00BF4E5F"/>
    <w:rsid w:val="00C13C5D"/>
    <w:rsid w:val="00C53DED"/>
    <w:rsid w:val="00C74B48"/>
    <w:rsid w:val="00C84172"/>
    <w:rsid w:val="00C9341C"/>
    <w:rsid w:val="00CB6DCB"/>
    <w:rsid w:val="00CE48A2"/>
    <w:rsid w:val="00D1261C"/>
    <w:rsid w:val="00D26030"/>
    <w:rsid w:val="00D75DCE"/>
    <w:rsid w:val="00D90532"/>
    <w:rsid w:val="00DD35AC"/>
    <w:rsid w:val="00DD479F"/>
    <w:rsid w:val="00E15E48"/>
    <w:rsid w:val="00EB0723"/>
    <w:rsid w:val="00EB2957"/>
    <w:rsid w:val="00EE6F37"/>
    <w:rsid w:val="00F11B0F"/>
    <w:rsid w:val="00F1599F"/>
    <w:rsid w:val="00F3130F"/>
    <w:rsid w:val="00F31EF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Titre1">
    <w:name w:val="heading 1"/>
    <w:aliases w:val="Table_GR"/>
    <w:basedOn w:val="Normal"/>
    <w:next w:val="Normal"/>
    <w:link w:val="Titre1Car"/>
    <w:qFormat/>
    <w:rsid w:val="00BE1742"/>
    <w:pPr>
      <w:keepNext/>
      <w:tabs>
        <w:tab w:val="left" w:pos="567"/>
      </w:tabs>
      <w:jc w:val="both"/>
      <w:outlineLvl w:val="0"/>
    </w:pPr>
    <w:rPr>
      <w:rFonts w:cs="Arial"/>
      <w:b/>
      <w:bCs/>
      <w:szCs w:val="32"/>
      <w:lang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able_GR Car"/>
    <w:basedOn w:val="Policepardfaut"/>
    <w:link w:val="Titre1"/>
    <w:rsid w:val="00BE1742"/>
    <w:rPr>
      <w:rFonts w:ascii="Times New Roman" w:eastAsia="Times New Roman" w:hAnsi="Times New Roman" w:cs="Arial"/>
      <w:b/>
      <w:bCs/>
      <w:spacing w:val="4"/>
      <w:w w:val="103"/>
      <w:kern w:val="14"/>
      <w:sz w:val="20"/>
      <w:szCs w:val="32"/>
      <w:lang w:eastAsia="ru-RU"/>
    </w:rPr>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auNormal"/>
    <w:rsid w:val="00EB2957"/>
    <w:pPr>
      <w:spacing w:before="40" w:after="40" w:line="220" w:lineRule="exact"/>
      <w:jc w:val="right"/>
    </w:pPr>
    <w:rPr>
      <w:rFonts w:ascii="Times New Roman" w:eastAsia="Times New Roman" w:hAnsi="Times New Roman" w:cs="Times New Roman"/>
      <w:sz w:val="18"/>
      <w:szCs w:val="20"/>
      <w:lang w:eastAsia="ru-RU"/>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auNormal"/>
    <w:rsid w:val="00BE1742"/>
    <w:pPr>
      <w:spacing w:before="40" w:after="120" w:line="240" w:lineRule="atLeast"/>
    </w:pPr>
    <w:rPr>
      <w:rFonts w:ascii="Times New Roman" w:eastAsia="Times New Roman" w:hAnsi="Times New Roman" w:cs="Times New Roman"/>
      <w:sz w:val="20"/>
      <w:szCs w:val="20"/>
      <w:lang w:eastAsia="ru-RU"/>
    </w:r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En-tte">
    <w:name w:val="header"/>
    <w:aliases w:val="6_GR"/>
    <w:basedOn w:val="Normal"/>
    <w:next w:val="Normal"/>
    <w:link w:val="En-tteCar"/>
    <w:qFormat/>
    <w:rsid w:val="00BE1742"/>
    <w:pPr>
      <w:pBdr>
        <w:bottom w:val="single" w:sz="4" w:space="4" w:color="auto"/>
      </w:pBdr>
      <w:tabs>
        <w:tab w:val="right" w:pos="9639"/>
      </w:tabs>
      <w:suppressAutoHyphens/>
    </w:pPr>
    <w:rPr>
      <w:b/>
      <w:sz w:val="18"/>
      <w:lang w:val="en-GB" w:eastAsia="ru-RU"/>
    </w:rPr>
  </w:style>
  <w:style w:type="character" w:customStyle="1" w:styleId="En-tteCar">
    <w:name w:val="En-tête Car"/>
    <w:aliases w:val="6_GR Car"/>
    <w:basedOn w:val="Policepardfaut"/>
    <w:link w:val="En-tte"/>
    <w:rsid w:val="00BE1742"/>
    <w:rPr>
      <w:rFonts w:ascii="Times New Roman" w:eastAsia="Times New Roman" w:hAnsi="Times New Roman" w:cs="Times New Roman"/>
      <w:b/>
      <w:sz w:val="18"/>
      <w:szCs w:val="20"/>
      <w:lang w:val="en-GB" w:eastAsia="ru-RU"/>
    </w:rPr>
  </w:style>
  <w:style w:type="character" w:styleId="Appeldenotedefin">
    <w:name w:val="endnote reference"/>
    <w:aliases w:val="1_GR"/>
    <w:basedOn w:val="Appelnotedebasdep"/>
    <w:qFormat/>
    <w:rsid w:val="00BE1742"/>
    <w:rPr>
      <w:rFonts w:ascii="Times New Roman" w:hAnsi="Times New Roman"/>
      <w:dstrike w:val="0"/>
      <w:sz w:val="18"/>
      <w:vertAlign w:val="superscript"/>
    </w:rPr>
  </w:style>
  <w:style w:type="character" w:styleId="Appelnotedebasdep">
    <w:name w:val="footnote reference"/>
    <w:aliases w:val="4_GR,4_G,Footnote Reference/"/>
    <w:basedOn w:val="Policepardfaut"/>
    <w:qFormat/>
    <w:rsid w:val="00BE1742"/>
    <w:rPr>
      <w:rFonts w:ascii="Times New Roman" w:hAnsi="Times New Roman"/>
      <w:dstrike w:val="0"/>
      <w:sz w:val="18"/>
      <w:vertAlign w:val="superscript"/>
    </w:rPr>
  </w:style>
  <w:style w:type="paragraph" w:styleId="Pieddepage">
    <w:name w:val="footer"/>
    <w:aliases w:val="3_GR"/>
    <w:basedOn w:val="Normal"/>
    <w:link w:val="PieddepageCar"/>
    <w:qFormat/>
    <w:rsid w:val="00BE1742"/>
    <w:pPr>
      <w:tabs>
        <w:tab w:val="right" w:pos="9639"/>
      </w:tabs>
      <w:suppressAutoHyphens/>
    </w:pPr>
    <w:rPr>
      <w:sz w:val="16"/>
      <w:lang w:val="en-GB" w:eastAsia="ru-RU"/>
    </w:rPr>
  </w:style>
  <w:style w:type="character" w:customStyle="1" w:styleId="PieddepageCar">
    <w:name w:val="Pied de page Car"/>
    <w:aliases w:val="3_GR Car"/>
    <w:basedOn w:val="Policepardfaut"/>
    <w:link w:val="Pieddepage"/>
    <w:rsid w:val="00BE1742"/>
    <w:rPr>
      <w:rFonts w:ascii="Times New Roman" w:eastAsia="Times New Roman" w:hAnsi="Times New Roman" w:cs="Times New Roman"/>
      <w:sz w:val="16"/>
      <w:szCs w:val="20"/>
      <w:lang w:val="en-GB" w:eastAsia="ru-RU"/>
    </w:rPr>
  </w:style>
  <w:style w:type="character" w:styleId="Numrodepage">
    <w:name w:val="page number"/>
    <w:aliases w:val="7_GR"/>
    <w:basedOn w:val="Policepardfaut"/>
    <w:qFormat/>
    <w:rsid w:val="00BE1742"/>
    <w:rPr>
      <w:rFonts w:ascii="Times New Roman" w:hAnsi="Times New Roman"/>
      <w:b/>
      <w:sz w:val="18"/>
    </w:rPr>
  </w:style>
  <w:style w:type="paragraph" w:styleId="Notedebasdepage">
    <w:name w:val="footnote text"/>
    <w:aliases w:val="5_GR,5_G"/>
    <w:basedOn w:val="Normal"/>
    <w:link w:val="NotedebasdepageC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NotedebasdepageCar">
    <w:name w:val="Note de bas de page Car"/>
    <w:aliases w:val="5_GR Car,5_G Car"/>
    <w:basedOn w:val="Policepardfaut"/>
    <w:link w:val="Notedebasdepage"/>
    <w:rsid w:val="00BE1742"/>
    <w:rPr>
      <w:rFonts w:ascii="Times New Roman" w:eastAsia="Times New Roman" w:hAnsi="Times New Roman" w:cs="Times New Roman"/>
      <w:spacing w:val="5"/>
      <w:w w:val="104"/>
      <w:kern w:val="14"/>
      <w:sz w:val="18"/>
      <w:szCs w:val="20"/>
      <w:lang w:val="en-GB" w:eastAsia="ru-RU"/>
    </w:rPr>
  </w:style>
  <w:style w:type="paragraph" w:styleId="Notedefin">
    <w:name w:val="endnote text"/>
    <w:aliases w:val="2_GR"/>
    <w:basedOn w:val="Notedebasdepage"/>
    <w:link w:val="NotedefinCar"/>
    <w:qFormat/>
    <w:rsid w:val="00BE1742"/>
  </w:style>
  <w:style w:type="character" w:customStyle="1" w:styleId="NotedefinCar">
    <w:name w:val="Note de fin Car"/>
    <w:aliases w:val="2_GR Car"/>
    <w:basedOn w:val="Policepardfaut"/>
    <w:link w:val="Notedefin"/>
    <w:rsid w:val="00BE1742"/>
    <w:rPr>
      <w:rFonts w:ascii="Times New Roman" w:eastAsia="Times New Roman" w:hAnsi="Times New Roman" w:cs="Times New Roman"/>
      <w:spacing w:val="5"/>
      <w:w w:val="104"/>
      <w:kern w:val="14"/>
      <w:sz w:val="18"/>
      <w:szCs w:val="20"/>
      <w:lang w:val="en-GB" w:eastAsia="ru-RU"/>
    </w:rPr>
  </w:style>
  <w:style w:type="table" w:styleId="Grilledutableau">
    <w:name w:val="Table Grid"/>
    <w:basedOn w:val="TableauNormal"/>
    <w:uiPriority w:val="59"/>
    <w:rsid w:val="007A1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11B0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B0F"/>
    <w:rPr>
      <w:rFonts w:ascii="Tahoma" w:eastAsia="Times New Roman" w:hAnsi="Tahoma" w:cs="Tahoma"/>
      <w:spacing w:val="4"/>
      <w:w w:val="103"/>
      <w:kern w:val="14"/>
      <w:sz w:val="16"/>
      <w:szCs w:val="16"/>
    </w:rPr>
  </w:style>
  <w:style w:type="paragraph" w:customStyle="1" w:styleId="HChG">
    <w:name w:val="_ H _Ch_G"/>
    <w:basedOn w:val="Normal"/>
    <w:next w:val="Normal"/>
    <w:link w:val="HChGChar"/>
    <w:rsid w:val="004A2521"/>
    <w:pPr>
      <w:keepNext/>
      <w:keepLines/>
      <w:tabs>
        <w:tab w:val="right" w:pos="851"/>
      </w:tabs>
      <w:suppressAutoHyphens/>
      <w:spacing w:before="360" w:after="240" w:line="300" w:lineRule="exact"/>
      <w:ind w:left="1134" w:right="1134" w:hanging="1134"/>
    </w:pPr>
    <w:rPr>
      <w:b/>
      <w:spacing w:val="0"/>
      <w:w w:val="100"/>
      <w:kern w:val="0"/>
      <w:sz w:val="28"/>
      <w:lang w:val="fr-CH"/>
    </w:rPr>
  </w:style>
  <w:style w:type="character" w:customStyle="1" w:styleId="HChGChar">
    <w:name w:val="_ H _Ch_G Char"/>
    <w:link w:val="HChG"/>
    <w:rsid w:val="004A2521"/>
    <w:rPr>
      <w:rFonts w:ascii="Times New Roman" w:eastAsia="Times New Roman" w:hAnsi="Times New Roman" w:cs="Times New Roman"/>
      <w:b/>
      <w:sz w:val="28"/>
      <w:szCs w:val="20"/>
      <w:lang w:val="fr-CH"/>
    </w:rPr>
  </w:style>
  <w:style w:type="paragraph" w:customStyle="1" w:styleId="H56G">
    <w:name w:val="_ H_5/6_G"/>
    <w:basedOn w:val="Normal"/>
    <w:next w:val="Normal"/>
    <w:rsid w:val="004A2521"/>
    <w:pPr>
      <w:keepNext/>
      <w:keepLines/>
      <w:tabs>
        <w:tab w:val="right" w:pos="851"/>
      </w:tabs>
      <w:suppressAutoHyphens/>
      <w:spacing w:before="240" w:after="120" w:line="240" w:lineRule="exact"/>
      <w:ind w:left="1134" w:right="1134" w:hanging="1134"/>
    </w:pPr>
    <w:rPr>
      <w:spacing w:val="0"/>
      <w:w w:val="100"/>
      <w:kern w:val="0"/>
      <w:lang w:val="fr-CH"/>
    </w:rPr>
  </w:style>
  <w:style w:type="paragraph" w:customStyle="1" w:styleId="H1G">
    <w:name w:val="_ H_1_G"/>
    <w:basedOn w:val="Normal"/>
    <w:next w:val="Normal"/>
    <w:link w:val="H1GChar"/>
    <w:rsid w:val="004A2521"/>
    <w:pPr>
      <w:keepNext/>
      <w:keepLines/>
      <w:tabs>
        <w:tab w:val="right" w:pos="851"/>
      </w:tabs>
      <w:suppressAutoHyphens/>
      <w:spacing w:before="360" w:after="240" w:line="270" w:lineRule="exact"/>
      <w:ind w:left="1134" w:right="1134" w:hanging="1134"/>
    </w:pPr>
    <w:rPr>
      <w:b/>
      <w:spacing w:val="0"/>
      <w:w w:val="100"/>
      <w:kern w:val="0"/>
      <w:sz w:val="24"/>
      <w:lang w:val="fr-CH"/>
    </w:rPr>
  </w:style>
  <w:style w:type="character" w:customStyle="1" w:styleId="H1GChar">
    <w:name w:val="_ H_1_G Char"/>
    <w:link w:val="H1G"/>
    <w:rsid w:val="004A2521"/>
    <w:rPr>
      <w:rFonts w:ascii="Times New Roman" w:eastAsia="Times New Roman" w:hAnsi="Times New Roman" w:cs="Times New Roman"/>
      <w:b/>
      <w:sz w:val="24"/>
      <w:szCs w:val="20"/>
      <w:lang w:val="fr-CH"/>
    </w:rPr>
  </w:style>
  <w:style w:type="paragraph" w:customStyle="1" w:styleId="SingleTxtG">
    <w:name w:val="_ Single Txt_G"/>
    <w:basedOn w:val="Normal"/>
    <w:link w:val="SingleTxtGCar"/>
    <w:qFormat/>
    <w:rsid w:val="004A2521"/>
    <w:pPr>
      <w:suppressAutoHyphens/>
      <w:spacing w:after="120"/>
      <w:ind w:left="1134" w:right="1134"/>
      <w:jc w:val="both"/>
    </w:pPr>
    <w:rPr>
      <w:spacing w:val="0"/>
      <w:w w:val="100"/>
      <w:kern w:val="0"/>
      <w:lang w:val="fr-CH"/>
    </w:rPr>
  </w:style>
  <w:style w:type="character" w:customStyle="1" w:styleId="SingleTxtGCar">
    <w:name w:val="_ Single Txt_G Car"/>
    <w:link w:val="SingleTxtG"/>
    <w:rsid w:val="004A2521"/>
    <w:rPr>
      <w:rFonts w:ascii="Times New Roman" w:eastAsia="Times New Roman" w:hAnsi="Times New Roman" w:cs="Times New Roman"/>
      <w:sz w:val="20"/>
      <w:szCs w:val="20"/>
      <w:lang w:val="fr-CH"/>
    </w:rPr>
  </w:style>
  <w:style w:type="character" w:styleId="Lienhypertexte">
    <w:name w:val="Hyperlink"/>
    <w:semiHidden/>
    <w:rsid w:val="004A2521"/>
    <w:rPr>
      <w:color w:val="auto"/>
      <w:u w:val="none"/>
    </w:rPr>
  </w:style>
  <w:style w:type="character" w:customStyle="1" w:styleId="SingleTxtGChar">
    <w:name w:val="_ Single Txt_G Char"/>
    <w:qFormat/>
    <w:rsid w:val="004A2521"/>
    <w:rPr>
      <w:lang w:val="en-GB" w:eastAsia="en-US" w:bidi="ar-SA"/>
    </w:rPr>
  </w:style>
  <w:style w:type="paragraph" w:customStyle="1" w:styleId="Default">
    <w:name w:val="Default"/>
    <w:rsid w:val="004A2521"/>
    <w:pPr>
      <w:autoSpaceDE w:val="0"/>
      <w:autoSpaceDN w:val="0"/>
      <w:adjustRightInd w:val="0"/>
    </w:pPr>
    <w:rPr>
      <w:rFonts w:ascii="Arial" w:eastAsia="MS Mincho" w:hAnsi="Arial" w:cs="Arial"/>
      <w:color w:val="000000"/>
      <w:sz w:val="24"/>
      <w:szCs w:val="24"/>
      <w:lang w:val="en-GB" w:eastAsia="en-GB"/>
    </w:rPr>
  </w:style>
  <w:style w:type="character" w:customStyle="1" w:styleId="CommentaireCar">
    <w:name w:val="Commentaire Car"/>
    <w:basedOn w:val="Policepardfaut"/>
    <w:link w:val="Commentaire"/>
    <w:uiPriority w:val="99"/>
    <w:semiHidden/>
    <w:rsid w:val="004A2521"/>
    <w:rPr>
      <w:rFonts w:ascii="Times New Roman" w:eastAsia="Times New Roman" w:hAnsi="Times New Roman" w:cs="Times New Roman"/>
      <w:spacing w:val="4"/>
      <w:w w:val="103"/>
      <w:kern w:val="14"/>
      <w:sz w:val="20"/>
      <w:szCs w:val="20"/>
    </w:rPr>
  </w:style>
  <w:style w:type="paragraph" w:styleId="Commentaire">
    <w:name w:val="annotation text"/>
    <w:basedOn w:val="Normal"/>
    <w:link w:val="CommentaireCar"/>
    <w:uiPriority w:val="99"/>
    <w:semiHidden/>
    <w:unhideWhenUsed/>
    <w:rsid w:val="004A2521"/>
    <w:pPr>
      <w:spacing w:line="240" w:lineRule="auto"/>
    </w:pPr>
  </w:style>
  <w:style w:type="character" w:customStyle="1" w:styleId="ObjetducommentaireCar">
    <w:name w:val="Objet du commentaire Car"/>
    <w:basedOn w:val="CommentaireCar"/>
    <w:link w:val="Objetducommentaire"/>
    <w:uiPriority w:val="99"/>
    <w:semiHidden/>
    <w:rsid w:val="004A2521"/>
    <w:rPr>
      <w:rFonts w:ascii="Times New Roman" w:eastAsia="Times New Roman" w:hAnsi="Times New Roman" w:cs="Times New Roman"/>
      <w:b/>
      <w:bCs/>
      <w:spacing w:val="4"/>
      <w:w w:val="103"/>
      <w:kern w:val="14"/>
      <w:sz w:val="20"/>
      <w:szCs w:val="20"/>
    </w:rPr>
  </w:style>
  <w:style w:type="paragraph" w:styleId="Objetducommentaire">
    <w:name w:val="annotation subject"/>
    <w:basedOn w:val="Commentaire"/>
    <w:next w:val="Commentaire"/>
    <w:link w:val="ObjetducommentaireCar"/>
    <w:uiPriority w:val="99"/>
    <w:semiHidden/>
    <w:unhideWhenUsed/>
    <w:rsid w:val="004A25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Titre1">
    <w:name w:val="heading 1"/>
    <w:aliases w:val="Table_GR"/>
    <w:basedOn w:val="Normal"/>
    <w:next w:val="Normal"/>
    <w:link w:val="Titre1Car"/>
    <w:qFormat/>
    <w:rsid w:val="00BE1742"/>
    <w:pPr>
      <w:keepNext/>
      <w:tabs>
        <w:tab w:val="left" w:pos="567"/>
      </w:tabs>
      <w:jc w:val="both"/>
      <w:outlineLvl w:val="0"/>
    </w:pPr>
    <w:rPr>
      <w:rFonts w:cs="Arial"/>
      <w:b/>
      <w:bCs/>
      <w:szCs w:val="32"/>
      <w:lang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able_GR Car"/>
    <w:basedOn w:val="Policepardfaut"/>
    <w:link w:val="Titre1"/>
    <w:rsid w:val="00BE1742"/>
    <w:rPr>
      <w:rFonts w:ascii="Times New Roman" w:eastAsia="Times New Roman" w:hAnsi="Times New Roman" w:cs="Arial"/>
      <w:b/>
      <w:bCs/>
      <w:spacing w:val="4"/>
      <w:w w:val="103"/>
      <w:kern w:val="14"/>
      <w:sz w:val="20"/>
      <w:szCs w:val="32"/>
      <w:lang w:eastAsia="ru-RU"/>
    </w:rPr>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auNormal"/>
    <w:rsid w:val="00EB2957"/>
    <w:pPr>
      <w:spacing w:before="40" w:after="40" w:line="220" w:lineRule="exact"/>
      <w:jc w:val="right"/>
    </w:pPr>
    <w:rPr>
      <w:rFonts w:ascii="Times New Roman" w:eastAsia="Times New Roman" w:hAnsi="Times New Roman" w:cs="Times New Roman"/>
      <w:sz w:val="18"/>
      <w:szCs w:val="20"/>
      <w:lang w:eastAsia="ru-RU"/>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auNormal"/>
    <w:rsid w:val="00BE1742"/>
    <w:pPr>
      <w:spacing w:before="40" w:after="120" w:line="240" w:lineRule="atLeast"/>
    </w:pPr>
    <w:rPr>
      <w:rFonts w:ascii="Times New Roman" w:eastAsia="Times New Roman" w:hAnsi="Times New Roman" w:cs="Times New Roman"/>
      <w:sz w:val="20"/>
      <w:szCs w:val="20"/>
      <w:lang w:eastAsia="ru-RU"/>
    </w:r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En-tte">
    <w:name w:val="header"/>
    <w:aliases w:val="6_GR"/>
    <w:basedOn w:val="Normal"/>
    <w:next w:val="Normal"/>
    <w:link w:val="En-tteCar"/>
    <w:qFormat/>
    <w:rsid w:val="00BE1742"/>
    <w:pPr>
      <w:pBdr>
        <w:bottom w:val="single" w:sz="4" w:space="4" w:color="auto"/>
      </w:pBdr>
      <w:tabs>
        <w:tab w:val="right" w:pos="9639"/>
      </w:tabs>
      <w:suppressAutoHyphens/>
    </w:pPr>
    <w:rPr>
      <w:b/>
      <w:sz w:val="18"/>
      <w:lang w:val="en-GB" w:eastAsia="ru-RU"/>
    </w:rPr>
  </w:style>
  <w:style w:type="character" w:customStyle="1" w:styleId="En-tteCar">
    <w:name w:val="En-tête Car"/>
    <w:aliases w:val="6_GR Car"/>
    <w:basedOn w:val="Policepardfaut"/>
    <w:link w:val="En-tte"/>
    <w:rsid w:val="00BE1742"/>
    <w:rPr>
      <w:rFonts w:ascii="Times New Roman" w:eastAsia="Times New Roman" w:hAnsi="Times New Roman" w:cs="Times New Roman"/>
      <w:b/>
      <w:sz w:val="18"/>
      <w:szCs w:val="20"/>
      <w:lang w:val="en-GB" w:eastAsia="ru-RU"/>
    </w:rPr>
  </w:style>
  <w:style w:type="character" w:styleId="Appeldenotedefin">
    <w:name w:val="endnote reference"/>
    <w:aliases w:val="1_GR"/>
    <w:basedOn w:val="Appelnotedebasdep"/>
    <w:qFormat/>
    <w:rsid w:val="00BE1742"/>
    <w:rPr>
      <w:rFonts w:ascii="Times New Roman" w:hAnsi="Times New Roman"/>
      <w:dstrike w:val="0"/>
      <w:sz w:val="18"/>
      <w:vertAlign w:val="superscript"/>
    </w:rPr>
  </w:style>
  <w:style w:type="character" w:styleId="Appelnotedebasdep">
    <w:name w:val="footnote reference"/>
    <w:aliases w:val="4_GR,4_G,Footnote Reference/"/>
    <w:basedOn w:val="Policepardfaut"/>
    <w:qFormat/>
    <w:rsid w:val="00BE1742"/>
    <w:rPr>
      <w:rFonts w:ascii="Times New Roman" w:hAnsi="Times New Roman"/>
      <w:dstrike w:val="0"/>
      <w:sz w:val="18"/>
      <w:vertAlign w:val="superscript"/>
    </w:rPr>
  </w:style>
  <w:style w:type="paragraph" w:styleId="Pieddepage">
    <w:name w:val="footer"/>
    <w:aliases w:val="3_GR"/>
    <w:basedOn w:val="Normal"/>
    <w:link w:val="PieddepageCar"/>
    <w:qFormat/>
    <w:rsid w:val="00BE1742"/>
    <w:pPr>
      <w:tabs>
        <w:tab w:val="right" w:pos="9639"/>
      </w:tabs>
      <w:suppressAutoHyphens/>
    </w:pPr>
    <w:rPr>
      <w:sz w:val="16"/>
      <w:lang w:val="en-GB" w:eastAsia="ru-RU"/>
    </w:rPr>
  </w:style>
  <w:style w:type="character" w:customStyle="1" w:styleId="PieddepageCar">
    <w:name w:val="Pied de page Car"/>
    <w:aliases w:val="3_GR Car"/>
    <w:basedOn w:val="Policepardfaut"/>
    <w:link w:val="Pieddepage"/>
    <w:rsid w:val="00BE1742"/>
    <w:rPr>
      <w:rFonts w:ascii="Times New Roman" w:eastAsia="Times New Roman" w:hAnsi="Times New Roman" w:cs="Times New Roman"/>
      <w:sz w:val="16"/>
      <w:szCs w:val="20"/>
      <w:lang w:val="en-GB" w:eastAsia="ru-RU"/>
    </w:rPr>
  </w:style>
  <w:style w:type="character" w:styleId="Numrodepage">
    <w:name w:val="page number"/>
    <w:aliases w:val="7_GR"/>
    <w:basedOn w:val="Policepardfaut"/>
    <w:qFormat/>
    <w:rsid w:val="00BE1742"/>
    <w:rPr>
      <w:rFonts w:ascii="Times New Roman" w:hAnsi="Times New Roman"/>
      <w:b/>
      <w:sz w:val="18"/>
    </w:rPr>
  </w:style>
  <w:style w:type="paragraph" w:styleId="Notedebasdepage">
    <w:name w:val="footnote text"/>
    <w:aliases w:val="5_GR,5_G"/>
    <w:basedOn w:val="Normal"/>
    <w:link w:val="NotedebasdepageC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NotedebasdepageCar">
    <w:name w:val="Note de bas de page Car"/>
    <w:aliases w:val="5_GR Car,5_G Car"/>
    <w:basedOn w:val="Policepardfaut"/>
    <w:link w:val="Notedebasdepage"/>
    <w:rsid w:val="00BE1742"/>
    <w:rPr>
      <w:rFonts w:ascii="Times New Roman" w:eastAsia="Times New Roman" w:hAnsi="Times New Roman" w:cs="Times New Roman"/>
      <w:spacing w:val="5"/>
      <w:w w:val="104"/>
      <w:kern w:val="14"/>
      <w:sz w:val="18"/>
      <w:szCs w:val="20"/>
      <w:lang w:val="en-GB" w:eastAsia="ru-RU"/>
    </w:rPr>
  </w:style>
  <w:style w:type="paragraph" w:styleId="Notedefin">
    <w:name w:val="endnote text"/>
    <w:aliases w:val="2_GR"/>
    <w:basedOn w:val="Notedebasdepage"/>
    <w:link w:val="NotedefinCar"/>
    <w:qFormat/>
    <w:rsid w:val="00BE1742"/>
  </w:style>
  <w:style w:type="character" w:customStyle="1" w:styleId="NotedefinCar">
    <w:name w:val="Note de fin Car"/>
    <w:aliases w:val="2_GR Car"/>
    <w:basedOn w:val="Policepardfaut"/>
    <w:link w:val="Notedefin"/>
    <w:rsid w:val="00BE1742"/>
    <w:rPr>
      <w:rFonts w:ascii="Times New Roman" w:eastAsia="Times New Roman" w:hAnsi="Times New Roman" w:cs="Times New Roman"/>
      <w:spacing w:val="5"/>
      <w:w w:val="104"/>
      <w:kern w:val="14"/>
      <w:sz w:val="18"/>
      <w:szCs w:val="20"/>
      <w:lang w:val="en-GB" w:eastAsia="ru-RU"/>
    </w:rPr>
  </w:style>
  <w:style w:type="table" w:styleId="Grilledutableau">
    <w:name w:val="Table Grid"/>
    <w:basedOn w:val="TableauNormal"/>
    <w:uiPriority w:val="59"/>
    <w:rsid w:val="007A1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11B0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B0F"/>
    <w:rPr>
      <w:rFonts w:ascii="Tahoma" w:eastAsia="Times New Roman" w:hAnsi="Tahoma" w:cs="Tahoma"/>
      <w:spacing w:val="4"/>
      <w:w w:val="103"/>
      <w:kern w:val="14"/>
      <w:sz w:val="16"/>
      <w:szCs w:val="16"/>
    </w:rPr>
  </w:style>
  <w:style w:type="paragraph" w:customStyle="1" w:styleId="HChG">
    <w:name w:val="_ H _Ch_G"/>
    <w:basedOn w:val="Normal"/>
    <w:next w:val="Normal"/>
    <w:link w:val="HChGChar"/>
    <w:rsid w:val="004A2521"/>
    <w:pPr>
      <w:keepNext/>
      <w:keepLines/>
      <w:tabs>
        <w:tab w:val="right" w:pos="851"/>
      </w:tabs>
      <w:suppressAutoHyphens/>
      <w:spacing w:before="360" w:after="240" w:line="300" w:lineRule="exact"/>
      <w:ind w:left="1134" w:right="1134" w:hanging="1134"/>
    </w:pPr>
    <w:rPr>
      <w:b/>
      <w:spacing w:val="0"/>
      <w:w w:val="100"/>
      <w:kern w:val="0"/>
      <w:sz w:val="28"/>
      <w:lang w:val="fr-CH"/>
    </w:rPr>
  </w:style>
  <w:style w:type="character" w:customStyle="1" w:styleId="HChGChar">
    <w:name w:val="_ H _Ch_G Char"/>
    <w:link w:val="HChG"/>
    <w:rsid w:val="004A2521"/>
    <w:rPr>
      <w:rFonts w:ascii="Times New Roman" w:eastAsia="Times New Roman" w:hAnsi="Times New Roman" w:cs="Times New Roman"/>
      <w:b/>
      <w:sz w:val="28"/>
      <w:szCs w:val="20"/>
      <w:lang w:val="fr-CH"/>
    </w:rPr>
  </w:style>
  <w:style w:type="paragraph" w:customStyle="1" w:styleId="H56G">
    <w:name w:val="_ H_5/6_G"/>
    <w:basedOn w:val="Normal"/>
    <w:next w:val="Normal"/>
    <w:rsid w:val="004A2521"/>
    <w:pPr>
      <w:keepNext/>
      <w:keepLines/>
      <w:tabs>
        <w:tab w:val="right" w:pos="851"/>
      </w:tabs>
      <w:suppressAutoHyphens/>
      <w:spacing w:before="240" w:after="120" w:line="240" w:lineRule="exact"/>
      <w:ind w:left="1134" w:right="1134" w:hanging="1134"/>
    </w:pPr>
    <w:rPr>
      <w:spacing w:val="0"/>
      <w:w w:val="100"/>
      <w:kern w:val="0"/>
      <w:lang w:val="fr-CH"/>
    </w:rPr>
  </w:style>
  <w:style w:type="paragraph" w:customStyle="1" w:styleId="H1G">
    <w:name w:val="_ H_1_G"/>
    <w:basedOn w:val="Normal"/>
    <w:next w:val="Normal"/>
    <w:link w:val="H1GChar"/>
    <w:rsid w:val="004A2521"/>
    <w:pPr>
      <w:keepNext/>
      <w:keepLines/>
      <w:tabs>
        <w:tab w:val="right" w:pos="851"/>
      </w:tabs>
      <w:suppressAutoHyphens/>
      <w:spacing w:before="360" w:after="240" w:line="270" w:lineRule="exact"/>
      <w:ind w:left="1134" w:right="1134" w:hanging="1134"/>
    </w:pPr>
    <w:rPr>
      <w:b/>
      <w:spacing w:val="0"/>
      <w:w w:val="100"/>
      <w:kern w:val="0"/>
      <w:sz w:val="24"/>
      <w:lang w:val="fr-CH"/>
    </w:rPr>
  </w:style>
  <w:style w:type="character" w:customStyle="1" w:styleId="H1GChar">
    <w:name w:val="_ H_1_G Char"/>
    <w:link w:val="H1G"/>
    <w:rsid w:val="004A2521"/>
    <w:rPr>
      <w:rFonts w:ascii="Times New Roman" w:eastAsia="Times New Roman" w:hAnsi="Times New Roman" w:cs="Times New Roman"/>
      <w:b/>
      <w:sz w:val="24"/>
      <w:szCs w:val="20"/>
      <w:lang w:val="fr-CH"/>
    </w:rPr>
  </w:style>
  <w:style w:type="paragraph" w:customStyle="1" w:styleId="SingleTxtG">
    <w:name w:val="_ Single Txt_G"/>
    <w:basedOn w:val="Normal"/>
    <w:link w:val="SingleTxtGCar"/>
    <w:qFormat/>
    <w:rsid w:val="004A2521"/>
    <w:pPr>
      <w:suppressAutoHyphens/>
      <w:spacing w:after="120"/>
      <w:ind w:left="1134" w:right="1134"/>
      <w:jc w:val="both"/>
    </w:pPr>
    <w:rPr>
      <w:spacing w:val="0"/>
      <w:w w:val="100"/>
      <w:kern w:val="0"/>
      <w:lang w:val="fr-CH"/>
    </w:rPr>
  </w:style>
  <w:style w:type="character" w:customStyle="1" w:styleId="SingleTxtGCar">
    <w:name w:val="_ Single Txt_G Car"/>
    <w:link w:val="SingleTxtG"/>
    <w:rsid w:val="004A2521"/>
    <w:rPr>
      <w:rFonts w:ascii="Times New Roman" w:eastAsia="Times New Roman" w:hAnsi="Times New Roman" w:cs="Times New Roman"/>
      <w:sz w:val="20"/>
      <w:szCs w:val="20"/>
      <w:lang w:val="fr-CH"/>
    </w:rPr>
  </w:style>
  <w:style w:type="character" w:styleId="Lienhypertexte">
    <w:name w:val="Hyperlink"/>
    <w:semiHidden/>
    <w:rsid w:val="004A2521"/>
    <w:rPr>
      <w:color w:val="auto"/>
      <w:u w:val="none"/>
    </w:rPr>
  </w:style>
  <w:style w:type="character" w:customStyle="1" w:styleId="SingleTxtGChar">
    <w:name w:val="_ Single Txt_G Char"/>
    <w:qFormat/>
    <w:rsid w:val="004A2521"/>
    <w:rPr>
      <w:lang w:val="en-GB" w:eastAsia="en-US" w:bidi="ar-SA"/>
    </w:rPr>
  </w:style>
  <w:style w:type="paragraph" w:customStyle="1" w:styleId="Default">
    <w:name w:val="Default"/>
    <w:rsid w:val="004A2521"/>
    <w:pPr>
      <w:autoSpaceDE w:val="0"/>
      <w:autoSpaceDN w:val="0"/>
      <w:adjustRightInd w:val="0"/>
    </w:pPr>
    <w:rPr>
      <w:rFonts w:ascii="Arial" w:eastAsia="MS Mincho" w:hAnsi="Arial" w:cs="Arial"/>
      <w:color w:val="000000"/>
      <w:sz w:val="24"/>
      <w:szCs w:val="24"/>
      <w:lang w:val="en-GB" w:eastAsia="en-GB"/>
    </w:rPr>
  </w:style>
  <w:style w:type="character" w:customStyle="1" w:styleId="CommentaireCar">
    <w:name w:val="Commentaire Car"/>
    <w:basedOn w:val="Policepardfaut"/>
    <w:link w:val="Commentaire"/>
    <w:uiPriority w:val="99"/>
    <w:semiHidden/>
    <w:rsid w:val="004A2521"/>
    <w:rPr>
      <w:rFonts w:ascii="Times New Roman" w:eastAsia="Times New Roman" w:hAnsi="Times New Roman" w:cs="Times New Roman"/>
      <w:spacing w:val="4"/>
      <w:w w:val="103"/>
      <w:kern w:val="14"/>
      <w:sz w:val="20"/>
      <w:szCs w:val="20"/>
    </w:rPr>
  </w:style>
  <w:style w:type="paragraph" w:styleId="Commentaire">
    <w:name w:val="annotation text"/>
    <w:basedOn w:val="Normal"/>
    <w:link w:val="CommentaireCar"/>
    <w:uiPriority w:val="99"/>
    <w:semiHidden/>
    <w:unhideWhenUsed/>
    <w:rsid w:val="004A2521"/>
    <w:pPr>
      <w:spacing w:line="240" w:lineRule="auto"/>
    </w:pPr>
  </w:style>
  <w:style w:type="character" w:customStyle="1" w:styleId="ObjetducommentaireCar">
    <w:name w:val="Objet du commentaire Car"/>
    <w:basedOn w:val="CommentaireCar"/>
    <w:link w:val="Objetducommentaire"/>
    <w:uiPriority w:val="99"/>
    <w:semiHidden/>
    <w:rsid w:val="004A2521"/>
    <w:rPr>
      <w:rFonts w:ascii="Times New Roman" w:eastAsia="Times New Roman" w:hAnsi="Times New Roman" w:cs="Times New Roman"/>
      <w:b/>
      <w:bCs/>
      <w:spacing w:val="4"/>
      <w:w w:val="103"/>
      <w:kern w:val="14"/>
      <w:sz w:val="20"/>
      <w:szCs w:val="20"/>
    </w:rPr>
  </w:style>
  <w:style w:type="paragraph" w:styleId="Objetducommentaire">
    <w:name w:val="annotation subject"/>
    <w:basedOn w:val="Commentaire"/>
    <w:next w:val="Commentaire"/>
    <w:link w:val="ObjetducommentaireCar"/>
    <w:uiPriority w:val="99"/>
    <w:semiHidden/>
    <w:unhideWhenUsed/>
    <w:rsid w:val="004A25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unece.org/info/open-unece/evaluation.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35F6A-4136-4D82-9948-24647607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8401</Words>
  <Characters>47892</Characters>
  <Application>Microsoft Office Word</Application>
  <DocSecurity>0</DocSecurity>
  <Lines>399</Lines>
  <Paragraphs>112</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56181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SALYNSKAYA</dc:creator>
  <cp:lastModifiedBy>barrio-champeau</cp:lastModifiedBy>
  <cp:revision>2</cp:revision>
  <cp:lastPrinted>2016-11-22T09:10:00Z</cp:lastPrinted>
  <dcterms:created xsi:type="dcterms:W3CDTF">2017-01-20T11:03:00Z</dcterms:created>
  <dcterms:modified xsi:type="dcterms:W3CDTF">2017-01-20T11:03:00Z</dcterms:modified>
</cp:coreProperties>
</file>