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7C1B0A">
            <w:pPr>
              <w:suppressAutoHyphens w:val="0"/>
              <w:spacing w:after="20"/>
              <w:jc w:val="right"/>
            </w:pPr>
            <w:r w:rsidRPr="008D4A19">
              <w:rPr>
                <w:sz w:val="40"/>
              </w:rPr>
              <w:t>ECE</w:t>
            </w:r>
            <w:r>
              <w:t>/TRANS/WP.15/201</w:t>
            </w:r>
            <w:r w:rsidR="00597C2F">
              <w:t>7</w:t>
            </w:r>
            <w:r>
              <w:t>/</w:t>
            </w:r>
            <w:r w:rsidR="007C1B0A">
              <w:t>8</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F73F82" w:rsidP="008D4A19">
            <w:pPr>
              <w:suppressAutoHyphens w:val="0"/>
            </w:pPr>
            <w:r>
              <w:t>2</w:t>
            </w:r>
            <w:r w:rsidR="00F77848">
              <w:t>1</w:t>
            </w:r>
            <w:bookmarkStart w:id="0" w:name="_GoBack"/>
            <w:bookmarkEnd w:id="0"/>
            <w:r w:rsidR="004D3CEF">
              <w:t xml:space="preserve"> February</w:t>
            </w:r>
            <w:r w:rsidR="001330DE">
              <w:t xml:space="preserve"> 201</w:t>
            </w:r>
            <w:r w:rsidR="00597C2F">
              <w:t>7</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3D738F" w:rsidP="001330DE">
      <w:pPr>
        <w:spacing w:before="120"/>
        <w:rPr>
          <w:rFonts w:eastAsia="SimSun"/>
          <w:b/>
        </w:rPr>
      </w:pPr>
      <w:r>
        <w:rPr>
          <w:rFonts w:eastAsia="SimSun"/>
          <w:b/>
        </w:rPr>
        <w:t>102nd</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597C2F">
        <w:rPr>
          <w:rFonts w:eastAsia="SimSun"/>
        </w:rPr>
        <w:t>8</w:t>
      </w:r>
      <w:r w:rsidR="00F73F82">
        <w:rPr>
          <w:rFonts w:eastAsia="SimSun"/>
        </w:rPr>
        <w:t>-</w:t>
      </w:r>
      <w:r w:rsidR="00DE40E0">
        <w:rPr>
          <w:rFonts w:eastAsia="SimSun"/>
        </w:rPr>
        <w:t>1</w:t>
      </w:r>
      <w:r w:rsidR="00597C2F">
        <w:rPr>
          <w:rFonts w:eastAsia="SimSun"/>
        </w:rPr>
        <w:t>2</w:t>
      </w:r>
      <w:r w:rsidRPr="00BA64A8">
        <w:rPr>
          <w:rFonts w:eastAsia="SimSun"/>
        </w:rPr>
        <w:t xml:space="preserve"> May 201</w:t>
      </w:r>
      <w:r w:rsidR="00597C2F">
        <w:rPr>
          <w:rFonts w:eastAsia="SimSun"/>
        </w:rPr>
        <w:t>7</w:t>
      </w:r>
      <w:r w:rsidRPr="00BA64A8">
        <w:rPr>
          <w:rFonts w:eastAsia="SimSun"/>
        </w:rPr>
        <w:t xml:space="preserve"> </w:t>
      </w:r>
    </w:p>
    <w:p w:rsidR="007C1B0A" w:rsidRDefault="007C1B0A" w:rsidP="007C1B0A">
      <w:r>
        <w:t>Item 5</w:t>
      </w:r>
      <w:r w:rsidR="00F73F82">
        <w:t xml:space="preserve"> </w:t>
      </w:r>
      <w:r w:rsidR="004F3D17">
        <w:t>(</w:t>
      </w:r>
      <w:r>
        <w:t>b) of the provisional agenda</w:t>
      </w:r>
    </w:p>
    <w:p w:rsidR="007C1B0A" w:rsidRPr="003D777F" w:rsidRDefault="007C1B0A" w:rsidP="007C1B0A">
      <w:pPr>
        <w:rPr>
          <w:b/>
        </w:rPr>
      </w:pPr>
      <w:r w:rsidRPr="003D777F">
        <w:rPr>
          <w:b/>
        </w:rPr>
        <w:t>Proposals for amendments to Annexes A and B of ADR:</w:t>
      </w:r>
    </w:p>
    <w:p w:rsidR="00DE40E0" w:rsidRPr="001E59E0" w:rsidRDefault="007C1B0A" w:rsidP="007C1B0A">
      <w:pPr>
        <w:rPr>
          <w:b/>
        </w:rPr>
      </w:pPr>
      <w:r w:rsidRPr="003D777F">
        <w:rPr>
          <w:b/>
        </w:rPr>
        <w:t>miscellaneous proposals</w:t>
      </w:r>
    </w:p>
    <w:p w:rsidR="007C1B0A" w:rsidRPr="000C4768" w:rsidRDefault="003A6B33" w:rsidP="007C1B0A">
      <w:pPr>
        <w:pStyle w:val="HChG"/>
        <w:rPr>
          <w:lang w:val="en-US"/>
        </w:rPr>
      </w:pPr>
      <w:r>
        <w:tab/>
      </w:r>
      <w:r>
        <w:tab/>
      </w:r>
      <w:r w:rsidR="007C1B0A" w:rsidRPr="000C4768">
        <w:rPr>
          <w:lang w:val="en-US"/>
        </w:rPr>
        <w:t>Increase of amount of explos</w:t>
      </w:r>
      <w:r w:rsidR="007C1B0A">
        <w:rPr>
          <w:lang w:val="en-US"/>
        </w:rPr>
        <w:t>ives per transport unit</w:t>
      </w:r>
    </w:p>
    <w:p w:rsidR="007C1B0A" w:rsidRDefault="007C1B0A" w:rsidP="007C1B0A">
      <w:pPr>
        <w:pStyle w:val="H1G"/>
      </w:pPr>
      <w:r>
        <w:tab/>
      </w:r>
      <w:r>
        <w:tab/>
      </w:r>
      <w:r w:rsidRPr="00A66E8A">
        <w:t xml:space="preserve">Transmitted by the </w:t>
      </w:r>
      <w:r>
        <w:t>Government of Spain</w:t>
      </w:r>
      <w:r w:rsidR="00F73F82" w:rsidRPr="00C634A6">
        <w:rPr>
          <w:rStyle w:val="FootnoteReference"/>
          <w:b w:val="0"/>
          <w:sz w:val="20"/>
        </w:rPr>
        <w:footnoteReference w:customMarkFollows="1" w:id="2"/>
        <w:sym w:font="Symbol" w:char="F02A"/>
      </w:r>
    </w:p>
    <w:p w:rsidR="007C1B0A" w:rsidRPr="00607B3B" w:rsidRDefault="007C1B0A" w:rsidP="007C1B0A">
      <w:pPr>
        <w:pStyle w:val="HChG"/>
      </w:pPr>
      <w:r>
        <w:tab/>
      </w:r>
      <w:r w:rsidRPr="00F84969">
        <w:tab/>
      </w:r>
      <w:r w:rsidRPr="00607B3B">
        <w:t>Introduction</w:t>
      </w:r>
    </w:p>
    <w:p w:rsidR="007C1B0A" w:rsidRPr="004F3D17" w:rsidRDefault="004F3D17" w:rsidP="004F3D17">
      <w:pPr>
        <w:pStyle w:val="SingleTxtG"/>
      </w:pPr>
      <w:r>
        <w:t>1.</w:t>
      </w:r>
      <w:r>
        <w:tab/>
      </w:r>
      <w:r w:rsidR="00F73F82">
        <w:t>At the 101st</w:t>
      </w:r>
      <w:r w:rsidR="007C1B0A" w:rsidRPr="004F3D17">
        <w:t xml:space="preserve"> session Spain s</w:t>
      </w:r>
      <w:r w:rsidR="00F73F82">
        <w:t>ubmitted an i</w:t>
      </w:r>
      <w:r w:rsidRPr="004F3D17">
        <w:t xml:space="preserve">nformal </w:t>
      </w:r>
      <w:r w:rsidR="00F73F82">
        <w:t>document</w:t>
      </w:r>
      <w:r w:rsidRPr="004F3D17">
        <w:t xml:space="preserve"> (INF.</w:t>
      </w:r>
      <w:r w:rsidR="007C1B0A" w:rsidRPr="004F3D17">
        <w:t>13) about a possible increase in the total quantities of explosives, which could be transported in vehicles, of the EX/III type.</w:t>
      </w:r>
    </w:p>
    <w:p w:rsidR="007C1B0A" w:rsidRPr="004F3D17" w:rsidRDefault="004F3D17" w:rsidP="004F3D17">
      <w:pPr>
        <w:pStyle w:val="SingleTxtG"/>
      </w:pPr>
      <w:r>
        <w:t>2.</w:t>
      </w:r>
      <w:r>
        <w:tab/>
      </w:r>
      <w:r w:rsidR="007C1B0A" w:rsidRPr="004F3D17">
        <w:t xml:space="preserve">The </w:t>
      </w:r>
      <w:r w:rsidR="00F73F82">
        <w:t>objective of the mentioned i</w:t>
      </w:r>
      <w:r w:rsidR="007C1B0A" w:rsidRPr="004F3D17">
        <w:t xml:space="preserve">nformal </w:t>
      </w:r>
      <w:r w:rsidR="00F73F82">
        <w:t>document</w:t>
      </w:r>
      <w:r w:rsidR="007C1B0A" w:rsidRPr="004F3D17">
        <w:t xml:space="preserve"> was to know if the </w:t>
      </w:r>
      <w:r w:rsidR="00F73F82">
        <w:t>Working Party</w:t>
      </w:r>
      <w:r w:rsidR="007C1B0A" w:rsidRPr="004F3D17">
        <w:t xml:space="preserve"> could consider an increase of the authorized quantities for transport of explosives in EX/III vehicles from the current 16 tons up to the authorized capacity limit for the corresponding type of truck</w:t>
      </w:r>
    </w:p>
    <w:p w:rsidR="007C1B0A" w:rsidRPr="004F3D17" w:rsidRDefault="004F3D17" w:rsidP="004F3D17">
      <w:pPr>
        <w:pStyle w:val="SingleTxtG"/>
      </w:pPr>
      <w:r>
        <w:t>3.</w:t>
      </w:r>
      <w:r>
        <w:tab/>
      </w:r>
      <w:r w:rsidR="007C1B0A" w:rsidRPr="004F3D17">
        <w:t xml:space="preserve">In the aforesaid document it was also explained that this type of vehicles are mainly used for long distances, fully loaded, to supply explosives to the magazines for a posterior retail distribution to mines, quarries and civil works. They are also used to send containers of these for further transport through ships or trains. </w:t>
      </w:r>
    </w:p>
    <w:p w:rsidR="007C1B0A" w:rsidRPr="004F3D17" w:rsidRDefault="004F3D17" w:rsidP="004F3D17">
      <w:pPr>
        <w:pStyle w:val="SingleTxtG"/>
      </w:pPr>
      <w:r>
        <w:t>4.</w:t>
      </w:r>
      <w:r>
        <w:tab/>
      </w:r>
      <w:r w:rsidR="007C1B0A" w:rsidRPr="004F3D17">
        <w:t>During the meeting a number of delegates expressed their opinions and comments; some of them expressed their support to the proposal; others commented that they needed more time to study the proposal and others stated different types of concerns, like additional provisions for accident prevention and protection in case of accident, provisions related to security and risk analysis.</w:t>
      </w:r>
    </w:p>
    <w:p w:rsidR="007C1B0A" w:rsidRPr="00F84969" w:rsidRDefault="004F3D17" w:rsidP="004F3D17">
      <w:pPr>
        <w:pStyle w:val="SingleTxtG"/>
      </w:pPr>
      <w:r>
        <w:lastRenderedPageBreak/>
        <w:t>5.</w:t>
      </w:r>
      <w:r>
        <w:tab/>
      </w:r>
      <w:r w:rsidR="007C1B0A" w:rsidRPr="00453627">
        <w:t>The conclusion was that Spain should present a formal document for the next session, after receiving comments by the delegates in writing.</w:t>
      </w:r>
      <w:r w:rsidR="007C1B0A">
        <w:t xml:space="preserve"> Written comments were received from Switzerland, the Netherlands, United Kingdom and Sweden, for which we are very thankful, and which are already partially included into the present text</w:t>
      </w:r>
      <w:r w:rsidR="007C1B0A" w:rsidRPr="00453627">
        <w:t>.</w:t>
      </w:r>
    </w:p>
    <w:p w:rsidR="007C1B0A" w:rsidRPr="00453627" w:rsidRDefault="007C1B0A" w:rsidP="007C1B0A">
      <w:pPr>
        <w:pStyle w:val="HChG"/>
        <w:ind w:left="2268"/>
      </w:pPr>
      <w:r w:rsidRPr="00453627">
        <w:t>Justification</w:t>
      </w:r>
    </w:p>
    <w:p w:rsidR="007C1B0A" w:rsidRPr="004F3D17" w:rsidRDefault="004F3D17" w:rsidP="004F3D17">
      <w:pPr>
        <w:pStyle w:val="SingleTxtG"/>
      </w:pPr>
      <w:r>
        <w:t>6.</w:t>
      </w:r>
      <w:r>
        <w:tab/>
      </w:r>
      <w:r w:rsidR="007C1B0A" w:rsidRPr="004F3D17">
        <w:t>The current requirements for transport of explosives are limited to 5</w:t>
      </w:r>
      <w:r w:rsidR="00F73F82">
        <w:t xml:space="preserve"> </w:t>
      </w:r>
      <w:r w:rsidR="007C1B0A" w:rsidRPr="004F3D17">
        <w:t>t for EX/II vehicles, and to 16 t for EX/III vehicles. These requirements have been in place since 19</w:t>
      </w:r>
      <w:r w:rsidR="005235F5">
        <w:t>6</w:t>
      </w:r>
      <w:r w:rsidR="007C1B0A" w:rsidRPr="004F3D17">
        <w:t>8, when the ADR entered into force. In addition, the general requirements for those vehicles have been enhanced repeatedly in the ADR and therefore improved more than significantly in the past 50 years.</w:t>
      </w:r>
    </w:p>
    <w:p w:rsidR="007C1B0A" w:rsidRPr="004F3D17" w:rsidRDefault="004F3D17" w:rsidP="004F3D17">
      <w:pPr>
        <w:pStyle w:val="SingleTxtG"/>
      </w:pPr>
      <w:r>
        <w:t>7.</w:t>
      </w:r>
      <w:r>
        <w:tab/>
      </w:r>
      <w:r w:rsidR="007C1B0A" w:rsidRPr="004F3D17">
        <w:t xml:space="preserve">On the other hand, the quality of the roads has also improved significantly all around Europe in the last 50 years; most of the roads which years ago passed through cities and towns were re-routed to the outskirts. Also the most important heavily used roads in most of the cases and countries were converted into motorways. </w:t>
      </w:r>
    </w:p>
    <w:p w:rsidR="007C1B0A" w:rsidRPr="004F3D17" w:rsidRDefault="004F3D17" w:rsidP="004F3D17">
      <w:pPr>
        <w:pStyle w:val="SingleTxtG"/>
      </w:pPr>
      <w:r>
        <w:t>8.</w:t>
      </w:r>
      <w:r>
        <w:tab/>
      </w:r>
      <w:r w:rsidR="007C1B0A" w:rsidRPr="004F3D17">
        <w:t>While the reasons for restricting quantities to 5 and 16 tons are unclear, they seem to be related to limiting the consequences of an explosion (area affected by an explosion).</w:t>
      </w:r>
    </w:p>
    <w:p w:rsidR="007C1B0A" w:rsidRPr="004F3D17" w:rsidRDefault="004F3D17" w:rsidP="004F3D17">
      <w:pPr>
        <w:pStyle w:val="SingleTxtG"/>
      </w:pPr>
      <w:r>
        <w:t>9.</w:t>
      </w:r>
      <w:r>
        <w:tab/>
      </w:r>
      <w:r w:rsidR="00F73F82">
        <w:t>In the i</w:t>
      </w:r>
      <w:r w:rsidR="007C1B0A" w:rsidRPr="004F3D17">
        <w:t xml:space="preserve">nformal </w:t>
      </w:r>
      <w:r w:rsidR="00F73F82">
        <w:t>document submitted by Spain to the 101st</w:t>
      </w:r>
      <w:r w:rsidR="007C1B0A" w:rsidRPr="004F3D17">
        <w:t xml:space="preserve"> session (INF</w:t>
      </w:r>
      <w:r w:rsidR="00BF226F">
        <w:t>.</w:t>
      </w:r>
      <w:r w:rsidR="007C1B0A" w:rsidRPr="004F3D17">
        <w:t>13) a detailed risk analysis of the effects of an explosion in terms of “affected area” was developed. This analysis was based, on one hand in the ATF (USA, Bureau of Alcohol, Tobacco, Firearms and Explosives) tabulated quantities / distances of influence for the case of vehicle explosions and, on the other hand, on the principle that an increase in the quantities which can be transported means a reduction in the same proportion of the number of the trips and consequently a decrease in the probability of having an accident. The results of the aforementioned analysis are shown in the following curves (see figure 1).</w:t>
      </w:r>
    </w:p>
    <w:p w:rsidR="007C1B0A" w:rsidRDefault="007C1B0A" w:rsidP="007C1B0A">
      <w:pPr>
        <w:pStyle w:val="SingleTxtG"/>
        <w:jc w:val="center"/>
        <w:rPr>
          <w:rStyle w:val="location"/>
          <w:lang w:val="en-US"/>
        </w:rPr>
      </w:pPr>
      <w:r w:rsidRPr="002E7240">
        <w:rPr>
          <w:noProof/>
          <w:lang w:eastAsia="en-GB"/>
        </w:rPr>
        <w:drawing>
          <wp:inline distT="0" distB="0" distL="0" distR="0" wp14:anchorId="49501F1E" wp14:editId="21C68CAE">
            <wp:extent cx="4389120" cy="2743200"/>
            <wp:effectExtent l="0" t="0" r="1143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1B0A" w:rsidRPr="00453627" w:rsidRDefault="007C1B0A" w:rsidP="004F3D17">
      <w:pPr>
        <w:pStyle w:val="SingleTxtG"/>
        <w:jc w:val="left"/>
        <w:rPr>
          <w:rStyle w:val="location"/>
          <w:b/>
          <w:i/>
          <w:color w:val="365F91" w:themeColor="accent1" w:themeShade="BF"/>
          <w:lang w:val="en-US"/>
        </w:rPr>
      </w:pPr>
      <w:r w:rsidRPr="00347A37">
        <w:rPr>
          <w:rStyle w:val="location"/>
          <w:b/>
          <w:i/>
          <w:lang w:val="en-US"/>
        </w:rPr>
        <w:t>Figure 1</w:t>
      </w:r>
      <w:r w:rsidRPr="00347A37">
        <w:rPr>
          <w:rStyle w:val="location"/>
          <w:i/>
          <w:lang w:val="en-US"/>
        </w:rPr>
        <w:t xml:space="preserve">: % of DECREASE of the affected </w:t>
      </w:r>
      <w:r>
        <w:rPr>
          <w:rStyle w:val="location"/>
          <w:i/>
          <w:lang w:val="en-US"/>
        </w:rPr>
        <w:t>area in an accident (Y axis) in relation with the increase in the amount of the transported quantities (X axis).</w:t>
      </w:r>
      <w:r>
        <w:rPr>
          <w:rStyle w:val="location"/>
          <w:lang w:val="en-US"/>
        </w:rPr>
        <w:tab/>
      </w:r>
      <w:r w:rsidRPr="00453627">
        <w:rPr>
          <w:rStyle w:val="location"/>
          <w:b/>
          <w:i/>
          <w:color w:val="FF0000"/>
          <w:lang w:val="en-US"/>
        </w:rPr>
        <w:t xml:space="preserve">Red curve: Decrease (%) of affected area. </w:t>
      </w:r>
      <w:r w:rsidRPr="00453627">
        <w:rPr>
          <w:rStyle w:val="location"/>
          <w:b/>
          <w:i/>
          <w:color w:val="365F91" w:themeColor="accent1" w:themeShade="BF"/>
          <w:lang w:val="en-US"/>
        </w:rPr>
        <w:t xml:space="preserve">Blue curve: Decrease (%) of the lethality area. </w:t>
      </w:r>
      <w:r w:rsidRPr="00453627">
        <w:rPr>
          <w:rStyle w:val="location"/>
          <w:b/>
          <w:i/>
          <w:lang w:val="en-US"/>
        </w:rPr>
        <w:t>Black line: Example for 2</w:t>
      </w:r>
      <w:r>
        <w:rPr>
          <w:rStyle w:val="location"/>
          <w:b/>
          <w:i/>
          <w:lang w:val="en-US"/>
        </w:rPr>
        <w:t>0</w:t>
      </w:r>
      <w:r w:rsidRPr="00453627">
        <w:rPr>
          <w:rStyle w:val="location"/>
          <w:b/>
          <w:i/>
          <w:lang w:val="en-US"/>
        </w:rPr>
        <w:t xml:space="preserve"> tons.</w:t>
      </w:r>
    </w:p>
    <w:p w:rsidR="007C1B0A" w:rsidRPr="00453627" w:rsidRDefault="004F3D17" w:rsidP="004F3D17">
      <w:pPr>
        <w:pStyle w:val="SingleTxtG"/>
      </w:pPr>
      <w:r>
        <w:lastRenderedPageBreak/>
        <w:t>10.</w:t>
      </w:r>
      <w:r>
        <w:tab/>
      </w:r>
      <w:r w:rsidR="007C1B0A" w:rsidRPr="00453627">
        <w:t>To better understand the meaning of the curves in the figure, an increase</w:t>
      </w:r>
      <w:r w:rsidR="007C1B0A">
        <w:t>, for example,</w:t>
      </w:r>
      <w:r w:rsidR="007C1B0A" w:rsidRPr="00453627">
        <w:t xml:space="preserve"> of the quantities which could be transported per transport unit from 16 tons to 2</w:t>
      </w:r>
      <w:r w:rsidR="007C1B0A">
        <w:t>0</w:t>
      </w:r>
      <w:r w:rsidR="007C1B0A" w:rsidRPr="00453627">
        <w:t xml:space="preserve"> tons (black line), would mean a decrease </w:t>
      </w:r>
      <w:r w:rsidR="007C1B0A">
        <w:t>a little more than 20</w:t>
      </w:r>
      <w:r w:rsidR="007C1B0A" w:rsidRPr="00453627">
        <w:t xml:space="preserve">% of the damaged area and a decrease of </w:t>
      </w:r>
      <w:r w:rsidR="007C1B0A">
        <w:t>4</w:t>
      </w:r>
      <w:r w:rsidR="007C1B0A" w:rsidRPr="00453627">
        <w:t>% of the lethality area</w:t>
      </w:r>
      <w:r w:rsidR="007C1B0A">
        <w:t xml:space="preserve"> for the case of an explosion, according to the criteria of the ATF</w:t>
      </w:r>
      <w:r w:rsidR="007C1B0A" w:rsidRPr="00453627">
        <w:t>. For further explanations on this figure, see reasoning and calculations in Annex I</w:t>
      </w:r>
      <w:r w:rsidR="007C1B0A">
        <w:t xml:space="preserve">, already introduced in </w:t>
      </w:r>
      <w:r w:rsidR="00F73F82">
        <w:t xml:space="preserve">informal document </w:t>
      </w:r>
      <w:r w:rsidR="007C1B0A">
        <w:t>INF</w:t>
      </w:r>
      <w:r w:rsidR="00BF226F">
        <w:t>.</w:t>
      </w:r>
      <w:r w:rsidR="00F73F82">
        <w:t>13 (101st</w:t>
      </w:r>
      <w:r w:rsidR="007C1B0A">
        <w:t xml:space="preserve"> session). In this figure, already the combined effect of considering both the decrease in risk caused by reducing the number of trips and the slight increase of risk caused by the potential explosion of more explosives has been considered.</w:t>
      </w:r>
    </w:p>
    <w:p w:rsidR="007C1B0A" w:rsidRPr="00453627" w:rsidRDefault="004F3D17" w:rsidP="004F3D17">
      <w:pPr>
        <w:pStyle w:val="SingleTxtG"/>
      </w:pPr>
      <w:r>
        <w:t>11.</w:t>
      </w:r>
      <w:r>
        <w:tab/>
      </w:r>
      <w:r w:rsidR="007C1B0A" w:rsidRPr="00453627">
        <w:t>It is important to stress the significant improvement in regard to safety that would be achieved by increasing the maximum mass of explosives per transport unit, which is without a doubt the focus of the ADR.</w:t>
      </w:r>
    </w:p>
    <w:p w:rsidR="007C1B0A" w:rsidRPr="004F3D17" w:rsidRDefault="004F3D17" w:rsidP="004F3D17">
      <w:pPr>
        <w:pStyle w:val="SingleTxtG"/>
      </w:pPr>
      <w:r>
        <w:t>12.</w:t>
      </w:r>
      <w:r>
        <w:tab/>
      </w:r>
      <w:r w:rsidR="007C1B0A" w:rsidRPr="004F3D17">
        <w:t xml:space="preserve">The approval of an increase in the quantities to be transported would not need to take into consideration any additional provisions for accident prevention and protection in case of accident since the ADR does not establish measures in regards to safety distances in case of risk of explosion, nor fire nor others. </w:t>
      </w:r>
    </w:p>
    <w:p w:rsidR="007C1B0A" w:rsidRDefault="004F3D17" w:rsidP="004F3D17">
      <w:pPr>
        <w:pStyle w:val="SingleTxtG"/>
      </w:pPr>
      <w:r>
        <w:t>13.</w:t>
      </w:r>
      <w:r>
        <w:tab/>
      </w:r>
      <w:r w:rsidR="007C1B0A" w:rsidRPr="004F3D17">
        <w:t>Even so, by increasing the quantities of explosives transported in a vehicle, a slight increase in the area that would be affected in case of a potential explosion would occur, which should be taken into account by the emergency services. This increase of the safety distance is not proportional to the increase in mass, but to the cubic root of the increase in mass; for example (in the event that the reference to calculate the distances  were the tables by ATF, but ATF criteria is very restrictive): for an increase from 16 to 20 tons ( 30% more or less of increase in the quantity), the emergency services should consider the increas</w:t>
      </w:r>
      <w:r w:rsidR="00BF226F">
        <w:t xml:space="preserve">e in the safety distance from </w:t>
      </w:r>
      <w:r w:rsidR="007C1B0A" w:rsidRPr="004F3D17">
        <w:t>2027 m to 2073 meters (less than  2,5 % in the safety distance); this information and calculations are detailed in the Annex I. Nevertheless, the emergency</w:t>
      </w:r>
      <w:r w:rsidR="007C1B0A">
        <w:t xml:space="preserve"> services which have provided comments on this proposal have valued the proposal as positive, strongly supporting the principle of decreasing the global risk by decreasing the number of trips.</w:t>
      </w:r>
    </w:p>
    <w:p w:rsidR="007C1B0A" w:rsidRDefault="004F3D17" w:rsidP="004F3D17">
      <w:pPr>
        <w:pStyle w:val="SingleTxtG"/>
      </w:pPr>
      <w:r>
        <w:t>14.</w:t>
      </w:r>
      <w:r>
        <w:tab/>
      </w:r>
      <w:r w:rsidR="007C1B0A">
        <w:t xml:space="preserve">The ATF table was used in </w:t>
      </w:r>
      <w:r w:rsidR="00F73F82">
        <w:t xml:space="preserve">informal document </w:t>
      </w:r>
      <w:r w:rsidR="007C1B0A">
        <w:t>INF</w:t>
      </w:r>
      <w:r w:rsidR="00BF226F">
        <w:t>.</w:t>
      </w:r>
      <w:r w:rsidR="00F73F82">
        <w:t>13 (101st</w:t>
      </w:r>
      <w:r w:rsidR="007C1B0A">
        <w:t xml:space="preserve"> session) as a baseline or reference to estimate the distance or area of damages caused by an explosion in different settings of quantities. This choice was made basically due to the fact that it refers specifically to vehicles and the transport of explosives, main concern of the ADR. Using different tables or studies, the result would nevertheless have been similar (See conclusions of UK study “</w:t>
      </w:r>
      <w:r w:rsidR="007C1B0A">
        <w:rPr>
          <w:rStyle w:val="a-size-large"/>
        </w:rPr>
        <w:t>An Investigation into the Relative Risks from the Road Transport of Blasting Explosives in Maximum Loads of 5 Tonne and 16 Tonne”, available only as a copyright book, concluding that “</w:t>
      </w:r>
      <w:r w:rsidR="007C1B0A" w:rsidRPr="00A11AF1">
        <w:rPr>
          <w:rStyle w:val="a-size-large"/>
          <w:i/>
        </w:rPr>
        <w:t>movements of explosives in large size loads cause, in the long run, fewer damages than more numerous movements of explosives in smaller size loads”</w:t>
      </w:r>
      <w:r w:rsidR="007C1B0A">
        <w:rPr>
          <w:rStyle w:val="a-size-large"/>
        </w:rPr>
        <w:t>).</w:t>
      </w:r>
    </w:p>
    <w:p w:rsidR="007C1B0A" w:rsidRPr="00ED602E" w:rsidRDefault="004F3D17" w:rsidP="004F3D17">
      <w:pPr>
        <w:pStyle w:val="SingleTxtG"/>
      </w:pPr>
      <w:r>
        <w:t>15.</w:t>
      </w:r>
      <w:r>
        <w:tab/>
      </w:r>
      <w:r w:rsidR="007C1B0A" w:rsidRPr="00ED602E">
        <w:t>It is convenient to remember other aspects mentioned in the</w:t>
      </w:r>
      <w:r w:rsidR="00F73F82">
        <w:t xml:space="preserve"> informal document</w:t>
      </w:r>
      <w:r w:rsidR="007C1B0A" w:rsidRPr="00ED602E">
        <w:t xml:space="preserve"> INF</w:t>
      </w:r>
      <w:r w:rsidR="00BF226F">
        <w:t>.</w:t>
      </w:r>
      <w:r w:rsidR="007C1B0A" w:rsidRPr="00ED602E">
        <w:t xml:space="preserve">13 since they provide additional </w:t>
      </w:r>
      <w:r w:rsidR="007C1B0A">
        <w:t xml:space="preserve">arguments to </w:t>
      </w:r>
      <w:r w:rsidR="007C1B0A" w:rsidRPr="00ED602E">
        <w:t>support the increase in the authorized quantities for transport, objective of this proposal.</w:t>
      </w:r>
    </w:p>
    <w:p w:rsidR="007C1B0A" w:rsidRPr="00ED602E" w:rsidRDefault="007C1B0A" w:rsidP="004F3D17">
      <w:pPr>
        <w:pStyle w:val="Bullet1G"/>
      </w:pPr>
      <w:r w:rsidRPr="00ED602E">
        <w:t>Higher limits for the transport of explosives in other no-ADR countries, in some of them, because of similar studies to the one presented in this paper.</w:t>
      </w:r>
    </w:p>
    <w:p w:rsidR="007C1B0A" w:rsidRPr="00ED602E" w:rsidRDefault="007C1B0A" w:rsidP="004F3D17">
      <w:pPr>
        <w:pStyle w:val="Bullet1G"/>
      </w:pPr>
      <w:r w:rsidRPr="00ED602E">
        <w:t>Reduction of the volume of greenhouse gas emissions as a consequence of reducing the number of trips.</w:t>
      </w:r>
    </w:p>
    <w:p w:rsidR="007C1B0A" w:rsidRPr="00ED602E" w:rsidRDefault="007C1B0A" w:rsidP="004F3D17">
      <w:pPr>
        <w:pStyle w:val="Bullet1G"/>
      </w:pPr>
      <w:r w:rsidRPr="00ED602E">
        <w:t>Evolution of the quality of the explosives in the last years in the vast majority of ADR countries due to the evolution of the regulatory requirements applying to them.</w:t>
      </w:r>
    </w:p>
    <w:p w:rsidR="007C1B0A" w:rsidRPr="00ED602E" w:rsidRDefault="007C1B0A" w:rsidP="004F3D17">
      <w:pPr>
        <w:pStyle w:val="Bullet1G"/>
      </w:pPr>
      <w:r w:rsidRPr="00ED602E">
        <w:t>Change in technical requirements in road vehicles over the years, such as new ADR requirements for approval of trucks, location systems, or response times in case of emergency have improved transport conditions significantly.</w:t>
      </w:r>
    </w:p>
    <w:p w:rsidR="007C1B0A" w:rsidRPr="004F3D17" w:rsidRDefault="004F3D17" w:rsidP="004F3D17">
      <w:pPr>
        <w:pStyle w:val="SingleTxtG"/>
      </w:pPr>
      <w:r>
        <w:lastRenderedPageBreak/>
        <w:t>16.</w:t>
      </w:r>
      <w:r>
        <w:tab/>
      </w:r>
      <w:r w:rsidR="007C1B0A">
        <w:t xml:space="preserve">Additionally, in comparison to the RID, there might be a lack of coordination; rail </w:t>
      </w:r>
      <w:r w:rsidR="007C1B0A" w:rsidRPr="004F3D17">
        <w:t xml:space="preserve">often uses the same transport corridors than road, in parallel to motor ways transiting the </w:t>
      </w:r>
      <w:proofErr w:type="spellStart"/>
      <w:r w:rsidR="007C1B0A" w:rsidRPr="004F3D17">
        <w:t>center</w:t>
      </w:r>
      <w:proofErr w:type="spellEnd"/>
      <w:r w:rsidR="007C1B0A" w:rsidRPr="004F3D17">
        <w:t xml:space="preserve"> of cities and towns etc. and RID (and the other modal regulations) does not establish a maximum quantity of explosives which can be transported. But due to the fact that the ADR fixes it, it is impossible to load –or unload- a container containing more than the current limited quantity established (16 tons) on rail, and by sea, which finally implies certain loss of competitiveness for the countries applying the ADR, concerning exports.</w:t>
      </w:r>
    </w:p>
    <w:p w:rsidR="007C1B0A" w:rsidRPr="0040029E" w:rsidRDefault="004F3D17" w:rsidP="004F3D17">
      <w:pPr>
        <w:pStyle w:val="SingleTxtG"/>
      </w:pPr>
      <w:r>
        <w:t>17.</w:t>
      </w:r>
      <w:r>
        <w:tab/>
      </w:r>
      <w:r w:rsidR="007C1B0A" w:rsidRPr="004F3D17">
        <w:t>Finally it is also convenient to mention, as a reminder, that only organic peroxides (class 5.2) and the self-reactive substances (class 4.1) have limited the net quantities which can be transported in a transport unit according to ADR -20 tons- , supposedly, because the risk of explosion but also others. The limit in the quantities which can be transported for the</w:t>
      </w:r>
      <w:r w:rsidR="007C1B0A" w:rsidRPr="00453627">
        <w:t xml:space="preserve"> aforesaid classes was increased considerably in 2007.</w:t>
      </w:r>
    </w:p>
    <w:p w:rsidR="007C1B0A" w:rsidRPr="00453627" w:rsidRDefault="007C1B0A" w:rsidP="007C1B0A">
      <w:pPr>
        <w:pStyle w:val="HChG"/>
        <w:ind w:left="2268"/>
      </w:pPr>
      <w:r w:rsidRPr="00453627">
        <w:t>Limitation of the increase to specific UN Numbers</w:t>
      </w:r>
    </w:p>
    <w:p w:rsidR="007C1B0A" w:rsidRPr="004F3D17" w:rsidRDefault="004F3D17" w:rsidP="004F3D17">
      <w:pPr>
        <w:pStyle w:val="SingleTxtG"/>
      </w:pPr>
      <w:r>
        <w:t>18.</w:t>
      </w:r>
      <w:r>
        <w:tab/>
      </w:r>
      <w:r w:rsidR="007C1B0A" w:rsidRPr="004F3D17">
        <w:t>Class 1 “explosives” comprises dozens of articles, devices and substances of a very a different nature and behaviour.</w:t>
      </w:r>
    </w:p>
    <w:p w:rsidR="007C1B0A" w:rsidRPr="00453627" w:rsidRDefault="004F3D17" w:rsidP="004F3D17">
      <w:pPr>
        <w:pStyle w:val="SingleTxtG"/>
      </w:pPr>
      <w:r>
        <w:t>19.</w:t>
      </w:r>
      <w:r>
        <w:tab/>
      </w:r>
      <w:r w:rsidR="007C1B0A" w:rsidRPr="004F3D17">
        <w:t xml:space="preserve">Nevertheless, in line with the main use mentioned in paragraph 3, taking into account the basis for the calculations mentioned in paragraph 10 </w:t>
      </w:r>
      <w:r w:rsidR="00F73F82">
        <w:t>and Annex I</w:t>
      </w:r>
      <w:r w:rsidR="007C1B0A" w:rsidRPr="004F3D17">
        <w:t xml:space="preserve"> and the additional arguments mentioned in the paragraph 15 , the list of items for which the increase of the limit which could be transported would be most significant, according to present transport practices, could be reduced to a few UN numbers. The proposed UN numbers cover the blasting explosives usually used in mining, quarries and civil works, excluding both those where their low explosives content  does not allow to reach 16 t in one vehicle (detonators, detonating cord) and those specially powerful explosives (</w:t>
      </w:r>
      <w:r w:rsidR="007C1B0A">
        <w:t>boosters)</w:t>
      </w:r>
      <w:r w:rsidR="007C1B0A" w:rsidRPr="00453627">
        <w:t>. These are the following:</w:t>
      </w:r>
    </w:p>
    <w:p w:rsidR="007C1B0A" w:rsidRPr="00987C0B" w:rsidRDefault="007C1B0A" w:rsidP="007C1B0A">
      <w:pPr>
        <w:pStyle w:val="SingleTxtG"/>
        <w:numPr>
          <w:ilvl w:val="0"/>
          <w:numId w:val="22"/>
        </w:numPr>
        <w:rPr>
          <w:lang w:val="en-US"/>
        </w:rPr>
      </w:pPr>
      <w:r w:rsidRPr="00987C0B">
        <w:rPr>
          <w:i/>
          <w:sz w:val="18"/>
          <w:szCs w:val="18"/>
          <w:lang w:val="en-US"/>
        </w:rPr>
        <w:t>UN 0027 BLACK POWDER (GUNPOWDER), granular or as a meal</w:t>
      </w:r>
    </w:p>
    <w:p w:rsidR="007C1B0A" w:rsidRPr="00987C0B" w:rsidRDefault="007C1B0A" w:rsidP="007C1B0A">
      <w:pPr>
        <w:pStyle w:val="SingleTxtG"/>
        <w:numPr>
          <w:ilvl w:val="0"/>
          <w:numId w:val="22"/>
        </w:numPr>
        <w:rPr>
          <w:rStyle w:val="location"/>
          <w:lang w:val="en-US"/>
        </w:rPr>
      </w:pPr>
      <w:r w:rsidRPr="00987C0B">
        <w:rPr>
          <w:i/>
          <w:sz w:val="18"/>
          <w:szCs w:val="18"/>
          <w:lang w:val="en-US"/>
        </w:rPr>
        <w:t xml:space="preserve">UN </w:t>
      </w:r>
      <w:r w:rsidRPr="00987C0B">
        <w:rPr>
          <w:rStyle w:val="location"/>
          <w:i/>
          <w:sz w:val="18"/>
          <w:szCs w:val="18"/>
        </w:rPr>
        <w:t>0081 EXPLOSIVE, BLASTING, TYPE A</w:t>
      </w:r>
    </w:p>
    <w:p w:rsidR="007C1B0A" w:rsidRPr="00987C0B" w:rsidRDefault="007C1B0A" w:rsidP="007C1B0A">
      <w:pPr>
        <w:pStyle w:val="SingleTxtG"/>
        <w:numPr>
          <w:ilvl w:val="0"/>
          <w:numId w:val="22"/>
        </w:numPr>
        <w:rPr>
          <w:rStyle w:val="location"/>
          <w:lang w:val="en-US"/>
        </w:rPr>
      </w:pPr>
      <w:r w:rsidRPr="00987C0B">
        <w:rPr>
          <w:i/>
          <w:sz w:val="18"/>
          <w:szCs w:val="18"/>
          <w:lang w:val="en-US"/>
        </w:rPr>
        <w:t xml:space="preserve">UN </w:t>
      </w:r>
      <w:r w:rsidRPr="00987C0B">
        <w:rPr>
          <w:rStyle w:val="location"/>
          <w:i/>
          <w:sz w:val="18"/>
          <w:szCs w:val="18"/>
        </w:rPr>
        <w:t>0082  EXPLOSIVE, BLASTING, TYPE B</w:t>
      </w:r>
    </w:p>
    <w:p w:rsidR="007C1B0A" w:rsidRPr="00987C0B" w:rsidRDefault="007C1B0A" w:rsidP="007C1B0A">
      <w:pPr>
        <w:pStyle w:val="SingleTxtG"/>
        <w:numPr>
          <w:ilvl w:val="0"/>
          <w:numId w:val="22"/>
        </w:numPr>
        <w:rPr>
          <w:rStyle w:val="location"/>
          <w:lang w:val="en-US"/>
        </w:rPr>
      </w:pPr>
      <w:r w:rsidRPr="00987C0B">
        <w:rPr>
          <w:i/>
          <w:sz w:val="18"/>
          <w:szCs w:val="18"/>
          <w:lang w:val="en-US"/>
        </w:rPr>
        <w:t xml:space="preserve">UN </w:t>
      </w:r>
      <w:r w:rsidRPr="00987C0B">
        <w:rPr>
          <w:rStyle w:val="location"/>
          <w:i/>
          <w:sz w:val="18"/>
          <w:szCs w:val="18"/>
        </w:rPr>
        <w:t>0083  EXPLOSIVE, BLASTING, TYPE C</w:t>
      </w:r>
    </w:p>
    <w:p w:rsidR="007C1B0A" w:rsidRPr="00987C0B" w:rsidRDefault="007C1B0A" w:rsidP="007C1B0A">
      <w:pPr>
        <w:pStyle w:val="SingleTxtG"/>
        <w:numPr>
          <w:ilvl w:val="0"/>
          <w:numId w:val="22"/>
        </w:numPr>
        <w:rPr>
          <w:rStyle w:val="location"/>
          <w:lang w:val="en-US"/>
        </w:rPr>
      </w:pPr>
      <w:r w:rsidRPr="00987C0B">
        <w:rPr>
          <w:i/>
          <w:sz w:val="18"/>
          <w:szCs w:val="18"/>
          <w:lang w:val="en-US"/>
        </w:rPr>
        <w:t xml:space="preserve">UN </w:t>
      </w:r>
      <w:r w:rsidRPr="00987C0B">
        <w:rPr>
          <w:rStyle w:val="location"/>
          <w:i/>
          <w:sz w:val="18"/>
          <w:szCs w:val="18"/>
        </w:rPr>
        <w:t>0084  EXPLOSIVE, BLASTING, TYPE D</w:t>
      </w:r>
    </w:p>
    <w:p w:rsidR="007C1B0A" w:rsidRPr="00987C0B" w:rsidRDefault="007C1B0A" w:rsidP="007C1B0A">
      <w:pPr>
        <w:pStyle w:val="SingleTxtG"/>
        <w:numPr>
          <w:ilvl w:val="0"/>
          <w:numId w:val="22"/>
        </w:numPr>
        <w:rPr>
          <w:rStyle w:val="location"/>
          <w:lang w:val="en-US"/>
        </w:rPr>
      </w:pPr>
      <w:r w:rsidRPr="00987C0B">
        <w:rPr>
          <w:i/>
          <w:sz w:val="18"/>
          <w:szCs w:val="18"/>
          <w:lang w:val="en-US"/>
        </w:rPr>
        <w:t>UN</w:t>
      </w:r>
      <w:r w:rsidRPr="00987C0B">
        <w:rPr>
          <w:rStyle w:val="location"/>
          <w:i/>
          <w:sz w:val="18"/>
          <w:szCs w:val="18"/>
        </w:rPr>
        <w:t xml:space="preserve"> 0241 EXPLOSIVE, BLASTING, TYPE E</w:t>
      </w:r>
    </w:p>
    <w:p w:rsidR="007C1B0A" w:rsidRPr="00987C0B" w:rsidRDefault="007C1B0A" w:rsidP="007C1B0A">
      <w:pPr>
        <w:pStyle w:val="SingleTxtG"/>
        <w:numPr>
          <w:ilvl w:val="0"/>
          <w:numId w:val="22"/>
        </w:numPr>
        <w:rPr>
          <w:rStyle w:val="location"/>
          <w:lang w:val="en-US"/>
        </w:rPr>
      </w:pPr>
      <w:r w:rsidRPr="00987C0B">
        <w:rPr>
          <w:i/>
          <w:sz w:val="18"/>
          <w:szCs w:val="18"/>
          <w:lang w:val="en-US"/>
        </w:rPr>
        <w:t>UN</w:t>
      </w:r>
      <w:r w:rsidRPr="00987C0B">
        <w:rPr>
          <w:rStyle w:val="location"/>
          <w:i/>
          <w:sz w:val="18"/>
          <w:szCs w:val="18"/>
        </w:rPr>
        <w:t xml:space="preserve"> 0331 EXPLOSIVE, BLASTING, TYPE B (AGENT, BLASTING, TYPE B)</w:t>
      </w:r>
    </w:p>
    <w:p w:rsidR="007C1B0A" w:rsidRPr="00987C0B" w:rsidRDefault="007C1B0A" w:rsidP="007C1B0A">
      <w:pPr>
        <w:pStyle w:val="SingleTxtG"/>
        <w:numPr>
          <w:ilvl w:val="0"/>
          <w:numId w:val="22"/>
        </w:numPr>
        <w:rPr>
          <w:lang w:val="en-US"/>
        </w:rPr>
      </w:pPr>
      <w:r w:rsidRPr="00987C0B">
        <w:rPr>
          <w:i/>
          <w:sz w:val="18"/>
          <w:szCs w:val="18"/>
          <w:lang w:val="en-US"/>
        </w:rPr>
        <w:t>UN</w:t>
      </w:r>
      <w:r w:rsidRPr="00987C0B">
        <w:rPr>
          <w:rStyle w:val="location"/>
          <w:i/>
          <w:sz w:val="18"/>
          <w:szCs w:val="18"/>
        </w:rPr>
        <w:t xml:space="preserve"> 0332 EXPLOSIVE, BLASTING, TYPE E (AGENT, BLASTING, TYPE E)</w:t>
      </w:r>
    </w:p>
    <w:p w:rsidR="007C1B0A" w:rsidRPr="00453627" w:rsidRDefault="007C1B0A" w:rsidP="007C1B0A">
      <w:pPr>
        <w:pStyle w:val="HChG"/>
        <w:ind w:left="2268"/>
      </w:pPr>
      <w:r w:rsidRPr="00453627">
        <w:t>Additional limitation for security reasons</w:t>
      </w:r>
    </w:p>
    <w:p w:rsidR="007C1B0A" w:rsidRPr="000C4768" w:rsidRDefault="004F3D17" w:rsidP="004F3D17">
      <w:pPr>
        <w:pStyle w:val="SingleTxtG"/>
      </w:pPr>
      <w:r>
        <w:t>20.</w:t>
      </w:r>
      <w:r>
        <w:tab/>
      </w:r>
      <w:r w:rsidR="007C1B0A" w:rsidRPr="00453627">
        <w:t>Even though the core of the ADR is not security, it is true that it is addressed briefly in the chapter 1.10 and that an increase of the quantities per transport unit could be a matter of concern for some authorities. Because the approach of the mentioned 1.10 chapter is protection, not limitation, the solution could be making compulsory the use of the devices mentioned in Note to the ADR 1.10.3.3 “transport telemetry or other tracking methods or devices” to be able to apply this increase. This would considerably strengthen the control of these dangerous goods by the authorities, and would therefore enhance security.</w:t>
      </w:r>
    </w:p>
    <w:p w:rsidR="007C1B0A" w:rsidRPr="00453627" w:rsidRDefault="007C1B0A" w:rsidP="007C1B0A">
      <w:pPr>
        <w:pStyle w:val="HChG"/>
        <w:ind w:left="2268"/>
      </w:pPr>
      <w:r w:rsidRPr="00453627">
        <w:lastRenderedPageBreak/>
        <w:t>Proposal</w:t>
      </w:r>
    </w:p>
    <w:p w:rsidR="007C1B0A" w:rsidRPr="00453627" w:rsidRDefault="004F3D17" w:rsidP="004F3D17">
      <w:pPr>
        <w:pStyle w:val="SingleTxtG"/>
      </w:pPr>
      <w:r>
        <w:t>21.</w:t>
      </w:r>
      <w:r>
        <w:tab/>
      </w:r>
      <w:r w:rsidR="007C1B0A">
        <w:t>O</w:t>
      </w:r>
      <w:r w:rsidR="007C1B0A" w:rsidRPr="000C4768">
        <w:t xml:space="preserve">n </w:t>
      </w:r>
      <w:r w:rsidR="007C1B0A" w:rsidRPr="00453627">
        <w:t xml:space="preserve">the basis of all the above justifications and considerations it is proposed to approve an increase, up to </w:t>
      </w:r>
      <w:r w:rsidR="007C1B0A">
        <w:t>20 t of net mass</w:t>
      </w:r>
      <w:r w:rsidR="007C1B0A" w:rsidRPr="00453627">
        <w:t xml:space="preserve">, in the quantities of explosives which can be transported in EX/III units. Therefore, </w:t>
      </w:r>
      <w:r w:rsidR="007C1B0A">
        <w:t>it is proposed to make the follo</w:t>
      </w:r>
      <w:r w:rsidR="007C1B0A" w:rsidRPr="00453627">
        <w:t>wing amendments to the current edition of the ADR:</w:t>
      </w:r>
    </w:p>
    <w:p w:rsidR="007C1B0A" w:rsidRPr="00497C68" w:rsidRDefault="004F3D17" w:rsidP="004F3D17">
      <w:pPr>
        <w:pStyle w:val="SingleTxtG"/>
        <w:rPr>
          <w:i/>
          <w:lang w:val="en-US"/>
        </w:rPr>
      </w:pPr>
      <w:r>
        <w:rPr>
          <w:lang w:val="en-US"/>
        </w:rPr>
        <w:t>1.</w:t>
      </w:r>
      <w:r>
        <w:rPr>
          <w:lang w:val="en-US"/>
        </w:rPr>
        <w:tab/>
      </w:r>
      <w:r w:rsidR="007C1B0A">
        <w:rPr>
          <w:lang w:val="en-US"/>
        </w:rPr>
        <w:t>Add at the end of Note 1 to paragraph 1.10.3.3 the following wording:</w:t>
      </w:r>
    </w:p>
    <w:p w:rsidR="007C1B0A" w:rsidRPr="00987C0B" w:rsidRDefault="007C1B0A" w:rsidP="007C1B0A">
      <w:pPr>
        <w:pStyle w:val="SingleTxtG"/>
        <w:ind w:left="1494"/>
        <w:rPr>
          <w:b/>
          <w:i/>
          <w:color w:val="C00000"/>
          <w:lang w:val="en-US"/>
        </w:rPr>
      </w:pPr>
      <w:r w:rsidRPr="00987C0B">
        <w:rPr>
          <w:b/>
          <w:color w:val="C00000"/>
          <w:lang w:val="en-US"/>
        </w:rPr>
        <w:t xml:space="preserve">“…  </w:t>
      </w:r>
      <w:r w:rsidRPr="0060043F">
        <w:rPr>
          <w:b/>
          <w:i/>
          <w:color w:val="C00000"/>
          <w:lang w:val="en-US"/>
        </w:rPr>
        <w:t>Neverthel</w:t>
      </w:r>
      <w:r>
        <w:rPr>
          <w:b/>
          <w:i/>
          <w:color w:val="C00000"/>
          <w:lang w:val="en-US"/>
        </w:rPr>
        <w:t>e</w:t>
      </w:r>
      <w:r w:rsidRPr="0060043F">
        <w:rPr>
          <w:b/>
          <w:i/>
          <w:color w:val="C00000"/>
          <w:lang w:val="en-US"/>
        </w:rPr>
        <w:t>ss,</w:t>
      </w:r>
      <w:r>
        <w:rPr>
          <w:b/>
          <w:color w:val="C00000"/>
          <w:lang w:val="en-US"/>
        </w:rPr>
        <w:t xml:space="preserve"> </w:t>
      </w:r>
      <w:r>
        <w:rPr>
          <w:b/>
          <w:i/>
          <w:color w:val="C00000"/>
          <w:lang w:val="en-US"/>
        </w:rPr>
        <w:t>i</w:t>
      </w:r>
      <w:r w:rsidRPr="00987C0B">
        <w:rPr>
          <w:b/>
          <w:i/>
          <w:color w:val="C00000"/>
          <w:lang w:val="en-US"/>
        </w:rPr>
        <w:t>n the case of vehicles type EX/III for explosives, carrying more than 16 tons of explosives, the previously mentioned tracking devices must be used (see Note b to table in 7.5.5.2.1)”</w:t>
      </w:r>
    </w:p>
    <w:p w:rsidR="007C1B0A" w:rsidRPr="00453627" w:rsidRDefault="004F3D17" w:rsidP="004F3D17">
      <w:pPr>
        <w:pStyle w:val="SingleTxtG"/>
        <w:rPr>
          <w:lang w:val="en-US"/>
        </w:rPr>
      </w:pPr>
      <w:r>
        <w:rPr>
          <w:lang w:val="en-US"/>
        </w:rPr>
        <w:t>2.</w:t>
      </w:r>
      <w:r>
        <w:rPr>
          <w:lang w:val="en-US"/>
        </w:rPr>
        <w:tab/>
      </w:r>
      <w:r w:rsidR="007C1B0A" w:rsidRPr="00453627">
        <w:rPr>
          <w:lang w:val="en-US"/>
        </w:rPr>
        <w:t xml:space="preserve">Modify the table in </w:t>
      </w:r>
      <w:r w:rsidR="007C1B0A">
        <w:rPr>
          <w:lang w:val="en-US"/>
        </w:rPr>
        <w:t>paragraph</w:t>
      </w:r>
      <w:r w:rsidR="007C1B0A" w:rsidRPr="00453627">
        <w:rPr>
          <w:lang w:val="en-US"/>
        </w:rPr>
        <w:t xml:space="preserve"> 7.5.5.2.1 as follows:</w:t>
      </w:r>
    </w:p>
    <w:p w:rsidR="007C1B0A" w:rsidRPr="004F3D17" w:rsidRDefault="007C1B0A" w:rsidP="004F3D17">
      <w:pPr>
        <w:pStyle w:val="SingleTxtG"/>
        <w:spacing w:before="120"/>
        <w:rPr>
          <w:b/>
          <w:lang w:val="en-US"/>
        </w:rPr>
      </w:pPr>
      <w:r w:rsidRPr="004F3D17">
        <w:rPr>
          <w:b/>
          <w:lang w:val="en-US"/>
        </w:rPr>
        <w:t>Maximum permissible net mass in kg of explosives in Class 1 goods per transport unit</w:t>
      </w:r>
    </w:p>
    <w:tbl>
      <w:tblPr>
        <w:tblStyle w:val="TableGrid"/>
        <w:tblW w:w="0" w:type="auto"/>
        <w:jc w:val="center"/>
        <w:tblLayout w:type="fixed"/>
        <w:tblLook w:val="04A0" w:firstRow="1" w:lastRow="0" w:firstColumn="1" w:lastColumn="0" w:noHBand="0" w:noVBand="1"/>
      </w:tblPr>
      <w:tblGrid>
        <w:gridCol w:w="866"/>
        <w:gridCol w:w="1112"/>
        <w:gridCol w:w="816"/>
        <w:gridCol w:w="1000"/>
        <w:gridCol w:w="709"/>
        <w:gridCol w:w="708"/>
        <w:gridCol w:w="709"/>
        <w:gridCol w:w="992"/>
        <w:gridCol w:w="709"/>
        <w:gridCol w:w="1099"/>
      </w:tblGrid>
      <w:tr w:rsidR="007C1B0A" w:rsidTr="004F3D17">
        <w:trPr>
          <w:jc w:val="center"/>
        </w:trPr>
        <w:tc>
          <w:tcPr>
            <w:tcW w:w="866" w:type="dxa"/>
            <w:vMerge w:val="restart"/>
          </w:tcPr>
          <w:p w:rsidR="007C1B0A" w:rsidRPr="00F84969" w:rsidRDefault="007C1B0A" w:rsidP="007C1B0A">
            <w:pPr>
              <w:jc w:val="center"/>
              <w:rPr>
                <w:b/>
                <w:sz w:val="14"/>
                <w:szCs w:val="14"/>
              </w:rPr>
            </w:pPr>
            <w:r w:rsidRPr="00F84969">
              <w:rPr>
                <w:b/>
                <w:sz w:val="14"/>
                <w:szCs w:val="14"/>
              </w:rPr>
              <w:t>Transport</w:t>
            </w:r>
          </w:p>
          <w:p w:rsidR="007C1B0A" w:rsidRPr="003B537E" w:rsidRDefault="007C1B0A" w:rsidP="007C1B0A">
            <w:pPr>
              <w:jc w:val="center"/>
              <w:rPr>
                <w:sz w:val="16"/>
                <w:szCs w:val="16"/>
              </w:rPr>
            </w:pPr>
            <w:r w:rsidRPr="00F84969">
              <w:rPr>
                <w:b/>
                <w:sz w:val="14"/>
                <w:szCs w:val="14"/>
              </w:rPr>
              <w:t>Unit</w:t>
            </w:r>
          </w:p>
        </w:tc>
        <w:tc>
          <w:tcPr>
            <w:tcW w:w="1112" w:type="dxa"/>
          </w:tcPr>
          <w:p w:rsidR="007C1B0A" w:rsidRPr="003B537E" w:rsidRDefault="007C1B0A" w:rsidP="007C1B0A">
            <w:pPr>
              <w:rPr>
                <w:b/>
                <w:sz w:val="16"/>
                <w:szCs w:val="16"/>
              </w:rPr>
            </w:pPr>
            <w:r w:rsidRPr="003B537E">
              <w:rPr>
                <w:b/>
                <w:sz w:val="16"/>
                <w:szCs w:val="16"/>
              </w:rPr>
              <w:t>Division</w:t>
            </w:r>
          </w:p>
        </w:tc>
        <w:tc>
          <w:tcPr>
            <w:tcW w:w="1816" w:type="dxa"/>
            <w:gridSpan w:val="2"/>
          </w:tcPr>
          <w:p w:rsidR="007C1B0A" w:rsidRPr="003B537E" w:rsidRDefault="007C1B0A" w:rsidP="007C1B0A">
            <w:pPr>
              <w:jc w:val="center"/>
              <w:rPr>
                <w:b/>
                <w:sz w:val="16"/>
                <w:szCs w:val="16"/>
              </w:rPr>
            </w:pPr>
            <w:r w:rsidRPr="003B537E">
              <w:rPr>
                <w:b/>
                <w:sz w:val="16"/>
                <w:szCs w:val="16"/>
              </w:rPr>
              <w:t>1.1</w:t>
            </w:r>
          </w:p>
        </w:tc>
        <w:tc>
          <w:tcPr>
            <w:tcW w:w="709" w:type="dxa"/>
          </w:tcPr>
          <w:p w:rsidR="007C1B0A" w:rsidRPr="003B537E" w:rsidRDefault="007C1B0A" w:rsidP="007C1B0A">
            <w:pPr>
              <w:jc w:val="center"/>
              <w:rPr>
                <w:b/>
                <w:sz w:val="16"/>
                <w:szCs w:val="16"/>
              </w:rPr>
            </w:pPr>
            <w:r w:rsidRPr="003B537E">
              <w:rPr>
                <w:b/>
                <w:sz w:val="16"/>
                <w:szCs w:val="16"/>
              </w:rPr>
              <w:t>1.2</w:t>
            </w:r>
          </w:p>
        </w:tc>
        <w:tc>
          <w:tcPr>
            <w:tcW w:w="708" w:type="dxa"/>
          </w:tcPr>
          <w:p w:rsidR="007C1B0A" w:rsidRPr="003B537E" w:rsidRDefault="007C1B0A" w:rsidP="007C1B0A">
            <w:pPr>
              <w:jc w:val="center"/>
              <w:rPr>
                <w:b/>
                <w:sz w:val="16"/>
                <w:szCs w:val="16"/>
              </w:rPr>
            </w:pPr>
            <w:r w:rsidRPr="003B537E">
              <w:rPr>
                <w:b/>
                <w:sz w:val="16"/>
                <w:szCs w:val="16"/>
              </w:rPr>
              <w:t>1.3</w:t>
            </w:r>
          </w:p>
        </w:tc>
        <w:tc>
          <w:tcPr>
            <w:tcW w:w="1701" w:type="dxa"/>
            <w:gridSpan w:val="2"/>
          </w:tcPr>
          <w:p w:rsidR="007C1B0A" w:rsidRPr="003B537E" w:rsidRDefault="007C1B0A" w:rsidP="007C1B0A">
            <w:pPr>
              <w:jc w:val="center"/>
              <w:rPr>
                <w:sz w:val="16"/>
                <w:szCs w:val="16"/>
              </w:rPr>
            </w:pPr>
            <w:r w:rsidRPr="003B537E">
              <w:rPr>
                <w:b/>
                <w:sz w:val="16"/>
                <w:szCs w:val="16"/>
              </w:rPr>
              <w:t>1.4</w:t>
            </w:r>
          </w:p>
        </w:tc>
        <w:tc>
          <w:tcPr>
            <w:tcW w:w="709" w:type="dxa"/>
          </w:tcPr>
          <w:p w:rsidR="007C1B0A" w:rsidRPr="003B537E" w:rsidRDefault="007C1B0A" w:rsidP="007C1B0A">
            <w:pPr>
              <w:rPr>
                <w:b/>
                <w:sz w:val="16"/>
                <w:szCs w:val="16"/>
              </w:rPr>
            </w:pPr>
            <w:r w:rsidRPr="003B537E">
              <w:rPr>
                <w:b/>
                <w:sz w:val="16"/>
                <w:szCs w:val="16"/>
              </w:rPr>
              <w:t>1.5</w:t>
            </w:r>
          </w:p>
          <w:p w:rsidR="007C1B0A" w:rsidRPr="003B537E" w:rsidRDefault="007C1B0A" w:rsidP="007C1B0A">
            <w:pPr>
              <w:rPr>
                <w:sz w:val="16"/>
                <w:szCs w:val="16"/>
              </w:rPr>
            </w:pPr>
            <w:r w:rsidRPr="003B537E">
              <w:rPr>
                <w:b/>
                <w:sz w:val="16"/>
                <w:szCs w:val="16"/>
              </w:rPr>
              <w:t>and 1.6</w:t>
            </w:r>
          </w:p>
        </w:tc>
        <w:tc>
          <w:tcPr>
            <w:tcW w:w="1099" w:type="dxa"/>
            <w:vMerge w:val="restart"/>
          </w:tcPr>
          <w:p w:rsidR="007C1B0A" w:rsidRDefault="007C1B0A" w:rsidP="007C1B0A">
            <w:pPr>
              <w:rPr>
                <w:b/>
                <w:sz w:val="14"/>
                <w:szCs w:val="14"/>
              </w:rPr>
            </w:pPr>
          </w:p>
          <w:p w:rsidR="007C1B0A" w:rsidRPr="00F84969" w:rsidRDefault="007C1B0A" w:rsidP="007C1B0A">
            <w:pPr>
              <w:rPr>
                <w:b/>
                <w:sz w:val="14"/>
                <w:szCs w:val="14"/>
              </w:rPr>
            </w:pPr>
            <w:r w:rsidRPr="00F84969">
              <w:rPr>
                <w:b/>
                <w:sz w:val="14"/>
                <w:szCs w:val="14"/>
              </w:rPr>
              <w:t>Empty</w:t>
            </w:r>
          </w:p>
          <w:p w:rsidR="007C1B0A" w:rsidRPr="00F84969" w:rsidRDefault="007C1B0A" w:rsidP="007C1B0A">
            <w:pPr>
              <w:rPr>
                <w:b/>
                <w:sz w:val="14"/>
                <w:szCs w:val="14"/>
              </w:rPr>
            </w:pPr>
            <w:r w:rsidRPr="00F84969">
              <w:rPr>
                <w:b/>
                <w:sz w:val="14"/>
                <w:szCs w:val="14"/>
              </w:rPr>
              <w:t>uncleaned</w:t>
            </w:r>
          </w:p>
          <w:p w:rsidR="007C1B0A" w:rsidRPr="003B537E" w:rsidRDefault="007C1B0A" w:rsidP="007C1B0A">
            <w:pPr>
              <w:rPr>
                <w:sz w:val="16"/>
                <w:szCs w:val="16"/>
              </w:rPr>
            </w:pPr>
            <w:proofErr w:type="spellStart"/>
            <w:r w:rsidRPr="00F84969">
              <w:rPr>
                <w:b/>
                <w:sz w:val="14"/>
                <w:szCs w:val="14"/>
              </w:rPr>
              <w:t>packagings</w:t>
            </w:r>
            <w:proofErr w:type="spellEnd"/>
          </w:p>
        </w:tc>
      </w:tr>
      <w:tr w:rsidR="007C1B0A" w:rsidTr="004F3D17">
        <w:trPr>
          <w:jc w:val="center"/>
        </w:trPr>
        <w:tc>
          <w:tcPr>
            <w:tcW w:w="866" w:type="dxa"/>
            <w:vMerge/>
          </w:tcPr>
          <w:p w:rsidR="007C1B0A" w:rsidRPr="003B537E" w:rsidRDefault="007C1B0A" w:rsidP="007C1B0A">
            <w:pPr>
              <w:rPr>
                <w:sz w:val="16"/>
                <w:szCs w:val="16"/>
              </w:rPr>
            </w:pPr>
          </w:p>
        </w:tc>
        <w:tc>
          <w:tcPr>
            <w:tcW w:w="1112" w:type="dxa"/>
          </w:tcPr>
          <w:p w:rsidR="007C1B0A" w:rsidRPr="00F84969" w:rsidRDefault="007C1B0A" w:rsidP="007C1B0A">
            <w:pPr>
              <w:jc w:val="center"/>
              <w:rPr>
                <w:b/>
                <w:sz w:val="14"/>
                <w:szCs w:val="14"/>
              </w:rPr>
            </w:pPr>
            <w:r w:rsidRPr="00F84969">
              <w:rPr>
                <w:b/>
                <w:sz w:val="14"/>
                <w:szCs w:val="14"/>
              </w:rPr>
              <w:t>Compatibility</w:t>
            </w:r>
          </w:p>
          <w:p w:rsidR="007C1B0A" w:rsidRPr="003B537E" w:rsidRDefault="007C1B0A" w:rsidP="007C1B0A">
            <w:pPr>
              <w:jc w:val="center"/>
              <w:rPr>
                <w:sz w:val="16"/>
                <w:szCs w:val="16"/>
              </w:rPr>
            </w:pPr>
            <w:r w:rsidRPr="00F84969">
              <w:rPr>
                <w:b/>
                <w:sz w:val="14"/>
                <w:szCs w:val="14"/>
              </w:rPr>
              <w:t>group</w:t>
            </w:r>
          </w:p>
        </w:tc>
        <w:tc>
          <w:tcPr>
            <w:tcW w:w="816" w:type="dxa"/>
          </w:tcPr>
          <w:p w:rsidR="007C1B0A" w:rsidRPr="003B537E" w:rsidRDefault="007C1B0A" w:rsidP="007C1B0A">
            <w:pPr>
              <w:jc w:val="center"/>
              <w:rPr>
                <w:b/>
                <w:sz w:val="16"/>
                <w:szCs w:val="16"/>
              </w:rPr>
            </w:pPr>
            <w:r w:rsidRPr="003B537E">
              <w:rPr>
                <w:b/>
                <w:sz w:val="16"/>
                <w:szCs w:val="16"/>
              </w:rPr>
              <w:t>1.1A</w:t>
            </w:r>
          </w:p>
        </w:tc>
        <w:tc>
          <w:tcPr>
            <w:tcW w:w="1000" w:type="dxa"/>
          </w:tcPr>
          <w:p w:rsidR="007C1B0A" w:rsidRPr="003B537E" w:rsidRDefault="007C1B0A" w:rsidP="007C1B0A">
            <w:pPr>
              <w:jc w:val="center"/>
              <w:rPr>
                <w:b/>
                <w:sz w:val="16"/>
                <w:szCs w:val="16"/>
              </w:rPr>
            </w:pPr>
            <w:r w:rsidRPr="003B537E">
              <w:rPr>
                <w:b/>
                <w:sz w:val="16"/>
                <w:szCs w:val="16"/>
              </w:rPr>
              <w:t>Other</w:t>
            </w:r>
          </w:p>
          <w:p w:rsidR="007C1B0A" w:rsidRPr="003B537E" w:rsidRDefault="007C1B0A" w:rsidP="007C1B0A">
            <w:pPr>
              <w:jc w:val="center"/>
              <w:rPr>
                <w:sz w:val="16"/>
                <w:szCs w:val="16"/>
              </w:rPr>
            </w:pPr>
            <w:r w:rsidRPr="003B537E">
              <w:rPr>
                <w:b/>
                <w:sz w:val="16"/>
                <w:szCs w:val="16"/>
              </w:rPr>
              <w:t>than 1.1.A</w:t>
            </w:r>
          </w:p>
        </w:tc>
        <w:tc>
          <w:tcPr>
            <w:tcW w:w="709" w:type="dxa"/>
          </w:tcPr>
          <w:p w:rsidR="007C1B0A" w:rsidRPr="003B537E" w:rsidRDefault="007C1B0A" w:rsidP="007C1B0A">
            <w:pPr>
              <w:rPr>
                <w:sz w:val="16"/>
                <w:szCs w:val="16"/>
              </w:rPr>
            </w:pPr>
          </w:p>
        </w:tc>
        <w:tc>
          <w:tcPr>
            <w:tcW w:w="708" w:type="dxa"/>
          </w:tcPr>
          <w:p w:rsidR="007C1B0A" w:rsidRPr="003B537E" w:rsidRDefault="007C1B0A" w:rsidP="007C1B0A">
            <w:pPr>
              <w:rPr>
                <w:sz w:val="16"/>
                <w:szCs w:val="16"/>
              </w:rPr>
            </w:pPr>
          </w:p>
        </w:tc>
        <w:tc>
          <w:tcPr>
            <w:tcW w:w="709" w:type="dxa"/>
          </w:tcPr>
          <w:p w:rsidR="007C1B0A" w:rsidRPr="0069691E" w:rsidRDefault="007C1B0A" w:rsidP="007C1B0A">
            <w:pPr>
              <w:rPr>
                <w:b/>
                <w:sz w:val="16"/>
                <w:szCs w:val="16"/>
              </w:rPr>
            </w:pPr>
            <w:r w:rsidRPr="0069691E">
              <w:rPr>
                <w:b/>
                <w:sz w:val="16"/>
                <w:szCs w:val="16"/>
              </w:rPr>
              <w:t>Other than 1.4.S</w:t>
            </w:r>
          </w:p>
        </w:tc>
        <w:tc>
          <w:tcPr>
            <w:tcW w:w="992" w:type="dxa"/>
          </w:tcPr>
          <w:p w:rsidR="007C1B0A" w:rsidRPr="0069691E" w:rsidRDefault="007C1B0A" w:rsidP="007C1B0A">
            <w:pPr>
              <w:jc w:val="center"/>
              <w:rPr>
                <w:b/>
                <w:sz w:val="16"/>
                <w:szCs w:val="16"/>
              </w:rPr>
            </w:pPr>
            <w:r w:rsidRPr="0069691E">
              <w:rPr>
                <w:b/>
                <w:sz w:val="16"/>
                <w:szCs w:val="16"/>
              </w:rPr>
              <w:t>1.4.S</w:t>
            </w:r>
          </w:p>
        </w:tc>
        <w:tc>
          <w:tcPr>
            <w:tcW w:w="709" w:type="dxa"/>
          </w:tcPr>
          <w:p w:rsidR="007C1B0A" w:rsidRPr="003B537E" w:rsidRDefault="007C1B0A" w:rsidP="007C1B0A">
            <w:pPr>
              <w:rPr>
                <w:sz w:val="16"/>
                <w:szCs w:val="16"/>
              </w:rPr>
            </w:pPr>
          </w:p>
        </w:tc>
        <w:tc>
          <w:tcPr>
            <w:tcW w:w="1099" w:type="dxa"/>
            <w:vMerge/>
          </w:tcPr>
          <w:p w:rsidR="007C1B0A" w:rsidRPr="003B537E" w:rsidRDefault="007C1B0A" w:rsidP="007C1B0A">
            <w:pPr>
              <w:rPr>
                <w:sz w:val="16"/>
                <w:szCs w:val="16"/>
              </w:rPr>
            </w:pPr>
          </w:p>
        </w:tc>
      </w:tr>
      <w:tr w:rsidR="007C1B0A" w:rsidTr="004F3D17">
        <w:trPr>
          <w:jc w:val="center"/>
        </w:trPr>
        <w:tc>
          <w:tcPr>
            <w:tcW w:w="1978" w:type="dxa"/>
            <w:gridSpan w:val="2"/>
          </w:tcPr>
          <w:p w:rsidR="007C1B0A" w:rsidRPr="0069691E" w:rsidRDefault="007C1B0A" w:rsidP="007C1B0A">
            <w:pPr>
              <w:rPr>
                <w:b/>
                <w:sz w:val="16"/>
                <w:szCs w:val="16"/>
                <w:vertAlign w:val="superscript"/>
              </w:rPr>
            </w:pPr>
            <w:r w:rsidRPr="0069691E">
              <w:rPr>
                <w:b/>
                <w:sz w:val="16"/>
                <w:szCs w:val="16"/>
              </w:rPr>
              <w:t>EX/</w:t>
            </w:r>
            <w:proofErr w:type="spellStart"/>
            <w:r w:rsidRPr="0069691E">
              <w:rPr>
                <w:b/>
                <w:sz w:val="16"/>
                <w:szCs w:val="16"/>
              </w:rPr>
              <w:t>II</w:t>
            </w:r>
            <w:r>
              <w:rPr>
                <w:b/>
                <w:sz w:val="16"/>
                <w:szCs w:val="16"/>
                <w:vertAlign w:val="superscript"/>
              </w:rPr>
              <w:t>a</w:t>
            </w:r>
            <w:proofErr w:type="spellEnd"/>
          </w:p>
        </w:tc>
        <w:tc>
          <w:tcPr>
            <w:tcW w:w="816" w:type="dxa"/>
          </w:tcPr>
          <w:p w:rsidR="007C1B0A" w:rsidRPr="003B537E" w:rsidRDefault="007C1B0A" w:rsidP="007C1B0A">
            <w:pPr>
              <w:rPr>
                <w:sz w:val="16"/>
                <w:szCs w:val="16"/>
              </w:rPr>
            </w:pPr>
            <w:r w:rsidRPr="003B537E">
              <w:rPr>
                <w:sz w:val="16"/>
                <w:szCs w:val="16"/>
              </w:rPr>
              <w:t>6.25</w:t>
            </w:r>
          </w:p>
        </w:tc>
        <w:tc>
          <w:tcPr>
            <w:tcW w:w="1000" w:type="dxa"/>
          </w:tcPr>
          <w:p w:rsidR="007C1B0A" w:rsidRPr="003B537E" w:rsidRDefault="007C1B0A" w:rsidP="007C1B0A">
            <w:pPr>
              <w:rPr>
                <w:sz w:val="16"/>
                <w:szCs w:val="16"/>
              </w:rPr>
            </w:pPr>
            <w:r w:rsidRPr="003B537E">
              <w:rPr>
                <w:sz w:val="16"/>
                <w:szCs w:val="16"/>
              </w:rPr>
              <w:t>1000</w:t>
            </w:r>
          </w:p>
        </w:tc>
        <w:tc>
          <w:tcPr>
            <w:tcW w:w="709" w:type="dxa"/>
          </w:tcPr>
          <w:p w:rsidR="007C1B0A" w:rsidRPr="003B537E" w:rsidRDefault="007C1B0A" w:rsidP="007C1B0A">
            <w:pPr>
              <w:rPr>
                <w:sz w:val="16"/>
                <w:szCs w:val="16"/>
              </w:rPr>
            </w:pPr>
            <w:r w:rsidRPr="003B537E">
              <w:rPr>
                <w:sz w:val="16"/>
                <w:szCs w:val="16"/>
              </w:rPr>
              <w:t>3000</w:t>
            </w:r>
          </w:p>
        </w:tc>
        <w:tc>
          <w:tcPr>
            <w:tcW w:w="708" w:type="dxa"/>
          </w:tcPr>
          <w:p w:rsidR="007C1B0A" w:rsidRPr="003B537E" w:rsidRDefault="007C1B0A" w:rsidP="007C1B0A">
            <w:pPr>
              <w:rPr>
                <w:sz w:val="16"/>
                <w:szCs w:val="16"/>
              </w:rPr>
            </w:pPr>
            <w:r w:rsidRPr="003B537E">
              <w:rPr>
                <w:sz w:val="16"/>
                <w:szCs w:val="16"/>
              </w:rPr>
              <w:t>5000</w:t>
            </w:r>
          </w:p>
        </w:tc>
        <w:tc>
          <w:tcPr>
            <w:tcW w:w="709" w:type="dxa"/>
          </w:tcPr>
          <w:p w:rsidR="007C1B0A" w:rsidRPr="003B537E" w:rsidRDefault="007C1B0A" w:rsidP="007C1B0A">
            <w:pPr>
              <w:rPr>
                <w:sz w:val="16"/>
                <w:szCs w:val="16"/>
              </w:rPr>
            </w:pPr>
            <w:r w:rsidRPr="003B537E">
              <w:rPr>
                <w:sz w:val="16"/>
                <w:szCs w:val="16"/>
              </w:rPr>
              <w:t>15000</w:t>
            </w:r>
          </w:p>
        </w:tc>
        <w:tc>
          <w:tcPr>
            <w:tcW w:w="992" w:type="dxa"/>
          </w:tcPr>
          <w:p w:rsidR="007C1B0A" w:rsidRPr="0069691E" w:rsidRDefault="007C1B0A" w:rsidP="007C1B0A">
            <w:pPr>
              <w:rPr>
                <w:sz w:val="16"/>
                <w:szCs w:val="16"/>
              </w:rPr>
            </w:pPr>
            <w:r w:rsidRPr="0069691E">
              <w:rPr>
                <w:sz w:val="16"/>
                <w:szCs w:val="16"/>
              </w:rPr>
              <w:t>Unlimited</w:t>
            </w:r>
          </w:p>
        </w:tc>
        <w:tc>
          <w:tcPr>
            <w:tcW w:w="709" w:type="dxa"/>
          </w:tcPr>
          <w:p w:rsidR="007C1B0A" w:rsidRPr="003B537E" w:rsidRDefault="007C1B0A" w:rsidP="007C1B0A">
            <w:pPr>
              <w:rPr>
                <w:sz w:val="16"/>
                <w:szCs w:val="16"/>
              </w:rPr>
            </w:pPr>
            <w:r w:rsidRPr="003B537E">
              <w:rPr>
                <w:sz w:val="16"/>
                <w:szCs w:val="16"/>
              </w:rPr>
              <w:t>5000</w:t>
            </w:r>
          </w:p>
        </w:tc>
        <w:tc>
          <w:tcPr>
            <w:tcW w:w="1099" w:type="dxa"/>
          </w:tcPr>
          <w:p w:rsidR="007C1B0A" w:rsidRPr="003B537E" w:rsidRDefault="007C1B0A" w:rsidP="007C1B0A">
            <w:pPr>
              <w:rPr>
                <w:sz w:val="16"/>
                <w:szCs w:val="16"/>
              </w:rPr>
            </w:pPr>
            <w:r w:rsidRPr="003B537E">
              <w:rPr>
                <w:sz w:val="16"/>
                <w:szCs w:val="16"/>
              </w:rPr>
              <w:t>Unlimited</w:t>
            </w:r>
          </w:p>
        </w:tc>
      </w:tr>
      <w:tr w:rsidR="007C1B0A" w:rsidTr="004F3D17">
        <w:trPr>
          <w:jc w:val="center"/>
        </w:trPr>
        <w:tc>
          <w:tcPr>
            <w:tcW w:w="1978" w:type="dxa"/>
            <w:gridSpan w:val="2"/>
          </w:tcPr>
          <w:p w:rsidR="007C1B0A" w:rsidRPr="0069691E" w:rsidRDefault="007C1B0A" w:rsidP="007C1B0A">
            <w:pPr>
              <w:rPr>
                <w:b/>
                <w:sz w:val="16"/>
                <w:szCs w:val="16"/>
                <w:vertAlign w:val="superscript"/>
              </w:rPr>
            </w:pPr>
            <w:r w:rsidRPr="0069691E">
              <w:rPr>
                <w:b/>
                <w:sz w:val="16"/>
                <w:szCs w:val="16"/>
              </w:rPr>
              <w:t>EX/</w:t>
            </w:r>
            <w:proofErr w:type="spellStart"/>
            <w:r w:rsidRPr="0069691E">
              <w:rPr>
                <w:b/>
                <w:sz w:val="16"/>
                <w:szCs w:val="16"/>
              </w:rPr>
              <w:t>III</w:t>
            </w:r>
            <w:r>
              <w:rPr>
                <w:b/>
                <w:sz w:val="16"/>
                <w:szCs w:val="16"/>
                <w:vertAlign w:val="superscript"/>
              </w:rPr>
              <w:t>a</w:t>
            </w:r>
            <w:proofErr w:type="spellEnd"/>
          </w:p>
        </w:tc>
        <w:tc>
          <w:tcPr>
            <w:tcW w:w="816" w:type="dxa"/>
          </w:tcPr>
          <w:p w:rsidR="007C1B0A" w:rsidRPr="003B537E" w:rsidRDefault="007C1B0A" w:rsidP="007C1B0A">
            <w:pPr>
              <w:rPr>
                <w:sz w:val="16"/>
                <w:szCs w:val="16"/>
              </w:rPr>
            </w:pPr>
            <w:r w:rsidRPr="003B537E">
              <w:rPr>
                <w:sz w:val="16"/>
                <w:szCs w:val="16"/>
              </w:rPr>
              <w:t>18.75</w:t>
            </w:r>
          </w:p>
        </w:tc>
        <w:tc>
          <w:tcPr>
            <w:tcW w:w="1000" w:type="dxa"/>
          </w:tcPr>
          <w:p w:rsidR="007C1B0A" w:rsidRPr="00987C0B" w:rsidRDefault="007C1B0A" w:rsidP="007C1B0A">
            <w:pPr>
              <w:rPr>
                <w:b/>
                <w:sz w:val="16"/>
                <w:szCs w:val="16"/>
                <w:vertAlign w:val="superscript"/>
              </w:rPr>
            </w:pPr>
            <w:r w:rsidRPr="00987C0B">
              <w:rPr>
                <w:b/>
                <w:color w:val="FF0000"/>
                <w:sz w:val="16"/>
                <w:szCs w:val="16"/>
              </w:rPr>
              <w:t>16000</w:t>
            </w:r>
            <w:r w:rsidRPr="00987C0B">
              <w:rPr>
                <w:b/>
                <w:color w:val="FF0000"/>
                <w:sz w:val="16"/>
                <w:szCs w:val="16"/>
                <w:vertAlign w:val="superscript"/>
              </w:rPr>
              <w:t>b</w:t>
            </w:r>
          </w:p>
        </w:tc>
        <w:tc>
          <w:tcPr>
            <w:tcW w:w="709" w:type="dxa"/>
          </w:tcPr>
          <w:p w:rsidR="007C1B0A" w:rsidRPr="0005505A" w:rsidRDefault="007C1B0A" w:rsidP="007C1B0A">
            <w:pPr>
              <w:rPr>
                <w:b/>
                <w:sz w:val="16"/>
                <w:szCs w:val="16"/>
                <w:vertAlign w:val="superscript"/>
              </w:rPr>
            </w:pPr>
            <w:r>
              <w:rPr>
                <w:b/>
                <w:color w:val="FF0000"/>
                <w:sz w:val="16"/>
                <w:szCs w:val="16"/>
              </w:rPr>
              <w:t>16000</w:t>
            </w:r>
            <w:r>
              <w:rPr>
                <w:b/>
                <w:color w:val="FF0000"/>
                <w:sz w:val="16"/>
                <w:szCs w:val="16"/>
                <w:vertAlign w:val="superscript"/>
              </w:rPr>
              <w:t>b</w:t>
            </w:r>
          </w:p>
        </w:tc>
        <w:tc>
          <w:tcPr>
            <w:tcW w:w="708" w:type="dxa"/>
          </w:tcPr>
          <w:p w:rsidR="007C1B0A" w:rsidRPr="0005505A" w:rsidRDefault="007C1B0A" w:rsidP="007C1B0A">
            <w:pPr>
              <w:rPr>
                <w:b/>
                <w:sz w:val="16"/>
                <w:szCs w:val="16"/>
                <w:vertAlign w:val="superscript"/>
              </w:rPr>
            </w:pPr>
            <w:r>
              <w:rPr>
                <w:b/>
                <w:color w:val="FF0000"/>
                <w:sz w:val="16"/>
                <w:szCs w:val="16"/>
              </w:rPr>
              <w:t>16000</w:t>
            </w:r>
            <w:r>
              <w:rPr>
                <w:b/>
                <w:color w:val="FF0000"/>
                <w:sz w:val="16"/>
                <w:szCs w:val="16"/>
                <w:vertAlign w:val="superscript"/>
              </w:rPr>
              <w:t>b</w:t>
            </w:r>
          </w:p>
        </w:tc>
        <w:tc>
          <w:tcPr>
            <w:tcW w:w="709" w:type="dxa"/>
          </w:tcPr>
          <w:p w:rsidR="007C1B0A" w:rsidRPr="0005505A" w:rsidRDefault="007C1B0A" w:rsidP="007C1B0A">
            <w:pPr>
              <w:rPr>
                <w:b/>
                <w:sz w:val="16"/>
                <w:szCs w:val="16"/>
                <w:vertAlign w:val="superscript"/>
              </w:rPr>
            </w:pPr>
            <w:r>
              <w:rPr>
                <w:b/>
                <w:color w:val="FF0000"/>
                <w:sz w:val="16"/>
                <w:szCs w:val="16"/>
              </w:rPr>
              <w:t>16000</w:t>
            </w:r>
            <w:r>
              <w:rPr>
                <w:b/>
                <w:color w:val="FF0000"/>
                <w:sz w:val="16"/>
                <w:szCs w:val="16"/>
                <w:vertAlign w:val="superscript"/>
              </w:rPr>
              <w:t>b</w:t>
            </w:r>
          </w:p>
        </w:tc>
        <w:tc>
          <w:tcPr>
            <w:tcW w:w="992" w:type="dxa"/>
          </w:tcPr>
          <w:p w:rsidR="007C1B0A" w:rsidRPr="003B537E" w:rsidRDefault="007C1B0A" w:rsidP="007C1B0A">
            <w:pPr>
              <w:rPr>
                <w:sz w:val="16"/>
                <w:szCs w:val="16"/>
              </w:rPr>
            </w:pPr>
            <w:r w:rsidRPr="003B537E">
              <w:rPr>
                <w:sz w:val="16"/>
                <w:szCs w:val="16"/>
              </w:rPr>
              <w:t>Unlimited</w:t>
            </w:r>
          </w:p>
        </w:tc>
        <w:tc>
          <w:tcPr>
            <w:tcW w:w="709" w:type="dxa"/>
          </w:tcPr>
          <w:p w:rsidR="007C1B0A" w:rsidRPr="0005505A" w:rsidRDefault="007C1B0A" w:rsidP="007C1B0A">
            <w:pPr>
              <w:rPr>
                <w:b/>
                <w:sz w:val="16"/>
                <w:szCs w:val="16"/>
                <w:vertAlign w:val="superscript"/>
              </w:rPr>
            </w:pPr>
            <w:r>
              <w:rPr>
                <w:b/>
                <w:color w:val="FF0000"/>
                <w:sz w:val="16"/>
                <w:szCs w:val="16"/>
              </w:rPr>
              <w:t>16000</w:t>
            </w:r>
            <w:r>
              <w:rPr>
                <w:b/>
                <w:color w:val="FF0000"/>
                <w:sz w:val="16"/>
                <w:szCs w:val="16"/>
                <w:vertAlign w:val="superscript"/>
              </w:rPr>
              <w:t>b</w:t>
            </w:r>
          </w:p>
        </w:tc>
        <w:tc>
          <w:tcPr>
            <w:tcW w:w="1099" w:type="dxa"/>
          </w:tcPr>
          <w:p w:rsidR="007C1B0A" w:rsidRPr="003B537E" w:rsidRDefault="007C1B0A" w:rsidP="007C1B0A">
            <w:pPr>
              <w:rPr>
                <w:sz w:val="16"/>
                <w:szCs w:val="16"/>
              </w:rPr>
            </w:pPr>
            <w:r w:rsidRPr="003B537E">
              <w:rPr>
                <w:sz w:val="16"/>
                <w:szCs w:val="16"/>
              </w:rPr>
              <w:t>Unlimited</w:t>
            </w:r>
          </w:p>
        </w:tc>
      </w:tr>
    </w:tbl>
    <w:p w:rsidR="007C1B0A" w:rsidRDefault="007C1B0A" w:rsidP="007C1B0A">
      <w:pPr>
        <w:rPr>
          <w:i/>
          <w:sz w:val="18"/>
          <w:szCs w:val="18"/>
          <w:vertAlign w:val="superscript"/>
          <w:lang w:val="en-US"/>
        </w:rPr>
      </w:pPr>
    </w:p>
    <w:p w:rsidR="007C1B0A" w:rsidRDefault="007C1B0A" w:rsidP="004F3D17">
      <w:pPr>
        <w:ind w:left="1134"/>
        <w:rPr>
          <w:i/>
          <w:sz w:val="18"/>
          <w:szCs w:val="18"/>
          <w:lang w:val="en-US"/>
        </w:rPr>
      </w:pPr>
      <w:proofErr w:type="spellStart"/>
      <w:r w:rsidRPr="0069691E">
        <w:rPr>
          <w:i/>
          <w:sz w:val="18"/>
          <w:szCs w:val="18"/>
          <w:vertAlign w:val="superscript"/>
          <w:lang w:val="en-US"/>
        </w:rPr>
        <w:t>a</w:t>
      </w:r>
      <w:proofErr w:type="spellEnd"/>
      <w:r w:rsidR="004F3D17">
        <w:rPr>
          <w:i/>
          <w:sz w:val="18"/>
          <w:szCs w:val="18"/>
          <w:lang w:val="en-US"/>
        </w:rPr>
        <w:tab/>
      </w:r>
      <w:r w:rsidRPr="0069691E">
        <w:rPr>
          <w:i/>
          <w:sz w:val="18"/>
          <w:szCs w:val="18"/>
          <w:lang w:val="en-US"/>
        </w:rPr>
        <w:t>For</w:t>
      </w:r>
      <w:r>
        <w:rPr>
          <w:i/>
          <w:sz w:val="18"/>
          <w:szCs w:val="18"/>
          <w:lang w:val="en-US"/>
        </w:rPr>
        <w:t xml:space="preserve"> t</w:t>
      </w:r>
      <w:r w:rsidRPr="0069691E">
        <w:rPr>
          <w:i/>
          <w:sz w:val="18"/>
          <w:szCs w:val="18"/>
          <w:lang w:val="en-US"/>
        </w:rPr>
        <w:t>he description of EX/II and EX/III vehicles see Part 9</w:t>
      </w:r>
    </w:p>
    <w:p w:rsidR="007C1B0A" w:rsidRPr="00987C0B" w:rsidRDefault="007C1B0A" w:rsidP="004F3D17">
      <w:pPr>
        <w:ind w:left="1701" w:right="1134" w:hanging="567"/>
        <w:jc w:val="both"/>
        <w:rPr>
          <w:rStyle w:val="location"/>
          <w:b/>
          <w:i/>
          <w:color w:val="FF0000"/>
          <w:sz w:val="18"/>
          <w:szCs w:val="18"/>
        </w:rPr>
      </w:pPr>
      <w:r w:rsidRPr="00987C0B">
        <w:rPr>
          <w:b/>
          <w:i/>
          <w:color w:val="FF0000"/>
          <w:sz w:val="18"/>
          <w:szCs w:val="18"/>
          <w:vertAlign w:val="superscript"/>
          <w:lang w:val="en-US"/>
        </w:rPr>
        <w:t>b</w:t>
      </w:r>
      <w:r w:rsidR="004F3D17">
        <w:rPr>
          <w:b/>
          <w:i/>
          <w:color w:val="FF0000"/>
          <w:sz w:val="18"/>
          <w:szCs w:val="18"/>
          <w:lang w:val="en-US"/>
        </w:rPr>
        <w:tab/>
      </w:r>
      <w:r w:rsidRPr="00987C0B">
        <w:rPr>
          <w:b/>
          <w:i/>
          <w:color w:val="FF0000"/>
          <w:sz w:val="18"/>
          <w:szCs w:val="18"/>
          <w:lang w:val="en-US"/>
        </w:rPr>
        <w:t xml:space="preserve">For </w:t>
      </w:r>
      <w:r>
        <w:rPr>
          <w:b/>
          <w:i/>
          <w:color w:val="FF0000"/>
          <w:sz w:val="18"/>
          <w:szCs w:val="18"/>
          <w:lang w:val="en-US"/>
        </w:rPr>
        <w:t xml:space="preserve">the transport of </w:t>
      </w:r>
      <w:r w:rsidRPr="00987C0B">
        <w:rPr>
          <w:b/>
          <w:i/>
          <w:color w:val="FF0000"/>
          <w:sz w:val="18"/>
          <w:szCs w:val="18"/>
          <w:lang w:val="en-US"/>
        </w:rPr>
        <w:t xml:space="preserve">UN 0027, </w:t>
      </w:r>
      <w:r w:rsidRPr="00987C0B">
        <w:rPr>
          <w:rStyle w:val="location"/>
          <w:b/>
          <w:i/>
          <w:color w:val="FF0000"/>
          <w:sz w:val="18"/>
          <w:szCs w:val="18"/>
        </w:rPr>
        <w:t xml:space="preserve"> 0081, 0082, 0083, 0084, 0241, 0331</w:t>
      </w:r>
      <w:r>
        <w:rPr>
          <w:rStyle w:val="location"/>
          <w:b/>
          <w:i/>
          <w:color w:val="FF0000"/>
          <w:sz w:val="18"/>
          <w:szCs w:val="18"/>
        </w:rPr>
        <w:t>and</w:t>
      </w:r>
      <w:r w:rsidRPr="00987C0B">
        <w:rPr>
          <w:rStyle w:val="location"/>
          <w:b/>
          <w:i/>
          <w:color w:val="FF0000"/>
          <w:sz w:val="18"/>
          <w:szCs w:val="18"/>
        </w:rPr>
        <w:t xml:space="preserve"> 0332</w:t>
      </w:r>
      <w:r>
        <w:rPr>
          <w:rStyle w:val="location"/>
          <w:b/>
          <w:i/>
          <w:color w:val="FF0000"/>
          <w:sz w:val="18"/>
          <w:szCs w:val="18"/>
        </w:rPr>
        <w:t xml:space="preserve">, and the mixed loading of these UN numbers in between them, </w:t>
      </w:r>
      <w:r w:rsidRPr="00987C0B">
        <w:rPr>
          <w:b/>
          <w:i/>
          <w:color w:val="FF0000"/>
          <w:sz w:val="18"/>
          <w:szCs w:val="18"/>
          <w:lang w:val="en-US"/>
        </w:rPr>
        <w:t xml:space="preserve">the maximum permissible net mass per transport unit will </w:t>
      </w:r>
      <w:r>
        <w:rPr>
          <w:b/>
          <w:i/>
          <w:color w:val="FF0000"/>
          <w:sz w:val="18"/>
          <w:szCs w:val="18"/>
          <w:lang w:val="en-US"/>
        </w:rPr>
        <w:t>be 20.000 kg,</w:t>
      </w:r>
      <w:r w:rsidRPr="00987C0B">
        <w:rPr>
          <w:b/>
          <w:i/>
          <w:color w:val="FF0000"/>
          <w:sz w:val="18"/>
          <w:szCs w:val="18"/>
          <w:lang w:val="en-US"/>
        </w:rPr>
        <w:t xml:space="preserve"> </w:t>
      </w:r>
      <w:r w:rsidRPr="00987C0B">
        <w:rPr>
          <w:rStyle w:val="location"/>
          <w:b/>
          <w:i/>
          <w:color w:val="FF0000"/>
          <w:sz w:val="18"/>
          <w:szCs w:val="18"/>
        </w:rPr>
        <w:t xml:space="preserve">provided that the provisions set out in the Note to the point 1.10.3.3 are met. </w:t>
      </w:r>
    </w:p>
    <w:p w:rsidR="007C1B0A" w:rsidRDefault="007C1B0A" w:rsidP="007C1B0A">
      <w:pPr>
        <w:suppressAutoHyphens w:val="0"/>
        <w:spacing w:line="240" w:lineRule="auto"/>
        <w:rPr>
          <w:u w:val="single"/>
        </w:rPr>
      </w:pPr>
      <w:r>
        <w:rPr>
          <w:u w:val="single"/>
        </w:rPr>
        <w:br w:type="page"/>
      </w:r>
    </w:p>
    <w:p w:rsidR="007C1B0A" w:rsidRPr="006347C4" w:rsidRDefault="007C1B0A" w:rsidP="004F3D17">
      <w:pPr>
        <w:pStyle w:val="HChG"/>
      </w:pPr>
      <w:r w:rsidRPr="006347C4">
        <w:lastRenderedPageBreak/>
        <w:t>A</w:t>
      </w:r>
      <w:r w:rsidR="004F3D17">
        <w:t>nnex</w:t>
      </w:r>
      <w:r w:rsidRPr="006347C4">
        <w:t xml:space="preserve"> I</w:t>
      </w:r>
    </w:p>
    <w:p w:rsidR="007C1B0A" w:rsidRPr="00752906" w:rsidRDefault="007C1B0A" w:rsidP="004F3D17">
      <w:pPr>
        <w:pStyle w:val="SingleTxtG"/>
        <w:rPr>
          <w:rStyle w:val="location"/>
        </w:rPr>
      </w:pPr>
      <w:r w:rsidRPr="00752906">
        <w:rPr>
          <w:rStyle w:val="location"/>
        </w:rPr>
        <w:t>When restricting the amount of explosives to be transported per vehicle, the interaction of the transported amount, the range of affection in case of an explosion and the number of trips necessary to transport the explosives has to be analysed.</w:t>
      </w:r>
    </w:p>
    <w:p w:rsidR="007C1B0A" w:rsidRPr="00752906" w:rsidRDefault="007C1B0A" w:rsidP="007C1B0A">
      <w:pPr>
        <w:pStyle w:val="SingleTxtG"/>
        <w:rPr>
          <w:rStyle w:val="location"/>
        </w:rPr>
      </w:pPr>
      <w:r w:rsidRPr="00752906">
        <w:rPr>
          <w:rStyle w:val="location"/>
        </w:rPr>
        <w:t>The limitation of the quantity of transported explosives has positive aspects (smaller affected area in case of an explosion) and negative aspects (the need to make a larger number of trips to transport a given quantity of product).</w:t>
      </w:r>
    </w:p>
    <w:p w:rsidR="007C1B0A" w:rsidRPr="00752906" w:rsidRDefault="007C1B0A" w:rsidP="007C1B0A">
      <w:pPr>
        <w:pStyle w:val="SingleTxtG"/>
        <w:rPr>
          <w:rStyle w:val="location"/>
        </w:rPr>
      </w:pPr>
      <w:r w:rsidRPr="00752906">
        <w:rPr>
          <w:rStyle w:val="location"/>
        </w:rPr>
        <w:t xml:space="preserve">Given the same type of truck and the same route, the probability of the occurrence of an accident or incident of any type is directly proportional to the </w:t>
      </w:r>
      <w:r>
        <w:rPr>
          <w:rStyle w:val="location"/>
        </w:rPr>
        <w:t>number of trips</w:t>
      </w:r>
      <w:r w:rsidRPr="00752906">
        <w:rPr>
          <w:rStyle w:val="location"/>
        </w:rPr>
        <w:t>.</w:t>
      </w:r>
    </w:p>
    <w:p w:rsidR="007C1B0A" w:rsidRPr="00752906" w:rsidRDefault="007C1B0A" w:rsidP="007C1B0A">
      <w:pPr>
        <w:pStyle w:val="SingleTxtG"/>
        <w:rPr>
          <w:rStyle w:val="location"/>
          <w:u w:val="single"/>
        </w:rPr>
      </w:pPr>
      <w:r w:rsidRPr="00752906">
        <w:rPr>
          <w:rStyle w:val="location"/>
          <w:u w:val="single"/>
        </w:rPr>
        <w:t>Calculation of affected area</w:t>
      </w:r>
    </w:p>
    <w:p w:rsidR="007C1B0A" w:rsidRPr="00752906" w:rsidRDefault="007C1B0A" w:rsidP="007C1B0A">
      <w:pPr>
        <w:pStyle w:val="SingleTxtG"/>
        <w:rPr>
          <w:rStyle w:val="location"/>
        </w:rPr>
      </w:pPr>
      <w:r w:rsidRPr="00752906">
        <w:rPr>
          <w:rStyle w:val="location"/>
        </w:rPr>
        <w:t xml:space="preserve">The area affected by an explosion can be calculated using tables designed for this purpose, considering the amount of explosives transported. </w:t>
      </w:r>
    </w:p>
    <w:p w:rsidR="007C1B0A" w:rsidRPr="00752906" w:rsidRDefault="007C1B0A" w:rsidP="007C1B0A">
      <w:pPr>
        <w:pStyle w:val="SingleTxtG"/>
        <w:rPr>
          <w:rStyle w:val="location"/>
        </w:rPr>
      </w:pPr>
      <w:r w:rsidRPr="00752906">
        <w:rPr>
          <w:rStyle w:val="location"/>
        </w:rPr>
        <w:t>The ATF (USA, Bureau of Alcohol, Tobacco, Firearms and Explosives) has tabulated quantities / distances of influence for the case of vehicle explosions (see Figure 1).</w:t>
      </w:r>
    </w:p>
    <w:p w:rsidR="007C1B0A" w:rsidRPr="00752906" w:rsidRDefault="007C1B0A" w:rsidP="007C1B0A">
      <w:pPr>
        <w:pStyle w:val="ListParagraph"/>
        <w:jc w:val="center"/>
      </w:pPr>
      <w:r w:rsidRPr="00752906">
        <w:rPr>
          <w:noProof/>
          <w:lang w:eastAsia="en-GB"/>
        </w:rPr>
        <w:drawing>
          <wp:inline distT="0" distB="0" distL="0" distR="0" wp14:anchorId="0D126AF6" wp14:editId="169E1EE9">
            <wp:extent cx="4228186" cy="2712174"/>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9234" cy="2719261"/>
                    </a:xfrm>
                    <a:prstGeom prst="rect">
                      <a:avLst/>
                    </a:prstGeom>
                    <a:noFill/>
                    <a:ln>
                      <a:noFill/>
                    </a:ln>
                  </pic:spPr>
                </pic:pic>
              </a:graphicData>
            </a:graphic>
          </wp:inline>
        </w:drawing>
      </w:r>
    </w:p>
    <w:p w:rsidR="007C1B0A" w:rsidRPr="009D4EBE" w:rsidRDefault="007C1B0A" w:rsidP="007C1B0A">
      <w:pPr>
        <w:pStyle w:val="SingleTxtG"/>
        <w:jc w:val="center"/>
        <w:rPr>
          <w:i/>
        </w:rPr>
      </w:pPr>
      <w:r w:rsidRPr="009D4EBE">
        <w:rPr>
          <w:i/>
        </w:rPr>
        <w:t>Figure 1: Influence of amount of explosives and range of influence (ATF)</w:t>
      </w:r>
    </w:p>
    <w:p w:rsidR="007C1B0A" w:rsidRPr="00752906" w:rsidRDefault="007C1B0A" w:rsidP="007C1B0A">
      <w:pPr>
        <w:pStyle w:val="SingleTxtG"/>
      </w:pPr>
      <w:r w:rsidRPr="00752906">
        <w:t xml:space="preserve">Since the quantities included in the table cover large ranges intermediate segments can be easily calculated taking into account that the effects of an explosion are a function of the cube root of the quantity that explodes (D = K * Q 1/3), where D is the radius of the affected area, K a constant, and Q the quantity of explosive. Although the value that is normally assigned to the constant K differs significantly from one country to another, it is true that the values chosen by the ATF are very restrictive, or in other words, very high K values. For example, in Spain, the value used for the affected area is 34, and as shown in table 1, the ATF uses K values between 69 and 82. </w:t>
      </w:r>
    </w:p>
    <w:p w:rsidR="007C1B0A" w:rsidRPr="00752906" w:rsidRDefault="007C1B0A" w:rsidP="007C1B0A">
      <w:pPr>
        <w:pStyle w:val="SingleTxtG"/>
      </w:pPr>
      <w:r w:rsidRPr="00752906">
        <w:t>It is interesting to note that the ATF table includes “lethal” and “evacuation” (damage) distances, which is not common in this type of table. This means that for the purposes of this study, there are two different distances to be analysed / compared.</w:t>
      </w:r>
    </w:p>
    <w:p w:rsidR="007C1B0A" w:rsidRPr="00752906" w:rsidRDefault="007C1B0A" w:rsidP="004F3D17">
      <w:pPr>
        <w:pStyle w:val="SingleTxtG"/>
        <w:keepNext/>
      </w:pPr>
      <w:r w:rsidRPr="00752906">
        <w:lastRenderedPageBreak/>
        <w:t xml:space="preserve">Taking all of this into account, the K values used by the ATF in Figure 1 to calculate the range of </w:t>
      </w:r>
      <w:r w:rsidR="00BF226F" w:rsidRPr="00752906">
        <w:t>influences</w:t>
      </w:r>
      <w:r w:rsidRPr="00752906">
        <w:t xml:space="preserve"> for the explosions are the ones included in Table 1.</w:t>
      </w:r>
    </w:p>
    <w:tbl>
      <w:tblPr>
        <w:tblStyle w:val="TableGrid"/>
        <w:tblW w:w="0" w:type="auto"/>
        <w:tblInd w:w="2184" w:type="dxa"/>
        <w:tblLook w:val="04A0" w:firstRow="1" w:lastRow="0" w:firstColumn="1" w:lastColumn="0" w:noHBand="0" w:noVBand="1"/>
      </w:tblPr>
      <w:tblGrid>
        <w:gridCol w:w="1370"/>
        <w:gridCol w:w="1621"/>
        <w:gridCol w:w="1759"/>
      </w:tblGrid>
      <w:tr w:rsidR="007C1B0A" w:rsidRPr="00752906" w:rsidTr="007C1B0A">
        <w:trPr>
          <w:trHeight w:val="318"/>
        </w:trPr>
        <w:tc>
          <w:tcPr>
            <w:tcW w:w="1370" w:type="dxa"/>
            <w:noWrap/>
            <w:hideMark/>
          </w:tcPr>
          <w:p w:rsidR="007C1B0A" w:rsidRPr="00752906" w:rsidRDefault="007C1B0A" w:rsidP="004F3D17">
            <w:pPr>
              <w:keepNext/>
              <w:jc w:val="center"/>
              <w:rPr>
                <w:b/>
              </w:rPr>
            </w:pPr>
            <w:r w:rsidRPr="00752906">
              <w:rPr>
                <w:b/>
                <w:bCs/>
              </w:rPr>
              <w:t>Tons</w:t>
            </w:r>
          </w:p>
        </w:tc>
        <w:tc>
          <w:tcPr>
            <w:tcW w:w="1621" w:type="dxa"/>
            <w:noWrap/>
            <w:hideMark/>
          </w:tcPr>
          <w:p w:rsidR="007C1B0A" w:rsidRPr="00752906" w:rsidRDefault="007C1B0A" w:rsidP="004F3D17">
            <w:pPr>
              <w:keepNext/>
              <w:jc w:val="center"/>
              <w:rPr>
                <w:b/>
              </w:rPr>
            </w:pPr>
            <w:r w:rsidRPr="00752906">
              <w:rPr>
                <w:b/>
                <w:bCs/>
              </w:rPr>
              <w:t>Lethal K</w:t>
            </w:r>
          </w:p>
        </w:tc>
        <w:tc>
          <w:tcPr>
            <w:tcW w:w="1759" w:type="dxa"/>
            <w:noWrap/>
            <w:hideMark/>
          </w:tcPr>
          <w:p w:rsidR="007C1B0A" w:rsidRPr="00752906" w:rsidRDefault="007C1B0A" w:rsidP="004F3D17">
            <w:pPr>
              <w:keepNext/>
              <w:jc w:val="center"/>
              <w:rPr>
                <w:b/>
              </w:rPr>
            </w:pPr>
            <w:r w:rsidRPr="00752906">
              <w:rPr>
                <w:b/>
                <w:bCs/>
              </w:rPr>
              <w:t>Evacuation K</w:t>
            </w:r>
          </w:p>
        </w:tc>
      </w:tr>
      <w:tr w:rsidR="007C1B0A" w:rsidRPr="00752906" w:rsidTr="007C1B0A">
        <w:trPr>
          <w:trHeight w:val="303"/>
        </w:trPr>
        <w:tc>
          <w:tcPr>
            <w:tcW w:w="1370" w:type="dxa"/>
            <w:noWrap/>
            <w:hideMark/>
          </w:tcPr>
          <w:p w:rsidR="007C1B0A" w:rsidRPr="00752906" w:rsidRDefault="007C1B0A" w:rsidP="007C1B0A">
            <w:pPr>
              <w:jc w:val="center"/>
            </w:pPr>
            <w:r w:rsidRPr="00752906">
              <w:t>14</w:t>
            </w:r>
          </w:p>
        </w:tc>
        <w:tc>
          <w:tcPr>
            <w:tcW w:w="1621" w:type="dxa"/>
            <w:noWrap/>
            <w:hideMark/>
          </w:tcPr>
          <w:p w:rsidR="007C1B0A" w:rsidRPr="00752906" w:rsidRDefault="007C1B0A" w:rsidP="007C1B0A">
            <w:pPr>
              <w:jc w:val="center"/>
            </w:pPr>
            <w:r w:rsidRPr="00752906">
              <w:t>5.7</w:t>
            </w:r>
          </w:p>
        </w:tc>
        <w:tc>
          <w:tcPr>
            <w:tcW w:w="1759" w:type="dxa"/>
            <w:noWrap/>
            <w:hideMark/>
          </w:tcPr>
          <w:p w:rsidR="007C1B0A" w:rsidRPr="00752906" w:rsidRDefault="007C1B0A" w:rsidP="007C1B0A">
            <w:pPr>
              <w:jc w:val="center"/>
            </w:pPr>
            <w:r w:rsidRPr="00752906">
              <w:t>82.5</w:t>
            </w:r>
          </w:p>
        </w:tc>
      </w:tr>
      <w:tr w:rsidR="007C1B0A" w:rsidRPr="00752906" w:rsidTr="007C1B0A">
        <w:trPr>
          <w:trHeight w:val="303"/>
        </w:trPr>
        <w:tc>
          <w:tcPr>
            <w:tcW w:w="1370" w:type="dxa"/>
            <w:noWrap/>
            <w:hideMark/>
          </w:tcPr>
          <w:p w:rsidR="007C1B0A" w:rsidRPr="00752906" w:rsidRDefault="007C1B0A" w:rsidP="007C1B0A">
            <w:pPr>
              <w:jc w:val="center"/>
            </w:pPr>
            <w:r w:rsidRPr="00752906">
              <w:t>15</w:t>
            </w:r>
          </w:p>
        </w:tc>
        <w:tc>
          <w:tcPr>
            <w:tcW w:w="1621" w:type="dxa"/>
            <w:noWrap/>
            <w:hideMark/>
          </w:tcPr>
          <w:p w:rsidR="007C1B0A" w:rsidRPr="00752906" w:rsidRDefault="007C1B0A" w:rsidP="007C1B0A">
            <w:pPr>
              <w:jc w:val="center"/>
            </w:pPr>
            <w:r w:rsidRPr="00752906">
              <w:t>5.8</w:t>
            </w:r>
          </w:p>
        </w:tc>
        <w:tc>
          <w:tcPr>
            <w:tcW w:w="1759" w:type="dxa"/>
            <w:noWrap/>
            <w:hideMark/>
          </w:tcPr>
          <w:p w:rsidR="007C1B0A" w:rsidRPr="00752906" w:rsidRDefault="007C1B0A" w:rsidP="007C1B0A">
            <w:pPr>
              <w:jc w:val="center"/>
            </w:pPr>
            <w:r w:rsidRPr="00752906">
              <w:t>81.5</w:t>
            </w:r>
          </w:p>
        </w:tc>
      </w:tr>
      <w:tr w:rsidR="007C1B0A" w:rsidRPr="00752906" w:rsidTr="007C1B0A">
        <w:trPr>
          <w:trHeight w:val="303"/>
        </w:trPr>
        <w:tc>
          <w:tcPr>
            <w:tcW w:w="1370" w:type="dxa"/>
            <w:noWrap/>
            <w:hideMark/>
          </w:tcPr>
          <w:p w:rsidR="007C1B0A" w:rsidRPr="00752906" w:rsidRDefault="007C1B0A" w:rsidP="007C1B0A">
            <w:pPr>
              <w:jc w:val="center"/>
            </w:pPr>
            <w:r w:rsidRPr="00752906">
              <w:t>16</w:t>
            </w:r>
          </w:p>
        </w:tc>
        <w:tc>
          <w:tcPr>
            <w:tcW w:w="1621" w:type="dxa"/>
            <w:noWrap/>
            <w:hideMark/>
          </w:tcPr>
          <w:p w:rsidR="007C1B0A" w:rsidRPr="00752906" w:rsidRDefault="007C1B0A" w:rsidP="007C1B0A">
            <w:pPr>
              <w:jc w:val="center"/>
            </w:pPr>
            <w:r w:rsidRPr="00752906">
              <w:t>5.8</w:t>
            </w:r>
          </w:p>
        </w:tc>
        <w:tc>
          <w:tcPr>
            <w:tcW w:w="1759" w:type="dxa"/>
            <w:noWrap/>
            <w:hideMark/>
          </w:tcPr>
          <w:p w:rsidR="007C1B0A" w:rsidRPr="00752906" w:rsidRDefault="007C1B0A" w:rsidP="007C1B0A">
            <w:pPr>
              <w:jc w:val="center"/>
            </w:pPr>
            <w:r w:rsidRPr="00752906">
              <w:t>80.4</w:t>
            </w:r>
          </w:p>
        </w:tc>
      </w:tr>
      <w:tr w:rsidR="007C1B0A" w:rsidRPr="00752906" w:rsidTr="007C1B0A">
        <w:trPr>
          <w:trHeight w:val="303"/>
        </w:trPr>
        <w:tc>
          <w:tcPr>
            <w:tcW w:w="1370" w:type="dxa"/>
            <w:noWrap/>
            <w:hideMark/>
          </w:tcPr>
          <w:p w:rsidR="007C1B0A" w:rsidRPr="00752906" w:rsidRDefault="007C1B0A" w:rsidP="007C1B0A">
            <w:pPr>
              <w:jc w:val="center"/>
            </w:pPr>
            <w:r w:rsidRPr="00752906">
              <w:t>17</w:t>
            </w:r>
          </w:p>
        </w:tc>
        <w:tc>
          <w:tcPr>
            <w:tcW w:w="1621" w:type="dxa"/>
            <w:noWrap/>
            <w:hideMark/>
          </w:tcPr>
          <w:p w:rsidR="007C1B0A" w:rsidRPr="00752906" w:rsidRDefault="007C1B0A" w:rsidP="007C1B0A">
            <w:pPr>
              <w:jc w:val="center"/>
            </w:pPr>
            <w:r w:rsidRPr="00752906">
              <w:t>5.8</w:t>
            </w:r>
          </w:p>
        </w:tc>
        <w:tc>
          <w:tcPr>
            <w:tcW w:w="1759" w:type="dxa"/>
            <w:noWrap/>
            <w:hideMark/>
          </w:tcPr>
          <w:p w:rsidR="007C1B0A" w:rsidRPr="00752906" w:rsidRDefault="007C1B0A" w:rsidP="007C1B0A">
            <w:pPr>
              <w:jc w:val="center"/>
            </w:pPr>
            <w:r w:rsidRPr="00752906">
              <w:t>79.4</w:t>
            </w:r>
          </w:p>
        </w:tc>
      </w:tr>
      <w:tr w:rsidR="007C1B0A" w:rsidRPr="00752906" w:rsidTr="007C1B0A">
        <w:trPr>
          <w:trHeight w:val="303"/>
        </w:trPr>
        <w:tc>
          <w:tcPr>
            <w:tcW w:w="1370" w:type="dxa"/>
            <w:noWrap/>
            <w:hideMark/>
          </w:tcPr>
          <w:p w:rsidR="007C1B0A" w:rsidRPr="00752906" w:rsidRDefault="007C1B0A" w:rsidP="007C1B0A">
            <w:pPr>
              <w:jc w:val="center"/>
            </w:pPr>
            <w:r w:rsidRPr="00752906">
              <w:t>18</w:t>
            </w:r>
          </w:p>
        </w:tc>
        <w:tc>
          <w:tcPr>
            <w:tcW w:w="1621" w:type="dxa"/>
            <w:noWrap/>
            <w:hideMark/>
          </w:tcPr>
          <w:p w:rsidR="007C1B0A" w:rsidRPr="00752906" w:rsidRDefault="007C1B0A" w:rsidP="007C1B0A">
            <w:pPr>
              <w:jc w:val="center"/>
            </w:pPr>
            <w:r w:rsidRPr="00752906">
              <w:t>5.8</w:t>
            </w:r>
          </w:p>
        </w:tc>
        <w:tc>
          <w:tcPr>
            <w:tcW w:w="1759" w:type="dxa"/>
            <w:noWrap/>
            <w:hideMark/>
          </w:tcPr>
          <w:p w:rsidR="007C1B0A" w:rsidRPr="00752906" w:rsidRDefault="007C1B0A" w:rsidP="007C1B0A">
            <w:pPr>
              <w:jc w:val="center"/>
            </w:pPr>
            <w:r w:rsidRPr="00752906">
              <w:t>78.4</w:t>
            </w:r>
          </w:p>
        </w:tc>
      </w:tr>
      <w:tr w:rsidR="007C1B0A" w:rsidRPr="00752906" w:rsidTr="007C1B0A">
        <w:trPr>
          <w:trHeight w:val="303"/>
        </w:trPr>
        <w:tc>
          <w:tcPr>
            <w:tcW w:w="1370" w:type="dxa"/>
            <w:noWrap/>
            <w:hideMark/>
          </w:tcPr>
          <w:p w:rsidR="007C1B0A" w:rsidRPr="00752906" w:rsidRDefault="007C1B0A" w:rsidP="007C1B0A">
            <w:pPr>
              <w:jc w:val="center"/>
            </w:pPr>
            <w:r w:rsidRPr="00752906">
              <w:t>19</w:t>
            </w:r>
          </w:p>
        </w:tc>
        <w:tc>
          <w:tcPr>
            <w:tcW w:w="1621" w:type="dxa"/>
            <w:noWrap/>
            <w:hideMark/>
          </w:tcPr>
          <w:p w:rsidR="007C1B0A" w:rsidRPr="00752906" w:rsidRDefault="007C1B0A" w:rsidP="007C1B0A">
            <w:pPr>
              <w:jc w:val="center"/>
            </w:pPr>
            <w:r w:rsidRPr="00752906">
              <w:t>5.9</w:t>
            </w:r>
          </w:p>
        </w:tc>
        <w:tc>
          <w:tcPr>
            <w:tcW w:w="1759" w:type="dxa"/>
            <w:noWrap/>
            <w:hideMark/>
          </w:tcPr>
          <w:p w:rsidR="007C1B0A" w:rsidRPr="00752906" w:rsidRDefault="007C1B0A" w:rsidP="007C1B0A">
            <w:pPr>
              <w:jc w:val="center"/>
            </w:pPr>
            <w:r w:rsidRPr="00752906">
              <w:t>77.4</w:t>
            </w:r>
          </w:p>
        </w:tc>
      </w:tr>
      <w:tr w:rsidR="007C1B0A" w:rsidRPr="00752906" w:rsidTr="007C1B0A">
        <w:trPr>
          <w:trHeight w:val="303"/>
        </w:trPr>
        <w:tc>
          <w:tcPr>
            <w:tcW w:w="1370" w:type="dxa"/>
            <w:noWrap/>
            <w:hideMark/>
          </w:tcPr>
          <w:p w:rsidR="007C1B0A" w:rsidRPr="00752906" w:rsidRDefault="007C1B0A" w:rsidP="007C1B0A">
            <w:pPr>
              <w:jc w:val="center"/>
            </w:pPr>
            <w:r w:rsidRPr="00752906">
              <w:t>20</w:t>
            </w:r>
          </w:p>
        </w:tc>
        <w:tc>
          <w:tcPr>
            <w:tcW w:w="1621" w:type="dxa"/>
            <w:noWrap/>
            <w:hideMark/>
          </w:tcPr>
          <w:p w:rsidR="007C1B0A" w:rsidRPr="00752906" w:rsidRDefault="007C1B0A" w:rsidP="007C1B0A">
            <w:pPr>
              <w:jc w:val="center"/>
            </w:pPr>
            <w:r w:rsidRPr="00752906">
              <w:t>5.9</w:t>
            </w:r>
          </w:p>
        </w:tc>
        <w:tc>
          <w:tcPr>
            <w:tcW w:w="1759" w:type="dxa"/>
            <w:noWrap/>
            <w:hideMark/>
          </w:tcPr>
          <w:p w:rsidR="007C1B0A" w:rsidRPr="00752906" w:rsidRDefault="007C1B0A" w:rsidP="007C1B0A">
            <w:pPr>
              <w:jc w:val="center"/>
            </w:pPr>
            <w:r w:rsidRPr="00752906">
              <w:t>76.3</w:t>
            </w:r>
          </w:p>
        </w:tc>
      </w:tr>
      <w:tr w:rsidR="007C1B0A" w:rsidRPr="00752906" w:rsidTr="007C1B0A">
        <w:trPr>
          <w:trHeight w:val="303"/>
        </w:trPr>
        <w:tc>
          <w:tcPr>
            <w:tcW w:w="1370" w:type="dxa"/>
            <w:noWrap/>
            <w:hideMark/>
          </w:tcPr>
          <w:p w:rsidR="007C1B0A" w:rsidRPr="00752906" w:rsidRDefault="007C1B0A" w:rsidP="007C1B0A">
            <w:pPr>
              <w:jc w:val="center"/>
            </w:pPr>
            <w:r w:rsidRPr="00752906">
              <w:t>21</w:t>
            </w:r>
          </w:p>
        </w:tc>
        <w:tc>
          <w:tcPr>
            <w:tcW w:w="1621" w:type="dxa"/>
            <w:noWrap/>
            <w:hideMark/>
          </w:tcPr>
          <w:p w:rsidR="007C1B0A" w:rsidRPr="00752906" w:rsidRDefault="007C1B0A" w:rsidP="007C1B0A">
            <w:pPr>
              <w:jc w:val="center"/>
            </w:pPr>
            <w:r w:rsidRPr="00752906">
              <w:t>5.9</w:t>
            </w:r>
          </w:p>
        </w:tc>
        <w:tc>
          <w:tcPr>
            <w:tcW w:w="1759" w:type="dxa"/>
            <w:noWrap/>
            <w:hideMark/>
          </w:tcPr>
          <w:p w:rsidR="007C1B0A" w:rsidRPr="00752906" w:rsidRDefault="007C1B0A" w:rsidP="007C1B0A">
            <w:pPr>
              <w:jc w:val="center"/>
            </w:pPr>
            <w:r w:rsidRPr="00752906">
              <w:t>75.3</w:t>
            </w:r>
          </w:p>
        </w:tc>
      </w:tr>
      <w:tr w:rsidR="007C1B0A" w:rsidRPr="00752906" w:rsidTr="007C1B0A">
        <w:trPr>
          <w:trHeight w:val="303"/>
        </w:trPr>
        <w:tc>
          <w:tcPr>
            <w:tcW w:w="1370" w:type="dxa"/>
            <w:noWrap/>
            <w:hideMark/>
          </w:tcPr>
          <w:p w:rsidR="007C1B0A" w:rsidRPr="00752906" w:rsidRDefault="007C1B0A" w:rsidP="007C1B0A">
            <w:pPr>
              <w:jc w:val="center"/>
            </w:pPr>
            <w:r w:rsidRPr="00752906">
              <w:t>22</w:t>
            </w:r>
          </w:p>
        </w:tc>
        <w:tc>
          <w:tcPr>
            <w:tcW w:w="1621" w:type="dxa"/>
            <w:noWrap/>
            <w:hideMark/>
          </w:tcPr>
          <w:p w:rsidR="007C1B0A" w:rsidRPr="00752906" w:rsidRDefault="007C1B0A" w:rsidP="007C1B0A">
            <w:pPr>
              <w:jc w:val="center"/>
            </w:pPr>
            <w:r w:rsidRPr="00752906">
              <w:t>5.9</w:t>
            </w:r>
          </w:p>
        </w:tc>
        <w:tc>
          <w:tcPr>
            <w:tcW w:w="1759" w:type="dxa"/>
            <w:noWrap/>
            <w:hideMark/>
          </w:tcPr>
          <w:p w:rsidR="007C1B0A" w:rsidRPr="00752906" w:rsidRDefault="007C1B0A" w:rsidP="007C1B0A">
            <w:pPr>
              <w:jc w:val="center"/>
            </w:pPr>
            <w:r w:rsidRPr="00752906">
              <w:t>74.3</w:t>
            </w:r>
          </w:p>
        </w:tc>
      </w:tr>
      <w:tr w:rsidR="007C1B0A" w:rsidRPr="00752906" w:rsidTr="007C1B0A">
        <w:trPr>
          <w:trHeight w:val="303"/>
        </w:trPr>
        <w:tc>
          <w:tcPr>
            <w:tcW w:w="1370" w:type="dxa"/>
            <w:noWrap/>
            <w:hideMark/>
          </w:tcPr>
          <w:p w:rsidR="007C1B0A" w:rsidRPr="00752906" w:rsidRDefault="007C1B0A" w:rsidP="007C1B0A">
            <w:pPr>
              <w:jc w:val="center"/>
            </w:pPr>
            <w:r w:rsidRPr="00752906">
              <w:t>23</w:t>
            </w:r>
          </w:p>
        </w:tc>
        <w:tc>
          <w:tcPr>
            <w:tcW w:w="1621" w:type="dxa"/>
            <w:noWrap/>
            <w:hideMark/>
          </w:tcPr>
          <w:p w:rsidR="007C1B0A" w:rsidRPr="00752906" w:rsidRDefault="007C1B0A" w:rsidP="007C1B0A">
            <w:pPr>
              <w:jc w:val="center"/>
            </w:pPr>
            <w:r w:rsidRPr="00752906">
              <w:t>6.0</w:t>
            </w:r>
          </w:p>
        </w:tc>
        <w:tc>
          <w:tcPr>
            <w:tcW w:w="1759" w:type="dxa"/>
            <w:noWrap/>
            <w:hideMark/>
          </w:tcPr>
          <w:p w:rsidR="007C1B0A" w:rsidRPr="00752906" w:rsidRDefault="007C1B0A" w:rsidP="007C1B0A">
            <w:pPr>
              <w:jc w:val="center"/>
            </w:pPr>
            <w:r w:rsidRPr="00752906">
              <w:t>73.3</w:t>
            </w:r>
          </w:p>
        </w:tc>
      </w:tr>
      <w:tr w:rsidR="007C1B0A" w:rsidRPr="00752906" w:rsidTr="007C1B0A">
        <w:trPr>
          <w:trHeight w:val="303"/>
        </w:trPr>
        <w:tc>
          <w:tcPr>
            <w:tcW w:w="1370" w:type="dxa"/>
            <w:noWrap/>
            <w:hideMark/>
          </w:tcPr>
          <w:p w:rsidR="007C1B0A" w:rsidRPr="00752906" w:rsidRDefault="007C1B0A" w:rsidP="007C1B0A">
            <w:pPr>
              <w:jc w:val="center"/>
            </w:pPr>
            <w:r w:rsidRPr="00752906">
              <w:t>24</w:t>
            </w:r>
          </w:p>
        </w:tc>
        <w:tc>
          <w:tcPr>
            <w:tcW w:w="1621" w:type="dxa"/>
            <w:noWrap/>
            <w:hideMark/>
          </w:tcPr>
          <w:p w:rsidR="007C1B0A" w:rsidRPr="00752906" w:rsidRDefault="007C1B0A" w:rsidP="007C1B0A">
            <w:pPr>
              <w:jc w:val="center"/>
            </w:pPr>
            <w:r w:rsidRPr="00752906">
              <w:t>6.0</w:t>
            </w:r>
          </w:p>
        </w:tc>
        <w:tc>
          <w:tcPr>
            <w:tcW w:w="1759" w:type="dxa"/>
            <w:noWrap/>
            <w:hideMark/>
          </w:tcPr>
          <w:p w:rsidR="007C1B0A" w:rsidRPr="00752906" w:rsidRDefault="007C1B0A" w:rsidP="007C1B0A">
            <w:pPr>
              <w:jc w:val="center"/>
            </w:pPr>
            <w:r w:rsidRPr="00752906">
              <w:t>72.3</w:t>
            </w:r>
          </w:p>
        </w:tc>
      </w:tr>
      <w:tr w:rsidR="007C1B0A" w:rsidRPr="00752906" w:rsidTr="007C1B0A">
        <w:trPr>
          <w:trHeight w:val="303"/>
        </w:trPr>
        <w:tc>
          <w:tcPr>
            <w:tcW w:w="1370" w:type="dxa"/>
            <w:noWrap/>
            <w:hideMark/>
          </w:tcPr>
          <w:p w:rsidR="007C1B0A" w:rsidRPr="00752906" w:rsidRDefault="007C1B0A" w:rsidP="007C1B0A">
            <w:pPr>
              <w:jc w:val="center"/>
            </w:pPr>
            <w:r w:rsidRPr="00752906">
              <w:t>25</w:t>
            </w:r>
          </w:p>
        </w:tc>
        <w:tc>
          <w:tcPr>
            <w:tcW w:w="1621" w:type="dxa"/>
            <w:noWrap/>
            <w:hideMark/>
          </w:tcPr>
          <w:p w:rsidR="007C1B0A" w:rsidRPr="00752906" w:rsidRDefault="007C1B0A" w:rsidP="007C1B0A">
            <w:pPr>
              <w:jc w:val="center"/>
            </w:pPr>
            <w:r w:rsidRPr="00752906">
              <w:t>6.0</w:t>
            </w:r>
          </w:p>
        </w:tc>
        <w:tc>
          <w:tcPr>
            <w:tcW w:w="1759" w:type="dxa"/>
            <w:noWrap/>
            <w:hideMark/>
          </w:tcPr>
          <w:p w:rsidR="007C1B0A" w:rsidRPr="00752906" w:rsidRDefault="007C1B0A" w:rsidP="007C1B0A">
            <w:pPr>
              <w:jc w:val="center"/>
            </w:pPr>
            <w:r w:rsidRPr="00752906">
              <w:t>71.2</w:t>
            </w:r>
          </w:p>
        </w:tc>
      </w:tr>
      <w:tr w:rsidR="007C1B0A" w:rsidRPr="00752906" w:rsidTr="007C1B0A">
        <w:trPr>
          <w:trHeight w:val="303"/>
        </w:trPr>
        <w:tc>
          <w:tcPr>
            <w:tcW w:w="1370" w:type="dxa"/>
            <w:noWrap/>
            <w:hideMark/>
          </w:tcPr>
          <w:p w:rsidR="007C1B0A" w:rsidRPr="00752906" w:rsidRDefault="007C1B0A" w:rsidP="007C1B0A">
            <w:pPr>
              <w:jc w:val="center"/>
            </w:pPr>
            <w:r w:rsidRPr="00752906">
              <w:t>26</w:t>
            </w:r>
          </w:p>
        </w:tc>
        <w:tc>
          <w:tcPr>
            <w:tcW w:w="1621" w:type="dxa"/>
            <w:noWrap/>
            <w:hideMark/>
          </w:tcPr>
          <w:p w:rsidR="007C1B0A" w:rsidRPr="00752906" w:rsidRDefault="007C1B0A" w:rsidP="007C1B0A">
            <w:pPr>
              <w:jc w:val="center"/>
            </w:pPr>
            <w:r w:rsidRPr="00752906">
              <w:t>6.0</w:t>
            </w:r>
          </w:p>
        </w:tc>
        <w:tc>
          <w:tcPr>
            <w:tcW w:w="1759" w:type="dxa"/>
            <w:noWrap/>
            <w:hideMark/>
          </w:tcPr>
          <w:p w:rsidR="007C1B0A" w:rsidRPr="00752906" w:rsidRDefault="007C1B0A" w:rsidP="007C1B0A">
            <w:pPr>
              <w:jc w:val="center"/>
            </w:pPr>
            <w:r w:rsidRPr="00752906">
              <w:t>70.2</w:t>
            </w:r>
          </w:p>
        </w:tc>
      </w:tr>
      <w:tr w:rsidR="007C1B0A" w:rsidRPr="00752906" w:rsidTr="007C1B0A">
        <w:trPr>
          <w:trHeight w:val="303"/>
        </w:trPr>
        <w:tc>
          <w:tcPr>
            <w:tcW w:w="1370" w:type="dxa"/>
            <w:noWrap/>
            <w:hideMark/>
          </w:tcPr>
          <w:p w:rsidR="007C1B0A" w:rsidRPr="00752906" w:rsidRDefault="007C1B0A" w:rsidP="007C1B0A">
            <w:pPr>
              <w:jc w:val="center"/>
            </w:pPr>
            <w:r w:rsidRPr="00752906">
              <w:t>27</w:t>
            </w:r>
          </w:p>
        </w:tc>
        <w:tc>
          <w:tcPr>
            <w:tcW w:w="1621" w:type="dxa"/>
            <w:noWrap/>
            <w:hideMark/>
          </w:tcPr>
          <w:p w:rsidR="007C1B0A" w:rsidRPr="00752906" w:rsidRDefault="007C1B0A" w:rsidP="007C1B0A">
            <w:pPr>
              <w:jc w:val="center"/>
            </w:pPr>
            <w:r w:rsidRPr="00752906">
              <w:t>6.1</w:t>
            </w:r>
          </w:p>
        </w:tc>
        <w:tc>
          <w:tcPr>
            <w:tcW w:w="1759" w:type="dxa"/>
            <w:noWrap/>
            <w:hideMark/>
          </w:tcPr>
          <w:p w:rsidR="007C1B0A" w:rsidRPr="00752906" w:rsidRDefault="007C1B0A" w:rsidP="007C1B0A">
            <w:pPr>
              <w:jc w:val="center"/>
            </w:pPr>
            <w:r w:rsidRPr="00752906">
              <w:t>69.2</w:t>
            </w:r>
          </w:p>
        </w:tc>
      </w:tr>
    </w:tbl>
    <w:p w:rsidR="007C1B0A" w:rsidRPr="009D4EBE" w:rsidRDefault="007C1B0A" w:rsidP="00BF226F">
      <w:pPr>
        <w:pStyle w:val="SingleTxtG"/>
        <w:spacing w:before="120"/>
        <w:jc w:val="center"/>
        <w:rPr>
          <w:i/>
        </w:rPr>
      </w:pPr>
      <w:r w:rsidRPr="009D4EBE">
        <w:rPr>
          <w:i/>
        </w:rPr>
        <w:t>Table 1: Values of K used for Figure 1, deduced by inverse calculation</w:t>
      </w:r>
    </w:p>
    <w:p w:rsidR="007C1B0A" w:rsidRPr="00752906" w:rsidRDefault="007C1B0A" w:rsidP="007C1B0A">
      <w:pPr>
        <w:pStyle w:val="SingleTxtG"/>
        <w:rPr>
          <w:u w:val="single"/>
        </w:rPr>
      </w:pPr>
      <w:r w:rsidRPr="00752906">
        <w:rPr>
          <w:u w:val="single"/>
        </w:rPr>
        <w:t>Probability of occurrence of an accident</w:t>
      </w:r>
    </w:p>
    <w:p w:rsidR="007C1B0A" w:rsidRPr="00752906" w:rsidRDefault="007C1B0A" w:rsidP="007C1B0A">
      <w:pPr>
        <w:pStyle w:val="SingleTxtG"/>
      </w:pPr>
      <w:r w:rsidRPr="00752906">
        <w:t>As mentioned earlier, the probability of the occurrence of an accident will decrease or increase in the same measure as the time of presence on the road decreases or increases. Since EX III trucks are used for supply deliveries between factories and magazines, or between magazines, they are normally fully loaded, so the probability of occurrence of an accident will be reduced in the same measure as the number of trips needed to transport the same quantity. These values are shown in the table below (Table 2).</w:t>
      </w:r>
    </w:p>
    <w:p w:rsidR="007C1B0A" w:rsidRPr="00752906" w:rsidRDefault="007C1B0A" w:rsidP="007C1B0A">
      <w:pPr>
        <w:jc w:val="both"/>
      </w:pPr>
    </w:p>
    <w:tbl>
      <w:tblPr>
        <w:tblStyle w:val="TableGrid"/>
        <w:tblW w:w="0" w:type="auto"/>
        <w:tblInd w:w="2328" w:type="dxa"/>
        <w:tblLook w:val="04A0" w:firstRow="1" w:lastRow="0" w:firstColumn="1" w:lastColumn="0" w:noHBand="0" w:noVBand="1"/>
      </w:tblPr>
      <w:tblGrid>
        <w:gridCol w:w="1848"/>
        <w:gridCol w:w="2021"/>
      </w:tblGrid>
      <w:tr w:rsidR="007C1B0A" w:rsidRPr="00752906" w:rsidTr="007C1B0A">
        <w:trPr>
          <w:trHeight w:val="615"/>
        </w:trPr>
        <w:tc>
          <w:tcPr>
            <w:tcW w:w="1848" w:type="dxa"/>
            <w:noWrap/>
            <w:hideMark/>
          </w:tcPr>
          <w:p w:rsidR="007C1B0A" w:rsidRPr="00752906" w:rsidRDefault="007C1B0A" w:rsidP="00BF226F">
            <w:pPr>
              <w:jc w:val="center"/>
              <w:rPr>
                <w:b/>
              </w:rPr>
            </w:pPr>
            <w:r w:rsidRPr="00752906">
              <w:rPr>
                <w:b/>
                <w:bCs/>
              </w:rPr>
              <w:t>Increase of tons per trip</w:t>
            </w:r>
          </w:p>
        </w:tc>
        <w:tc>
          <w:tcPr>
            <w:tcW w:w="2021" w:type="dxa"/>
            <w:hideMark/>
          </w:tcPr>
          <w:p w:rsidR="007C1B0A" w:rsidRPr="00752906" w:rsidRDefault="007C1B0A" w:rsidP="00BF226F">
            <w:pPr>
              <w:jc w:val="center"/>
              <w:rPr>
                <w:b/>
              </w:rPr>
            </w:pPr>
            <w:r w:rsidRPr="00752906">
              <w:rPr>
                <w:b/>
                <w:bCs/>
              </w:rPr>
              <w:t xml:space="preserve">% </w:t>
            </w:r>
            <w:r w:rsidR="00BF226F">
              <w:rPr>
                <w:b/>
                <w:bCs/>
              </w:rPr>
              <w:t xml:space="preserve">decrease </w:t>
            </w:r>
            <w:r w:rsidRPr="00752906">
              <w:rPr>
                <w:b/>
                <w:bCs/>
              </w:rPr>
              <w:t>number of trips</w:t>
            </w:r>
          </w:p>
        </w:tc>
      </w:tr>
      <w:tr w:rsidR="007C1B0A" w:rsidRPr="00752906" w:rsidTr="007C1B0A">
        <w:trPr>
          <w:trHeight w:val="300"/>
        </w:trPr>
        <w:tc>
          <w:tcPr>
            <w:tcW w:w="1848" w:type="dxa"/>
            <w:noWrap/>
            <w:hideMark/>
          </w:tcPr>
          <w:p w:rsidR="007C1B0A" w:rsidRPr="00752906" w:rsidRDefault="007C1B0A" w:rsidP="007C1B0A">
            <w:pPr>
              <w:jc w:val="both"/>
            </w:pPr>
            <w:r w:rsidRPr="00752906">
              <w:t>from 16 to 17</w:t>
            </w:r>
          </w:p>
        </w:tc>
        <w:tc>
          <w:tcPr>
            <w:tcW w:w="2021" w:type="dxa"/>
            <w:noWrap/>
            <w:hideMark/>
          </w:tcPr>
          <w:p w:rsidR="007C1B0A" w:rsidRPr="00752906" w:rsidRDefault="007C1B0A" w:rsidP="007C1B0A">
            <w:pPr>
              <w:ind w:left="720"/>
              <w:jc w:val="both"/>
            </w:pPr>
            <w:r w:rsidRPr="00752906">
              <w:t>5.88</w:t>
            </w:r>
          </w:p>
        </w:tc>
      </w:tr>
      <w:tr w:rsidR="007C1B0A" w:rsidRPr="00752906" w:rsidTr="007C1B0A">
        <w:trPr>
          <w:trHeight w:val="300"/>
        </w:trPr>
        <w:tc>
          <w:tcPr>
            <w:tcW w:w="1848" w:type="dxa"/>
            <w:noWrap/>
            <w:hideMark/>
          </w:tcPr>
          <w:p w:rsidR="007C1B0A" w:rsidRPr="00752906" w:rsidRDefault="007C1B0A" w:rsidP="007C1B0A">
            <w:pPr>
              <w:jc w:val="both"/>
            </w:pPr>
            <w:r w:rsidRPr="00752906">
              <w:t>from 16 to 18</w:t>
            </w:r>
          </w:p>
        </w:tc>
        <w:tc>
          <w:tcPr>
            <w:tcW w:w="2021" w:type="dxa"/>
            <w:noWrap/>
            <w:hideMark/>
          </w:tcPr>
          <w:p w:rsidR="007C1B0A" w:rsidRPr="00752906" w:rsidRDefault="007C1B0A" w:rsidP="007C1B0A">
            <w:pPr>
              <w:ind w:left="720"/>
              <w:jc w:val="both"/>
            </w:pPr>
            <w:r w:rsidRPr="00752906">
              <w:t>11.11</w:t>
            </w:r>
          </w:p>
        </w:tc>
      </w:tr>
      <w:tr w:rsidR="007C1B0A" w:rsidRPr="00752906" w:rsidTr="007C1B0A">
        <w:trPr>
          <w:trHeight w:val="300"/>
        </w:trPr>
        <w:tc>
          <w:tcPr>
            <w:tcW w:w="1848" w:type="dxa"/>
            <w:noWrap/>
            <w:hideMark/>
          </w:tcPr>
          <w:p w:rsidR="007C1B0A" w:rsidRPr="00752906" w:rsidRDefault="007C1B0A" w:rsidP="007C1B0A">
            <w:pPr>
              <w:jc w:val="both"/>
            </w:pPr>
            <w:r w:rsidRPr="00752906">
              <w:t>from 16 to 19</w:t>
            </w:r>
          </w:p>
        </w:tc>
        <w:tc>
          <w:tcPr>
            <w:tcW w:w="2021" w:type="dxa"/>
            <w:noWrap/>
            <w:hideMark/>
          </w:tcPr>
          <w:p w:rsidR="007C1B0A" w:rsidRPr="00752906" w:rsidRDefault="007C1B0A" w:rsidP="007C1B0A">
            <w:pPr>
              <w:ind w:left="720"/>
              <w:jc w:val="both"/>
            </w:pPr>
            <w:r w:rsidRPr="00752906">
              <w:t>15.79</w:t>
            </w:r>
          </w:p>
        </w:tc>
      </w:tr>
      <w:tr w:rsidR="007C1B0A" w:rsidRPr="00752906" w:rsidTr="007C1B0A">
        <w:trPr>
          <w:trHeight w:val="300"/>
        </w:trPr>
        <w:tc>
          <w:tcPr>
            <w:tcW w:w="1848" w:type="dxa"/>
            <w:noWrap/>
            <w:hideMark/>
          </w:tcPr>
          <w:p w:rsidR="007C1B0A" w:rsidRPr="00752906" w:rsidRDefault="007C1B0A" w:rsidP="007C1B0A">
            <w:pPr>
              <w:jc w:val="both"/>
            </w:pPr>
            <w:r w:rsidRPr="00752906">
              <w:t>from 16 to 20</w:t>
            </w:r>
          </w:p>
        </w:tc>
        <w:tc>
          <w:tcPr>
            <w:tcW w:w="2021" w:type="dxa"/>
            <w:noWrap/>
            <w:hideMark/>
          </w:tcPr>
          <w:p w:rsidR="007C1B0A" w:rsidRPr="00752906" w:rsidRDefault="007C1B0A" w:rsidP="007C1B0A">
            <w:pPr>
              <w:ind w:left="720"/>
              <w:jc w:val="both"/>
            </w:pPr>
            <w:r w:rsidRPr="00752906">
              <w:t>20.00</w:t>
            </w:r>
          </w:p>
        </w:tc>
      </w:tr>
      <w:tr w:rsidR="007C1B0A" w:rsidRPr="00752906" w:rsidTr="007C1B0A">
        <w:trPr>
          <w:trHeight w:val="300"/>
        </w:trPr>
        <w:tc>
          <w:tcPr>
            <w:tcW w:w="1848" w:type="dxa"/>
            <w:noWrap/>
            <w:hideMark/>
          </w:tcPr>
          <w:p w:rsidR="007C1B0A" w:rsidRPr="00752906" w:rsidRDefault="007C1B0A" w:rsidP="007C1B0A">
            <w:pPr>
              <w:jc w:val="both"/>
            </w:pPr>
            <w:r w:rsidRPr="00752906">
              <w:t>from 16 to 21</w:t>
            </w:r>
          </w:p>
        </w:tc>
        <w:tc>
          <w:tcPr>
            <w:tcW w:w="2021" w:type="dxa"/>
            <w:noWrap/>
            <w:hideMark/>
          </w:tcPr>
          <w:p w:rsidR="007C1B0A" w:rsidRPr="00752906" w:rsidRDefault="007C1B0A" w:rsidP="007C1B0A">
            <w:pPr>
              <w:ind w:left="720"/>
              <w:jc w:val="both"/>
            </w:pPr>
            <w:r w:rsidRPr="00752906">
              <w:t>23.81</w:t>
            </w:r>
          </w:p>
        </w:tc>
      </w:tr>
      <w:tr w:rsidR="007C1B0A" w:rsidRPr="00752906" w:rsidTr="007C1B0A">
        <w:trPr>
          <w:trHeight w:val="300"/>
        </w:trPr>
        <w:tc>
          <w:tcPr>
            <w:tcW w:w="1848" w:type="dxa"/>
            <w:noWrap/>
            <w:hideMark/>
          </w:tcPr>
          <w:p w:rsidR="007C1B0A" w:rsidRPr="00752906" w:rsidRDefault="007C1B0A" w:rsidP="007C1B0A">
            <w:pPr>
              <w:jc w:val="both"/>
            </w:pPr>
            <w:r w:rsidRPr="00752906">
              <w:t>from 16 to 22</w:t>
            </w:r>
          </w:p>
        </w:tc>
        <w:tc>
          <w:tcPr>
            <w:tcW w:w="2021" w:type="dxa"/>
            <w:noWrap/>
            <w:hideMark/>
          </w:tcPr>
          <w:p w:rsidR="007C1B0A" w:rsidRPr="00752906" w:rsidRDefault="007C1B0A" w:rsidP="007C1B0A">
            <w:pPr>
              <w:ind w:left="720"/>
              <w:jc w:val="both"/>
            </w:pPr>
            <w:r w:rsidRPr="00752906">
              <w:t>27.27</w:t>
            </w:r>
          </w:p>
        </w:tc>
      </w:tr>
      <w:tr w:rsidR="007C1B0A" w:rsidRPr="00752906" w:rsidTr="007C1B0A">
        <w:trPr>
          <w:trHeight w:val="300"/>
        </w:trPr>
        <w:tc>
          <w:tcPr>
            <w:tcW w:w="1848" w:type="dxa"/>
            <w:noWrap/>
            <w:hideMark/>
          </w:tcPr>
          <w:p w:rsidR="007C1B0A" w:rsidRPr="00752906" w:rsidRDefault="007C1B0A" w:rsidP="007C1B0A">
            <w:pPr>
              <w:jc w:val="both"/>
            </w:pPr>
            <w:r w:rsidRPr="00752906">
              <w:t>from 16 to 23</w:t>
            </w:r>
          </w:p>
        </w:tc>
        <w:tc>
          <w:tcPr>
            <w:tcW w:w="2021" w:type="dxa"/>
            <w:noWrap/>
            <w:hideMark/>
          </w:tcPr>
          <w:p w:rsidR="007C1B0A" w:rsidRPr="00752906" w:rsidRDefault="007C1B0A" w:rsidP="007C1B0A">
            <w:pPr>
              <w:ind w:left="720"/>
              <w:jc w:val="both"/>
            </w:pPr>
            <w:r w:rsidRPr="00752906">
              <w:t>30.43</w:t>
            </w:r>
          </w:p>
        </w:tc>
      </w:tr>
      <w:tr w:rsidR="007C1B0A" w:rsidRPr="00752906" w:rsidTr="007C1B0A">
        <w:trPr>
          <w:trHeight w:val="300"/>
        </w:trPr>
        <w:tc>
          <w:tcPr>
            <w:tcW w:w="1848" w:type="dxa"/>
            <w:noWrap/>
            <w:hideMark/>
          </w:tcPr>
          <w:p w:rsidR="007C1B0A" w:rsidRPr="00752906" w:rsidRDefault="007C1B0A" w:rsidP="007C1B0A">
            <w:pPr>
              <w:jc w:val="both"/>
            </w:pPr>
            <w:r w:rsidRPr="00752906">
              <w:t>from 16 to 24</w:t>
            </w:r>
          </w:p>
        </w:tc>
        <w:tc>
          <w:tcPr>
            <w:tcW w:w="2021" w:type="dxa"/>
            <w:noWrap/>
            <w:hideMark/>
          </w:tcPr>
          <w:p w:rsidR="007C1B0A" w:rsidRPr="00752906" w:rsidRDefault="007C1B0A" w:rsidP="007C1B0A">
            <w:pPr>
              <w:ind w:left="720"/>
              <w:jc w:val="both"/>
            </w:pPr>
            <w:r w:rsidRPr="00752906">
              <w:t>33.33</w:t>
            </w:r>
          </w:p>
        </w:tc>
      </w:tr>
      <w:tr w:rsidR="007C1B0A" w:rsidRPr="00752906" w:rsidTr="007C1B0A">
        <w:trPr>
          <w:trHeight w:val="300"/>
        </w:trPr>
        <w:tc>
          <w:tcPr>
            <w:tcW w:w="1848" w:type="dxa"/>
            <w:noWrap/>
            <w:hideMark/>
          </w:tcPr>
          <w:p w:rsidR="007C1B0A" w:rsidRPr="00752906" w:rsidRDefault="007C1B0A" w:rsidP="007C1B0A">
            <w:pPr>
              <w:jc w:val="both"/>
            </w:pPr>
            <w:r w:rsidRPr="00752906">
              <w:t>from 16 to 25</w:t>
            </w:r>
          </w:p>
        </w:tc>
        <w:tc>
          <w:tcPr>
            <w:tcW w:w="2021" w:type="dxa"/>
            <w:noWrap/>
            <w:hideMark/>
          </w:tcPr>
          <w:p w:rsidR="007C1B0A" w:rsidRPr="00752906" w:rsidRDefault="007C1B0A" w:rsidP="007C1B0A">
            <w:pPr>
              <w:ind w:left="720"/>
              <w:jc w:val="both"/>
            </w:pPr>
            <w:r w:rsidRPr="00752906">
              <w:t>36.00</w:t>
            </w:r>
          </w:p>
        </w:tc>
      </w:tr>
    </w:tbl>
    <w:p w:rsidR="007C1B0A" w:rsidRPr="009D4EBE" w:rsidRDefault="007C1B0A" w:rsidP="00BF226F">
      <w:pPr>
        <w:pStyle w:val="SingleTxtG"/>
        <w:spacing w:before="120"/>
        <w:jc w:val="center"/>
        <w:rPr>
          <w:i/>
        </w:rPr>
      </w:pPr>
      <w:r w:rsidRPr="009D4EBE">
        <w:rPr>
          <w:i/>
        </w:rPr>
        <w:t>Table 2. Decrease of probability of occurrence of an accident (directly related to the decrease of number of trips) with increase of the transported t</w:t>
      </w:r>
    </w:p>
    <w:p w:rsidR="007C1B0A" w:rsidRPr="00752906" w:rsidRDefault="007C1B0A" w:rsidP="00BF226F">
      <w:pPr>
        <w:pStyle w:val="SingleTxtG"/>
        <w:keepNext/>
        <w:rPr>
          <w:u w:val="single"/>
        </w:rPr>
      </w:pPr>
      <w:r w:rsidRPr="00752906">
        <w:rPr>
          <w:u w:val="single"/>
        </w:rPr>
        <w:lastRenderedPageBreak/>
        <w:t>Influence of explosion</w:t>
      </w:r>
    </w:p>
    <w:p w:rsidR="007C1B0A" w:rsidRPr="0031709F" w:rsidRDefault="007C1B0A" w:rsidP="00BF226F">
      <w:pPr>
        <w:pStyle w:val="SingleTxtG"/>
        <w:keepNext/>
      </w:pPr>
      <w:r w:rsidRPr="00752906">
        <w:t>With the values specified in tables 1 and 2 above, and by applying the formula for the calculation of distances</w:t>
      </w:r>
      <w:r>
        <w:t xml:space="preserve"> influences by </w:t>
      </w:r>
      <w:r w:rsidR="00BF226F">
        <w:t>an</w:t>
      </w:r>
      <w:r w:rsidRPr="00752906">
        <w:t xml:space="preserve"> explosion (D = K * Q 1/3), the </w:t>
      </w:r>
      <w:r w:rsidRPr="0031709F">
        <w:t>following figures are obtained.</w:t>
      </w:r>
    </w:p>
    <w:tbl>
      <w:tblPr>
        <w:tblStyle w:val="TableGrid"/>
        <w:tblW w:w="8364" w:type="dxa"/>
        <w:tblInd w:w="675" w:type="dxa"/>
        <w:tblLook w:val="04A0" w:firstRow="1" w:lastRow="0" w:firstColumn="1" w:lastColumn="0" w:noHBand="0" w:noVBand="1"/>
      </w:tblPr>
      <w:tblGrid>
        <w:gridCol w:w="992"/>
        <w:gridCol w:w="1418"/>
        <w:gridCol w:w="1134"/>
        <w:gridCol w:w="1276"/>
        <w:gridCol w:w="1276"/>
        <w:gridCol w:w="992"/>
        <w:gridCol w:w="1276"/>
      </w:tblGrid>
      <w:tr w:rsidR="007C1B0A" w:rsidRPr="00752906" w:rsidTr="007C1B0A">
        <w:trPr>
          <w:trHeight w:val="915"/>
        </w:trPr>
        <w:tc>
          <w:tcPr>
            <w:tcW w:w="992" w:type="dxa"/>
            <w:noWrap/>
            <w:hideMark/>
          </w:tcPr>
          <w:p w:rsidR="007C1B0A" w:rsidRPr="00752906" w:rsidRDefault="007C1B0A" w:rsidP="007C1B0A">
            <w:pPr>
              <w:jc w:val="center"/>
              <w:rPr>
                <w:b/>
                <w:sz w:val="16"/>
                <w:szCs w:val="16"/>
              </w:rPr>
            </w:pPr>
            <w:r w:rsidRPr="00752906">
              <w:rPr>
                <w:b/>
                <w:bCs/>
                <w:sz w:val="16"/>
                <w:szCs w:val="16"/>
              </w:rPr>
              <w:t>Tons</w:t>
            </w:r>
          </w:p>
        </w:tc>
        <w:tc>
          <w:tcPr>
            <w:tcW w:w="1418" w:type="dxa"/>
            <w:hideMark/>
          </w:tcPr>
          <w:p w:rsidR="007C1B0A" w:rsidRPr="00752906" w:rsidRDefault="007C1B0A" w:rsidP="007C1B0A">
            <w:pPr>
              <w:jc w:val="center"/>
              <w:rPr>
                <w:b/>
                <w:sz w:val="16"/>
                <w:szCs w:val="16"/>
              </w:rPr>
            </w:pPr>
            <w:r w:rsidRPr="00752906">
              <w:rPr>
                <w:b/>
                <w:bCs/>
                <w:sz w:val="16"/>
                <w:szCs w:val="16"/>
              </w:rPr>
              <w:t xml:space="preserve">Radius </w:t>
            </w:r>
            <w:r>
              <w:rPr>
                <w:b/>
                <w:bCs/>
                <w:sz w:val="16"/>
                <w:szCs w:val="16"/>
              </w:rPr>
              <w:t xml:space="preserve">of </w:t>
            </w:r>
            <w:r w:rsidRPr="00752906">
              <w:rPr>
                <w:b/>
                <w:bCs/>
                <w:sz w:val="16"/>
                <w:szCs w:val="16"/>
              </w:rPr>
              <w:t>lethal area</w:t>
            </w:r>
            <w:r w:rsidRPr="00752906">
              <w:rPr>
                <w:sz w:val="16"/>
                <w:szCs w:val="16"/>
              </w:rPr>
              <w:br/>
            </w:r>
            <w:r w:rsidRPr="00752906">
              <w:rPr>
                <w:b/>
                <w:bCs/>
                <w:sz w:val="16"/>
                <w:szCs w:val="16"/>
              </w:rPr>
              <w:t>for 16 t</w:t>
            </w:r>
          </w:p>
          <w:p w:rsidR="007C1B0A" w:rsidRPr="00752906" w:rsidRDefault="007C1B0A" w:rsidP="007C1B0A">
            <w:pPr>
              <w:jc w:val="center"/>
              <w:rPr>
                <w:b/>
                <w:sz w:val="16"/>
                <w:szCs w:val="16"/>
              </w:rPr>
            </w:pPr>
            <w:r w:rsidRPr="00752906">
              <w:rPr>
                <w:b/>
                <w:bCs/>
                <w:sz w:val="16"/>
                <w:szCs w:val="16"/>
              </w:rPr>
              <w:t>(m)</w:t>
            </w:r>
          </w:p>
        </w:tc>
        <w:tc>
          <w:tcPr>
            <w:tcW w:w="1134" w:type="dxa"/>
            <w:hideMark/>
          </w:tcPr>
          <w:p w:rsidR="007C1B0A" w:rsidRPr="00752906" w:rsidRDefault="007C1B0A" w:rsidP="007C1B0A">
            <w:pPr>
              <w:jc w:val="center"/>
              <w:rPr>
                <w:b/>
                <w:sz w:val="16"/>
                <w:szCs w:val="16"/>
              </w:rPr>
            </w:pPr>
            <w:r w:rsidRPr="00752906">
              <w:rPr>
                <w:b/>
                <w:bCs/>
                <w:sz w:val="16"/>
                <w:szCs w:val="16"/>
              </w:rPr>
              <w:t xml:space="preserve">Radius </w:t>
            </w:r>
            <w:r>
              <w:rPr>
                <w:b/>
                <w:bCs/>
                <w:sz w:val="16"/>
                <w:szCs w:val="16"/>
              </w:rPr>
              <w:t xml:space="preserve">of </w:t>
            </w:r>
            <w:r w:rsidRPr="00752906">
              <w:rPr>
                <w:b/>
                <w:bCs/>
                <w:sz w:val="16"/>
                <w:szCs w:val="16"/>
              </w:rPr>
              <w:t xml:space="preserve">lethal area </w:t>
            </w:r>
            <w:r w:rsidRPr="00752906">
              <w:rPr>
                <w:sz w:val="16"/>
                <w:szCs w:val="16"/>
              </w:rPr>
              <w:br/>
            </w:r>
            <w:r w:rsidRPr="00752906">
              <w:rPr>
                <w:b/>
                <w:bCs/>
                <w:sz w:val="16"/>
                <w:szCs w:val="16"/>
              </w:rPr>
              <w:t>for the increase</w:t>
            </w:r>
          </w:p>
          <w:p w:rsidR="007C1B0A" w:rsidRPr="00752906" w:rsidRDefault="007C1B0A" w:rsidP="007C1B0A">
            <w:pPr>
              <w:jc w:val="center"/>
              <w:rPr>
                <w:b/>
                <w:sz w:val="16"/>
                <w:szCs w:val="16"/>
              </w:rPr>
            </w:pPr>
            <w:r w:rsidRPr="00752906">
              <w:rPr>
                <w:b/>
                <w:bCs/>
                <w:sz w:val="16"/>
                <w:szCs w:val="16"/>
              </w:rPr>
              <w:t>(m)</w:t>
            </w:r>
          </w:p>
        </w:tc>
        <w:tc>
          <w:tcPr>
            <w:tcW w:w="1276" w:type="dxa"/>
            <w:hideMark/>
          </w:tcPr>
          <w:p w:rsidR="007C1B0A" w:rsidRPr="00E31ED4" w:rsidRDefault="007C1B0A" w:rsidP="007C1B0A">
            <w:pPr>
              <w:jc w:val="center"/>
              <w:rPr>
                <w:b/>
                <w:bCs/>
                <w:sz w:val="16"/>
                <w:szCs w:val="16"/>
              </w:rPr>
            </w:pPr>
            <w:r>
              <w:rPr>
                <w:b/>
                <w:bCs/>
                <w:sz w:val="16"/>
                <w:szCs w:val="16"/>
              </w:rPr>
              <w:t>Lethal area</w:t>
            </w:r>
            <w:r w:rsidRPr="00752906">
              <w:rPr>
                <w:sz w:val="16"/>
                <w:szCs w:val="16"/>
              </w:rPr>
              <w:br/>
            </w:r>
            <w:r w:rsidRPr="00752906">
              <w:rPr>
                <w:b/>
                <w:bCs/>
                <w:sz w:val="16"/>
                <w:szCs w:val="16"/>
              </w:rPr>
              <w:t>for 16 t</w:t>
            </w:r>
          </w:p>
          <w:p w:rsidR="007C1B0A" w:rsidRPr="00752906" w:rsidRDefault="007C1B0A" w:rsidP="007C1B0A">
            <w:pPr>
              <w:jc w:val="center"/>
              <w:rPr>
                <w:b/>
                <w:sz w:val="16"/>
                <w:szCs w:val="16"/>
              </w:rPr>
            </w:pPr>
          </w:p>
          <w:p w:rsidR="007C1B0A" w:rsidRPr="00752906" w:rsidRDefault="007C1B0A" w:rsidP="007C1B0A">
            <w:pPr>
              <w:jc w:val="center"/>
              <w:rPr>
                <w:b/>
                <w:sz w:val="16"/>
                <w:szCs w:val="16"/>
              </w:rPr>
            </w:pPr>
            <w:r w:rsidRPr="00752906">
              <w:rPr>
                <w:b/>
                <w:bCs/>
                <w:sz w:val="16"/>
                <w:szCs w:val="16"/>
              </w:rPr>
              <w:t>(m2)</w:t>
            </w:r>
          </w:p>
        </w:tc>
        <w:tc>
          <w:tcPr>
            <w:tcW w:w="1276" w:type="dxa"/>
            <w:hideMark/>
          </w:tcPr>
          <w:p w:rsidR="007C1B0A" w:rsidRPr="00752906" w:rsidRDefault="007C1B0A" w:rsidP="007C1B0A">
            <w:pPr>
              <w:jc w:val="center"/>
              <w:rPr>
                <w:b/>
                <w:sz w:val="16"/>
                <w:szCs w:val="16"/>
              </w:rPr>
            </w:pPr>
            <w:r>
              <w:rPr>
                <w:b/>
                <w:bCs/>
                <w:sz w:val="16"/>
                <w:szCs w:val="16"/>
              </w:rPr>
              <w:t xml:space="preserve">Lethal area </w:t>
            </w:r>
            <w:r w:rsidRPr="00752906">
              <w:rPr>
                <w:b/>
                <w:bCs/>
                <w:sz w:val="16"/>
                <w:szCs w:val="16"/>
              </w:rPr>
              <w:t>for the</w:t>
            </w:r>
            <w:r w:rsidRPr="00752906">
              <w:rPr>
                <w:sz w:val="16"/>
                <w:szCs w:val="16"/>
              </w:rPr>
              <w:br/>
            </w:r>
            <w:r w:rsidRPr="00752906">
              <w:rPr>
                <w:b/>
                <w:bCs/>
                <w:sz w:val="16"/>
                <w:szCs w:val="16"/>
              </w:rPr>
              <w:t>increase</w:t>
            </w:r>
          </w:p>
          <w:p w:rsidR="007C1B0A" w:rsidRPr="00752906" w:rsidRDefault="007C1B0A" w:rsidP="007C1B0A">
            <w:pPr>
              <w:jc w:val="center"/>
              <w:rPr>
                <w:b/>
                <w:sz w:val="16"/>
                <w:szCs w:val="16"/>
              </w:rPr>
            </w:pPr>
            <w:r w:rsidRPr="00752906">
              <w:rPr>
                <w:b/>
                <w:bCs/>
                <w:sz w:val="16"/>
                <w:szCs w:val="16"/>
              </w:rPr>
              <w:t>(m2)</w:t>
            </w:r>
          </w:p>
        </w:tc>
        <w:tc>
          <w:tcPr>
            <w:tcW w:w="992" w:type="dxa"/>
            <w:hideMark/>
          </w:tcPr>
          <w:p w:rsidR="007C1B0A" w:rsidRPr="00752906" w:rsidRDefault="007C1B0A" w:rsidP="007C1B0A">
            <w:pPr>
              <w:jc w:val="center"/>
              <w:rPr>
                <w:b/>
                <w:sz w:val="16"/>
                <w:szCs w:val="16"/>
              </w:rPr>
            </w:pPr>
            <w:r w:rsidRPr="00752906">
              <w:rPr>
                <w:b/>
                <w:bCs/>
                <w:sz w:val="16"/>
                <w:szCs w:val="16"/>
              </w:rPr>
              <w:t xml:space="preserve">Corrected </w:t>
            </w:r>
            <w:r>
              <w:rPr>
                <w:b/>
                <w:bCs/>
                <w:sz w:val="16"/>
                <w:szCs w:val="16"/>
              </w:rPr>
              <w:t>area</w:t>
            </w:r>
          </w:p>
          <w:p w:rsidR="007C1B0A" w:rsidRPr="00752906" w:rsidRDefault="007C1B0A" w:rsidP="007C1B0A">
            <w:pPr>
              <w:jc w:val="center"/>
              <w:rPr>
                <w:b/>
                <w:sz w:val="16"/>
                <w:szCs w:val="16"/>
              </w:rPr>
            </w:pPr>
            <w:r w:rsidRPr="00752906">
              <w:rPr>
                <w:b/>
                <w:bCs/>
                <w:sz w:val="16"/>
                <w:szCs w:val="16"/>
              </w:rPr>
              <w:t>for the increase</w:t>
            </w:r>
          </w:p>
        </w:tc>
        <w:tc>
          <w:tcPr>
            <w:tcW w:w="1276" w:type="dxa"/>
          </w:tcPr>
          <w:p w:rsidR="007C1B0A" w:rsidRPr="00752906" w:rsidRDefault="007C1B0A" w:rsidP="007C1B0A">
            <w:pPr>
              <w:jc w:val="center"/>
              <w:rPr>
                <w:b/>
                <w:sz w:val="16"/>
                <w:szCs w:val="16"/>
              </w:rPr>
            </w:pPr>
            <w:r>
              <w:rPr>
                <w:b/>
                <w:bCs/>
                <w:sz w:val="16"/>
                <w:szCs w:val="16"/>
              </w:rPr>
              <w:t>% decrease of lethal area</w:t>
            </w:r>
          </w:p>
        </w:tc>
      </w:tr>
      <w:tr w:rsidR="007C1B0A" w:rsidRPr="00752906" w:rsidTr="007C1B0A">
        <w:trPr>
          <w:trHeight w:val="300"/>
        </w:trPr>
        <w:tc>
          <w:tcPr>
            <w:tcW w:w="992" w:type="dxa"/>
            <w:noWrap/>
            <w:hideMark/>
          </w:tcPr>
          <w:p w:rsidR="007C1B0A" w:rsidRPr="00752906" w:rsidRDefault="007C1B0A" w:rsidP="007C1B0A">
            <w:pPr>
              <w:jc w:val="center"/>
            </w:pPr>
            <w:r w:rsidRPr="00752906">
              <w:t>16 to 17</w:t>
            </w:r>
          </w:p>
        </w:tc>
        <w:tc>
          <w:tcPr>
            <w:tcW w:w="1418" w:type="dxa"/>
            <w:noWrap/>
            <w:hideMark/>
          </w:tcPr>
          <w:p w:rsidR="007C1B0A" w:rsidRPr="00752906" w:rsidRDefault="007C1B0A" w:rsidP="007C1B0A">
            <w:pPr>
              <w:jc w:val="center"/>
            </w:pPr>
            <w:r w:rsidRPr="00752906">
              <w:t>146</w:t>
            </w:r>
          </w:p>
        </w:tc>
        <w:tc>
          <w:tcPr>
            <w:tcW w:w="1134" w:type="dxa"/>
            <w:noWrap/>
            <w:hideMark/>
          </w:tcPr>
          <w:p w:rsidR="007C1B0A" w:rsidRPr="00752906" w:rsidRDefault="007C1B0A" w:rsidP="007C1B0A">
            <w:pPr>
              <w:jc w:val="center"/>
            </w:pPr>
            <w:r w:rsidRPr="00752906">
              <w:t>150</w:t>
            </w:r>
          </w:p>
        </w:tc>
        <w:tc>
          <w:tcPr>
            <w:tcW w:w="1276" w:type="dxa"/>
            <w:noWrap/>
            <w:hideMark/>
          </w:tcPr>
          <w:p w:rsidR="007C1B0A" w:rsidRPr="00752906" w:rsidRDefault="007C1B0A" w:rsidP="007C1B0A">
            <w:pPr>
              <w:jc w:val="center"/>
            </w:pPr>
            <w:r w:rsidRPr="00752906">
              <w:t>66972</w:t>
            </w:r>
          </w:p>
        </w:tc>
        <w:tc>
          <w:tcPr>
            <w:tcW w:w="1276" w:type="dxa"/>
            <w:noWrap/>
            <w:hideMark/>
          </w:tcPr>
          <w:p w:rsidR="007C1B0A" w:rsidRPr="00752906" w:rsidRDefault="007C1B0A" w:rsidP="007C1B0A">
            <w:pPr>
              <w:jc w:val="center"/>
            </w:pPr>
            <w:r w:rsidRPr="00752906">
              <w:t>70345</w:t>
            </w:r>
          </w:p>
        </w:tc>
        <w:tc>
          <w:tcPr>
            <w:tcW w:w="992" w:type="dxa"/>
            <w:noWrap/>
            <w:hideMark/>
          </w:tcPr>
          <w:p w:rsidR="007C1B0A" w:rsidRPr="00752906" w:rsidRDefault="007C1B0A" w:rsidP="007C1B0A">
            <w:pPr>
              <w:jc w:val="center"/>
            </w:pPr>
            <w:r w:rsidRPr="00752906">
              <w:t>66207</w:t>
            </w:r>
          </w:p>
        </w:tc>
        <w:tc>
          <w:tcPr>
            <w:tcW w:w="1276" w:type="dxa"/>
            <w:vAlign w:val="bottom"/>
          </w:tcPr>
          <w:p w:rsidR="007C1B0A" w:rsidRPr="00752906" w:rsidRDefault="007C1B0A" w:rsidP="007C1B0A">
            <w:pPr>
              <w:jc w:val="center"/>
              <w:rPr>
                <w:rFonts w:ascii="Calibri" w:hAnsi="Calibri"/>
              </w:rPr>
            </w:pPr>
            <w:r w:rsidRPr="00752906">
              <w:rPr>
                <w:rFonts w:ascii="Calibri" w:hAnsi="Calibri"/>
              </w:rPr>
              <w:t>1.14</w:t>
            </w:r>
          </w:p>
        </w:tc>
      </w:tr>
      <w:tr w:rsidR="007C1B0A" w:rsidRPr="00752906" w:rsidTr="007C1B0A">
        <w:trPr>
          <w:trHeight w:val="300"/>
        </w:trPr>
        <w:tc>
          <w:tcPr>
            <w:tcW w:w="992" w:type="dxa"/>
            <w:noWrap/>
            <w:hideMark/>
          </w:tcPr>
          <w:p w:rsidR="007C1B0A" w:rsidRPr="00752906" w:rsidRDefault="007C1B0A" w:rsidP="007C1B0A">
            <w:pPr>
              <w:jc w:val="center"/>
            </w:pPr>
            <w:r w:rsidRPr="00752906">
              <w:t>16 to 18</w:t>
            </w:r>
          </w:p>
        </w:tc>
        <w:tc>
          <w:tcPr>
            <w:tcW w:w="1418" w:type="dxa"/>
            <w:noWrap/>
            <w:hideMark/>
          </w:tcPr>
          <w:p w:rsidR="007C1B0A" w:rsidRPr="00752906" w:rsidRDefault="007C1B0A" w:rsidP="007C1B0A">
            <w:pPr>
              <w:jc w:val="center"/>
            </w:pPr>
            <w:r w:rsidRPr="00752906">
              <w:t>146</w:t>
            </w:r>
          </w:p>
        </w:tc>
        <w:tc>
          <w:tcPr>
            <w:tcW w:w="1134" w:type="dxa"/>
            <w:noWrap/>
            <w:hideMark/>
          </w:tcPr>
          <w:p w:rsidR="007C1B0A" w:rsidRPr="00752906" w:rsidRDefault="007C1B0A" w:rsidP="007C1B0A">
            <w:pPr>
              <w:jc w:val="center"/>
            </w:pPr>
            <w:r w:rsidRPr="00752906">
              <w:t>153</w:t>
            </w:r>
          </w:p>
        </w:tc>
        <w:tc>
          <w:tcPr>
            <w:tcW w:w="1276" w:type="dxa"/>
            <w:noWrap/>
            <w:hideMark/>
          </w:tcPr>
          <w:p w:rsidR="007C1B0A" w:rsidRPr="00752906" w:rsidRDefault="007C1B0A" w:rsidP="007C1B0A">
            <w:pPr>
              <w:jc w:val="center"/>
            </w:pPr>
            <w:r w:rsidRPr="00752906">
              <w:t>66972</w:t>
            </w:r>
          </w:p>
        </w:tc>
        <w:tc>
          <w:tcPr>
            <w:tcW w:w="1276" w:type="dxa"/>
            <w:noWrap/>
            <w:hideMark/>
          </w:tcPr>
          <w:p w:rsidR="007C1B0A" w:rsidRPr="00752906" w:rsidRDefault="007C1B0A" w:rsidP="007C1B0A">
            <w:pPr>
              <w:jc w:val="center"/>
            </w:pPr>
            <w:r w:rsidRPr="00752906">
              <w:t>73714</w:t>
            </w:r>
          </w:p>
        </w:tc>
        <w:tc>
          <w:tcPr>
            <w:tcW w:w="992" w:type="dxa"/>
            <w:noWrap/>
            <w:hideMark/>
          </w:tcPr>
          <w:p w:rsidR="007C1B0A" w:rsidRPr="00752906" w:rsidRDefault="007C1B0A" w:rsidP="007C1B0A">
            <w:pPr>
              <w:jc w:val="center"/>
            </w:pPr>
            <w:r w:rsidRPr="00752906">
              <w:t>65524</w:t>
            </w:r>
          </w:p>
        </w:tc>
        <w:tc>
          <w:tcPr>
            <w:tcW w:w="1276" w:type="dxa"/>
            <w:vAlign w:val="bottom"/>
          </w:tcPr>
          <w:p w:rsidR="007C1B0A" w:rsidRPr="00752906" w:rsidRDefault="007C1B0A" w:rsidP="007C1B0A">
            <w:pPr>
              <w:jc w:val="center"/>
              <w:rPr>
                <w:rFonts w:ascii="Calibri" w:hAnsi="Calibri"/>
              </w:rPr>
            </w:pPr>
            <w:r w:rsidRPr="00752906">
              <w:rPr>
                <w:rFonts w:ascii="Calibri" w:hAnsi="Calibri"/>
              </w:rPr>
              <w:t>2.16</w:t>
            </w:r>
          </w:p>
        </w:tc>
      </w:tr>
      <w:tr w:rsidR="007C1B0A" w:rsidRPr="00752906" w:rsidTr="007C1B0A">
        <w:trPr>
          <w:trHeight w:val="300"/>
        </w:trPr>
        <w:tc>
          <w:tcPr>
            <w:tcW w:w="992" w:type="dxa"/>
            <w:noWrap/>
            <w:hideMark/>
          </w:tcPr>
          <w:p w:rsidR="007C1B0A" w:rsidRPr="00752906" w:rsidRDefault="007C1B0A" w:rsidP="007C1B0A">
            <w:pPr>
              <w:jc w:val="center"/>
            </w:pPr>
            <w:r w:rsidRPr="00752906">
              <w:t>16 to 19</w:t>
            </w:r>
          </w:p>
        </w:tc>
        <w:tc>
          <w:tcPr>
            <w:tcW w:w="1418" w:type="dxa"/>
            <w:noWrap/>
            <w:hideMark/>
          </w:tcPr>
          <w:p w:rsidR="007C1B0A" w:rsidRPr="00752906" w:rsidRDefault="007C1B0A" w:rsidP="007C1B0A">
            <w:pPr>
              <w:jc w:val="center"/>
            </w:pPr>
            <w:r w:rsidRPr="00752906">
              <w:t>146</w:t>
            </w:r>
          </w:p>
        </w:tc>
        <w:tc>
          <w:tcPr>
            <w:tcW w:w="1134" w:type="dxa"/>
            <w:noWrap/>
            <w:hideMark/>
          </w:tcPr>
          <w:p w:rsidR="007C1B0A" w:rsidRPr="00752906" w:rsidRDefault="007C1B0A" w:rsidP="007C1B0A">
            <w:pPr>
              <w:jc w:val="center"/>
            </w:pPr>
            <w:r w:rsidRPr="00752906">
              <w:t>157</w:t>
            </w:r>
          </w:p>
        </w:tc>
        <w:tc>
          <w:tcPr>
            <w:tcW w:w="1276" w:type="dxa"/>
            <w:noWrap/>
            <w:hideMark/>
          </w:tcPr>
          <w:p w:rsidR="007C1B0A" w:rsidRPr="00752906" w:rsidRDefault="007C1B0A" w:rsidP="007C1B0A">
            <w:pPr>
              <w:jc w:val="center"/>
            </w:pPr>
            <w:r w:rsidRPr="00752906">
              <w:t>66972</w:t>
            </w:r>
          </w:p>
        </w:tc>
        <w:tc>
          <w:tcPr>
            <w:tcW w:w="1276" w:type="dxa"/>
            <w:noWrap/>
            <w:hideMark/>
          </w:tcPr>
          <w:p w:rsidR="007C1B0A" w:rsidRPr="00752906" w:rsidRDefault="007C1B0A" w:rsidP="007C1B0A">
            <w:pPr>
              <w:jc w:val="center"/>
            </w:pPr>
            <w:r w:rsidRPr="00752906">
              <w:t>77083</w:t>
            </w:r>
          </w:p>
        </w:tc>
        <w:tc>
          <w:tcPr>
            <w:tcW w:w="992" w:type="dxa"/>
            <w:noWrap/>
            <w:hideMark/>
          </w:tcPr>
          <w:p w:rsidR="007C1B0A" w:rsidRPr="00752906" w:rsidRDefault="007C1B0A" w:rsidP="007C1B0A">
            <w:pPr>
              <w:jc w:val="center"/>
            </w:pPr>
            <w:r w:rsidRPr="00752906">
              <w:t>64912</w:t>
            </w:r>
          </w:p>
        </w:tc>
        <w:tc>
          <w:tcPr>
            <w:tcW w:w="1276" w:type="dxa"/>
            <w:vAlign w:val="bottom"/>
          </w:tcPr>
          <w:p w:rsidR="007C1B0A" w:rsidRPr="00752906" w:rsidRDefault="007C1B0A" w:rsidP="007C1B0A">
            <w:pPr>
              <w:jc w:val="center"/>
              <w:rPr>
                <w:rFonts w:ascii="Calibri" w:hAnsi="Calibri"/>
              </w:rPr>
            </w:pPr>
            <w:r w:rsidRPr="00752906">
              <w:rPr>
                <w:rFonts w:ascii="Calibri" w:hAnsi="Calibri"/>
              </w:rPr>
              <w:t>3.08</w:t>
            </w:r>
          </w:p>
        </w:tc>
      </w:tr>
      <w:tr w:rsidR="007C1B0A" w:rsidRPr="00752906" w:rsidTr="007C1B0A">
        <w:trPr>
          <w:trHeight w:val="300"/>
        </w:trPr>
        <w:tc>
          <w:tcPr>
            <w:tcW w:w="992" w:type="dxa"/>
            <w:noWrap/>
            <w:hideMark/>
          </w:tcPr>
          <w:p w:rsidR="007C1B0A" w:rsidRPr="00752906" w:rsidRDefault="007C1B0A" w:rsidP="007C1B0A">
            <w:pPr>
              <w:jc w:val="center"/>
              <w:rPr>
                <w:b/>
              </w:rPr>
            </w:pPr>
            <w:r w:rsidRPr="00752906">
              <w:rPr>
                <w:b/>
                <w:bCs/>
              </w:rPr>
              <w:t>16 to 20</w:t>
            </w:r>
          </w:p>
        </w:tc>
        <w:tc>
          <w:tcPr>
            <w:tcW w:w="1418" w:type="dxa"/>
            <w:noWrap/>
            <w:hideMark/>
          </w:tcPr>
          <w:p w:rsidR="007C1B0A" w:rsidRPr="00752906" w:rsidRDefault="007C1B0A" w:rsidP="007C1B0A">
            <w:pPr>
              <w:jc w:val="center"/>
              <w:rPr>
                <w:b/>
              </w:rPr>
            </w:pPr>
            <w:r w:rsidRPr="00752906">
              <w:rPr>
                <w:b/>
                <w:bCs/>
              </w:rPr>
              <w:t>146</w:t>
            </w:r>
          </w:p>
        </w:tc>
        <w:tc>
          <w:tcPr>
            <w:tcW w:w="1134" w:type="dxa"/>
            <w:noWrap/>
            <w:hideMark/>
          </w:tcPr>
          <w:p w:rsidR="007C1B0A" w:rsidRPr="00752906" w:rsidRDefault="007C1B0A" w:rsidP="007C1B0A">
            <w:pPr>
              <w:jc w:val="center"/>
              <w:rPr>
                <w:b/>
              </w:rPr>
            </w:pPr>
            <w:r w:rsidRPr="00752906">
              <w:rPr>
                <w:b/>
                <w:bCs/>
              </w:rPr>
              <w:t>160</w:t>
            </w:r>
          </w:p>
        </w:tc>
        <w:tc>
          <w:tcPr>
            <w:tcW w:w="1276" w:type="dxa"/>
            <w:noWrap/>
            <w:hideMark/>
          </w:tcPr>
          <w:p w:rsidR="007C1B0A" w:rsidRPr="00752906" w:rsidRDefault="007C1B0A" w:rsidP="007C1B0A">
            <w:pPr>
              <w:jc w:val="center"/>
              <w:rPr>
                <w:b/>
              </w:rPr>
            </w:pPr>
            <w:r w:rsidRPr="00752906">
              <w:rPr>
                <w:b/>
                <w:bCs/>
              </w:rPr>
              <w:t>66972</w:t>
            </w:r>
          </w:p>
        </w:tc>
        <w:tc>
          <w:tcPr>
            <w:tcW w:w="1276" w:type="dxa"/>
            <w:noWrap/>
            <w:hideMark/>
          </w:tcPr>
          <w:p w:rsidR="007C1B0A" w:rsidRPr="00752906" w:rsidRDefault="007C1B0A" w:rsidP="007C1B0A">
            <w:pPr>
              <w:jc w:val="center"/>
              <w:rPr>
                <w:b/>
              </w:rPr>
            </w:pPr>
            <w:r w:rsidRPr="00752906">
              <w:rPr>
                <w:b/>
                <w:bCs/>
              </w:rPr>
              <w:t>80454</w:t>
            </w:r>
          </w:p>
        </w:tc>
        <w:tc>
          <w:tcPr>
            <w:tcW w:w="992" w:type="dxa"/>
            <w:noWrap/>
            <w:hideMark/>
          </w:tcPr>
          <w:p w:rsidR="007C1B0A" w:rsidRPr="00752906" w:rsidRDefault="007C1B0A" w:rsidP="007C1B0A">
            <w:pPr>
              <w:jc w:val="center"/>
              <w:rPr>
                <w:b/>
              </w:rPr>
            </w:pPr>
            <w:r w:rsidRPr="00752906">
              <w:rPr>
                <w:b/>
                <w:bCs/>
              </w:rPr>
              <w:t>64363</w:t>
            </w:r>
          </w:p>
        </w:tc>
        <w:tc>
          <w:tcPr>
            <w:tcW w:w="1276" w:type="dxa"/>
            <w:vAlign w:val="bottom"/>
          </w:tcPr>
          <w:p w:rsidR="007C1B0A" w:rsidRPr="00752906" w:rsidRDefault="007C1B0A" w:rsidP="007C1B0A">
            <w:pPr>
              <w:jc w:val="center"/>
              <w:rPr>
                <w:rFonts w:ascii="Calibri" w:hAnsi="Calibri"/>
                <w:b/>
              </w:rPr>
            </w:pPr>
            <w:r w:rsidRPr="00752906">
              <w:rPr>
                <w:rFonts w:ascii="Calibri" w:hAnsi="Calibri"/>
                <w:b/>
                <w:bCs/>
              </w:rPr>
              <w:t>3.90</w:t>
            </w:r>
          </w:p>
        </w:tc>
      </w:tr>
      <w:tr w:rsidR="007C1B0A" w:rsidRPr="00752906" w:rsidTr="007C1B0A">
        <w:trPr>
          <w:trHeight w:val="300"/>
        </w:trPr>
        <w:tc>
          <w:tcPr>
            <w:tcW w:w="992" w:type="dxa"/>
            <w:noWrap/>
            <w:hideMark/>
          </w:tcPr>
          <w:p w:rsidR="007C1B0A" w:rsidRPr="00752906" w:rsidRDefault="007C1B0A" w:rsidP="007C1B0A">
            <w:pPr>
              <w:jc w:val="center"/>
            </w:pPr>
            <w:r w:rsidRPr="00752906">
              <w:t>16 to 21</w:t>
            </w:r>
          </w:p>
        </w:tc>
        <w:tc>
          <w:tcPr>
            <w:tcW w:w="1418" w:type="dxa"/>
            <w:noWrap/>
            <w:hideMark/>
          </w:tcPr>
          <w:p w:rsidR="007C1B0A" w:rsidRPr="00752906" w:rsidRDefault="007C1B0A" w:rsidP="007C1B0A">
            <w:pPr>
              <w:jc w:val="center"/>
            </w:pPr>
            <w:r w:rsidRPr="00752906">
              <w:t>146</w:t>
            </w:r>
          </w:p>
        </w:tc>
        <w:tc>
          <w:tcPr>
            <w:tcW w:w="1134" w:type="dxa"/>
            <w:noWrap/>
            <w:hideMark/>
          </w:tcPr>
          <w:p w:rsidR="007C1B0A" w:rsidRPr="00752906" w:rsidRDefault="007C1B0A" w:rsidP="007C1B0A">
            <w:pPr>
              <w:jc w:val="center"/>
            </w:pPr>
            <w:r w:rsidRPr="00752906">
              <w:t>163</w:t>
            </w:r>
          </w:p>
        </w:tc>
        <w:tc>
          <w:tcPr>
            <w:tcW w:w="1276" w:type="dxa"/>
            <w:noWrap/>
            <w:hideMark/>
          </w:tcPr>
          <w:p w:rsidR="007C1B0A" w:rsidRPr="00752906" w:rsidRDefault="007C1B0A" w:rsidP="007C1B0A">
            <w:pPr>
              <w:jc w:val="center"/>
            </w:pPr>
            <w:r w:rsidRPr="00752906">
              <w:t>66972</w:t>
            </w:r>
          </w:p>
        </w:tc>
        <w:tc>
          <w:tcPr>
            <w:tcW w:w="1276" w:type="dxa"/>
            <w:noWrap/>
            <w:hideMark/>
          </w:tcPr>
          <w:p w:rsidR="007C1B0A" w:rsidRPr="00752906" w:rsidRDefault="007C1B0A" w:rsidP="007C1B0A">
            <w:pPr>
              <w:jc w:val="center"/>
            </w:pPr>
            <w:r w:rsidRPr="00752906">
              <w:t>83829</w:t>
            </w:r>
          </w:p>
        </w:tc>
        <w:tc>
          <w:tcPr>
            <w:tcW w:w="992" w:type="dxa"/>
            <w:noWrap/>
            <w:hideMark/>
          </w:tcPr>
          <w:p w:rsidR="007C1B0A" w:rsidRPr="00752906" w:rsidRDefault="007C1B0A" w:rsidP="007C1B0A">
            <w:pPr>
              <w:jc w:val="center"/>
            </w:pPr>
            <w:r w:rsidRPr="00752906">
              <w:t>63870</w:t>
            </w:r>
          </w:p>
        </w:tc>
        <w:tc>
          <w:tcPr>
            <w:tcW w:w="1276" w:type="dxa"/>
            <w:vAlign w:val="bottom"/>
          </w:tcPr>
          <w:p w:rsidR="007C1B0A" w:rsidRPr="00752906" w:rsidRDefault="007C1B0A" w:rsidP="007C1B0A">
            <w:pPr>
              <w:jc w:val="center"/>
              <w:rPr>
                <w:rFonts w:ascii="Calibri" w:hAnsi="Calibri"/>
              </w:rPr>
            </w:pPr>
            <w:r w:rsidRPr="00752906">
              <w:rPr>
                <w:rFonts w:ascii="Calibri" w:hAnsi="Calibri"/>
              </w:rPr>
              <w:t>4.63</w:t>
            </w:r>
          </w:p>
        </w:tc>
      </w:tr>
      <w:tr w:rsidR="007C1B0A" w:rsidRPr="00752906" w:rsidTr="007C1B0A">
        <w:trPr>
          <w:trHeight w:val="300"/>
        </w:trPr>
        <w:tc>
          <w:tcPr>
            <w:tcW w:w="992" w:type="dxa"/>
            <w:noWrap/>
            <w:hideMark/>
          </w:tcPr>
          <w:p w:rsidR="007C1B0A" w:rsidRPr="00752906" w:rsidRDefault="007C1B0A" w:rsidP="007C1B0A">
            <w:pPr>
              <w:jc w:val="center"/>
            </w:pPr>
            <w:r w:rsidRPr="00752906">
              <w:t>16 to 22</w:t>
            </w:r>
          </w:p>
        </w:tc>
        <w:tc>
          <w:tcPr>
            <w:tcW w:w="1418" w:type="dxa"/>
            <w:noWrap/>
            <w:hideMark/>
          </w:tcPr>
          <w:p w:rsidR="007C1B0A" w:rsidRPr="00752906" w:rsidRDefault="007C1B0A" w:rsidP="007C1B0A">
            <w:pPr>
              <w:jc w:val="center"/>
            </w:pPr>
            <w:r w:rsidRPr="00752906">
              <w:t>146</w:t>
            </w:r>
          </w:p>
        </w:tc>
        <w:tc>
          <w:tcPr>
            <w:tcW w:w="1134" w:type="dxa"/>
            <w:noWrap/>
            <w:hideMark/>
          </w:tcPr>
          <w:p w:rsidR="007C1B0A" w:rsidRPr="00752906" w:rsidRDefault="007C1B0A" w:rsidP="007C1B0A">
            <w:pPr>
              <w:jc w:val="center"/>
            </w:pPr>
            <w:r w:rsidRPr="00752906">
              <w:t>167</w:t>
            </w:r>
          </w:p>
        </w:tc>
        <w:tc>
          <w:tcPr>
            <w:tcW w:w="1276" w:type="dxa"/>
            <w:noWrap/>
            <w:hideMark/>
          </w:tcPr>
          <w:p w:rsidR="007C1B0A" w:rsidRPr="00752906" w:rsidRDefault="007C1B0A" w:rsidP="007C1B0A">
            <w:pPr>
              <w:jc w:val="center"/>
            </w:pPr>
            <w:r w:rsidRPr="00752906">
              <w:t>66972</w:t>
            </w:r>
          </w:p>
        </w:tc>
        <w:tc>
          <w:tcPr>
            <w:tcW w:w="1276" w:type="dxa"/>
            <w:noWrap/>
            <w:hideMark/>
          </w:tcPr>
          <w:p w:rsidR="007C1B0A" w:rsidRPr="00752906" w:rsidRDefault="007C1B0A" w:rsidP="007C1B0A">
            <w:pPr>
              <w:jc w:val="center"/>
            </w:pPr>
            <w:r w:rsidRPr="00752906">
              <w:t>87210</w:t>
            </w:r>
          </w:p>
        </w:tc>
        <w:tc>
          <w:tcPr>
            <w:tcW w:w="992" w:type="dxa"/>
            <w:noWrap/>
            <w:hideMark/>
          </w:tcPr>
          <w:p w:rsidR="007C1B0A" w:rsidRPr="00752906" w:rsidRDefault="007C1B0A" w:rsidP="007C1B0A">
            <w:pPr>
              <w:jc w:val="center"/>
            </w:pPr>
            <w:r w:rsidRPr="00752906">
              <w:t>63426</w:t>
            </w:r>
          </w:p>
        </w:tc>
        <w:tc>
          <w:tcPr>
            <w:tcW w:w="1276" w:type="dxa"/>
            <w:vAlign w:val="bottom"/>
          </w:tcPr>
          <w:p w:rsidR="007C1B0A" w:rsidRPr="00752906" w:rsidRDefault="007C1B0A" w:rsidP="007C1B0A">
            <w:pPr>
              <w:jc w:val="center"/>
              <w:rPr>
                <w:rFonts w:ascii="Calibri" w:hAnsi="Calibri"/>
              </w:rPr>
            </w:pPr>
            <w:r w:rsidRPr="00752906">
              <w:rPr>
                <w:rFonts w:ascii="Calibri" w:hAnsi="Calibri"/>
              </w:rPr>
              <w:t>5.30</w:t>
            </w:r>
          </w:p>
        </w:tc>
      </w:tr>
      <w:tr w:rsidR="007C1B0A" w:rsidRPr="00752906" w:rsidTr="007C1B0A">
        <w:trPr>
          <w:trHeight w:val="300"/>
        </w:trPr>
        <w:tc>
          <w:tcPr>
            <w:tcW w:w="992" w:type="dxa"/>
            <w:noWrap/>
            <w:hideMark/>
          </w:tcPr>
          <w:p w:rsidR="007C1B0A" w:rsidRPr="00752906" w:rsidRDefault="007C1B0A" w:rsidP="007C1B0A">
            <w:pPr>
              <w:jc w:val="center"/>
            </w:pPr>
            <w:r w:rsidRPr="00752906">
              <w:t>16 to 23</w:t>
            </w:r>
          </w:p>
        </w:tc>
        <w:tc>
          <w:tcPr>
            <w:tcW w:w="1418" w:type="dxa"/>
            <w:noWrap/>
            <w:hideMark/>
          </w:tcPr>
          <w:p w:rsidR="007C1B0A" w:rsidRPr="00752906" w:rsidRDefault="007C1B0A" w:rsidP="007C1B0A">
            <w:pPr>
              <w:jc w:val="center"/>
            </w:pPr>
            <w:r w:rsidRPr="00752906">
              <w:t>146</w:t>
            </w:r>
          </w:p>
        </w:tc>
        <w:tc>
          <w:tcPr>
            <w:tcW w:w="1134" w:type="dxa"/>
            <w:noWrap/>
            <w:hideMark/>
          </w:tcPr>
          <w:p w:rsidR="007C1B0A" w:rsidRPr="00752906" w:rsidRDefault="007C1B0A" w:rsidP="007C1B0A">
            <w:pPr>
              <w:jc w:val="center"/>
            </w:pPr>
            <w:r w:rsidRPr="00752906">
              <w:t>170</w:t>
            </w:r>
          </w:p>
        </w:tc>
        <w:tc>
          <w:tcPr>
            <w:tcW w:w="1276" w:type="dxa"/>
            <w:noWrap/>
            <w:hideMark/>
          </w:tcPr>
          <w:p w:rsidR="007C1B0A" w:rsidRPr="00752906" w:rsidRDefault="007C1B0A" w:rsidP="007C1B0A">
            <w:pPr>
              <w:jc w:val="center"/>
            </w:pPr>
            <w:r w:rsidRPr="00752906">
              <w:t>66972</w:t>
            </w:r>
          </w:p>
        </w:tc>
        <w:tc>
          <w:tcPr>
            <w:tcW w:w="1276" w:type="dxa"/>
            <w:noWrap/>
            <w:hideMark/>
          </w:tcPr>
          <w:p w:rsidR="007C1B0A" w:rsidRPr="00752906" w:rsidRDefault="007C1B0A" w:rsidP="007C1B0A">
            <w:pPr>
              <w:jc w:val="center"/>
            </w:pPr>
            <w:r w:rsidRPr="00752906">
              <w:t>90600</w:t>
            </w:r>
          </w:p>
        </w:tc>
        <w:tc>
          <w:tcPr>
            <w:tcW w:w="992" w:type="dxa"/>
            <w:noWrap/>
            <w:hideMark/>
          </w:tcPr>
          <w:p w:rsidR="007C1B0A" w:rsidRPr="00752906" w:rsidRDefault="007C1B0A" w:rsidP="007C1B0A">
            <w:pPr>
              <w:jc w:val="center"/>
            </w:pPr>
            <w:r w:rsidRPr="00752906">
              <w:t>63026</w:t>
            </w:r>
          </w:p>
        </w:tc>
        <w:tc>
          <w:tcPr>
            <w:tcW w:w="1276" w:type="dxa"/>
            <w:vAlign w:val="bottom"/>
          </w:tcPr>
          <w:p w:rsidR="007C1B0A" w:rsidRPr="00752906" w:rsidRDefault="007C1B0A" w:rsidP="007C1B0A">
            <w:pPr>
              <w:jc w:val="center"/>
              <w:rPr>
                <w:rFonts w:ascii="Calibri" w:hAnsi="Calibri"/>
              </w:rPr>
            </w:pPr>
            <w:r w:rsidRPr="00752906">
              <w:rPr>
                <w:rFonts w:ascii="Calibri" w:hAnsi="Calibri"/>
              </w:rPr>
              <w:t>5.89</w:t>
            </w:r>
          </w:p>
        </w:tc>
      </w:tr>
      <w:tr w:rsidR="007C1B0A" w:rsidRPr="00752906" w:rsidTr="007C1B0A">
        <w:trPr>
          <w:trHeight w:val="300"/>
        </w:trPr>
        <w:tc>
          <w:tcPr>
            <w:tcW w:w="992" w:type="dxa"/>
            <w:noWrap/>
            <w:hideMark/>
          </w:tcPr>
          <w:p w:rsidR="007C1B0A" w:rsidRPr="00752906" w:rsidRDefault="007C1B0A" w:rsidP="007C1B0A">
            <w:pPr>
              <w:jc w:val="center"/>
            </w:pPr>
            <w:r w:rsidRPr="00752906">
              <w:t>16 to 24</w:t>
            </w:r>
          </w:p>
        </w:tc>
        <w:tc>
          <w:tcPr>
            <w:tcW w:w="1418" w:type="dxa"/>
            <w:noWrap/>
            <w:hideMark/>
          </w:tcPr>
          <w:p w:rsidR="007C1B0A" w:rsidRPr="00752906" w:rsidRDefault="007C1B0A" w:rsidP="007C1B0A">
            <w:pPr>
              <w:jc w:val="center"/>
            </w:pPr>
            <w:r w:rsidRPr="00752906">
              <w:t>146</w:t>
            </w:r>
          </w:p>
        </w:tc>
        <w:tc>
          <w:tcPr>
            <w:tcW w:w="1134" w:type="dxa"/>
            <w:noWrap/>
            <w:hideMark/>
          </w:tcPr>
          <w:p w:rsidR="007C1B0A" w:rsidRPr="00752906" w:rsidRDefault="007C1B0A" w:rsidP="007C1B0A">
            <w:pPr>
              <w:jc w:val="center"/>
            </w:pPr>
            <w:r w:rsidRPr="00752906">
              <w:t>173</w:t>
            </w:r>
          </w:p>
        </w:tc>
        <w:tc>
          <w:tcPr>
            <w:tcW w:w="1276" w:type="dxa"/>
            <w:noWrap/>
            <w:hideMark/>
          </w:tcPr>
          <w:p w:rsidR="007C1B0A" w:rsidRPr="00752906" w:rsidRDefault="007C1B0A" w:rsidP="007C1B0A">
            <w:pPr>
              <w:jc w:val="center"/>
            </w:pPr>
            <w:r w:rsidRPr="00752906">
              <w:t>66972</w:t>
            </w:r>
          </w:p>
        </w:tc>
        <w:tc>
          <w:tcPr>
            <w:tcW w:w="1276" w:type="dxa"/>
            <w:noWrap/>
            <w:hideMark/>
          </w:tcPr>
          <w:p w:rsidR="007C1B0A" w:rsidRPr="00752906" w:rsidRDefault="007C1B0A" w:rsidP="007C1B0A">
            <w:pPr>
              <w:jc w:val="center"/>
            </w:pPr>
            <w:r w:rsidRPr="00752906">
              <w:t>93999</w:t>
            </w:r>
          </w:p>
        </w:tc>
        <w:tc>
          <w:tcPr>
            <w:tcW w:w="992" w:type="dxa"/>
            <w:noWrap/>
            <w:hideMark/>
          </w:tcPr>
          <w:p w:rsidR="007C1B0A" w:rsidRPr="00752906" w:rsidRDefault="007C1B0A" w:rsidP="007C1B0A">
            <w:pPr>
              <w:jc w:val="center"/>
            </w:pPr>
            <w:r w:rsidRPr="00752906">
              <w:t>62666</w:t>
            </w:r>
          </w:p>
        </w:tc>
        <w:tc>
          <w:tcPr>
            <w:tcW w:w="1276" w:type="dxa"/>
            <w:vAlign w:val="bottom"/>
          </w:tcPr>
          <w:p w:rsidR="007C1B0A" w:rsidRPr="00752906" w:rsidRDefault="007C1B0A" w:rsidP="007C1B0A">
            <w:pPr>
              <w:jc w:val="center"/>
              <w:rPr>
                <w:rFonts w:ascii="Calibri" w:hAnsi="Calibri"/>
              </w:rPr>
            </w:pPr>
            <w:r w:rsidRPr="00752906">
              <w:rPr>
                <w:rFonts w:ascii="Calibri" w:hAnsi="Calibri"/>
              </w:rPr>
              <w:t>6.43</w:t>
            </w:r>
          </w:p>
        </w:tc>
      </w:tr>
      <w:tr w:rsidR="007C1B0A" w:rsidRPr="00752906" w:rsidTr="007C1B0A">
        <w:trPr>
          <w:trHeight w:val="300"/>
        </w:trPr>
        <w:tc>
          <w:tcPr>
            <w:tcW w:w="992" w:type="dxa"/>
            <w:noWrap/>
            <w:hideMark/>
          </w:tcPr>
          <w:p w:rsidR="007C1B0A" w:rsidRPr="00752906" w:rsidRDefault="007C1B0A" w:rsidP="007C1B0A">
            <w:pPr>
              <w:jc w:val="center"/>
            </w:pPr>
            <w:r w:rsidRPr="00752906">
              <w:t>16 to 25</w:t>
            </w:r>
          </w:p>
        </w:tc>
        <w:tc>
          <w:tcPr>
            <w:tcW w:w="1418" w:type="dxa"/>
            <w:noWrap/>
            <w:hideMark/>
          </w:tcPr>
          <w:p w:rsidR="007C1B0A" w:rsidRPr="00752906" w:rsidRDefault="007C1B0A" w:rsidP="007C1B0A">
            <w:pPr>
              <w:jc w:val="center"/>
            </w:pPr>
            <w:r w:rsidRPr="00752906">
              <w:t>146</w:t>
            </w:r>
          </w:p>
        </w:tc>
        <w:tc>
          <w:tcPr>
            <w:tcW w:w="1134" w:type="dxa"/>
            <w:noWrap/>
            <w:hideMark/>
          </w:tcPr>
          <w:p w:rsidR="007C1B0A" w:rsidRPr="00752906" w:rsidRDefault="007C1B0A" w:rsidP="007C1B0A">
            <w:pPr>
              <w:jc w:val="center"/>
            </w:pPr>
            <w:r w:rsidRPr="00752906">
              <w:t>176</w:t>
            </w:r>
          </w:p>
        </w:tc>
        <w:tc>
          <w:tcPr>
            <w:tcW w:w="1276" w:type="dxa"/>
            <w:noWrap/>
            <w:hideMark/>
          </w:tcPr>
          <w:p w:rsidR="007C1B0A" w:rsidRPr="00752906" w:rsidRDefault="007C1B0A" w:rsidP="007C1B0A">
            <w:pPr>
              <w:jc w:val="center"/>
            </w:pPr>
            <w:r w:rsidRPr="00752906">
              <w:t>66972</w:t>
            </w:r>
          </w:p>
        </w:tc>
        <w:tc>
          <w:tcPr>
            <w:tcW w:w="1276" w:type="dxa"/>
            <w:noWrap/>
            <w:hideMark/>
          </w:tcPr>
          <w:p w:rsidR="007C1B0A" w:rsidRPr="00752906" w:rsidRDefault="007C1B0A" w:rsidP="007C1B0A">
            <w:pPr>
              <w:jc w:val="center"/>
            </w:pPr>
            <w:r w:rsidRPr="00752906">
              <w:t>97409</w:t>
            </w:r>
          </w:p>
        </w:tc>
        <w:tc>
          <w:tcPr>
            <w:tcW w:w="992" w:type="dxa"/>
            <w:noWrap/>
            <w:hideMark/>
          </w:tcPr>
          <w:p w:rsidR="007C1B0A" w:rsidRPr="00752906" w:rsidRDefault="007C1B0A" w:rsidP="007C1B0A">
            <w:pPr>
              <w:jc w:val="center"/>
            </w:pPr>
            <w:r w:rsidRPr="00752906">
              <w:t>62342</w:t>
            </w:r>
          </w:p>
        </w:tc>
        <w:tc>
          <w:tcPr>
            <w:tcW w:w="1276" w:type="dxa"/>
            <w:vAlign w:val="bottom"/>
          </w:tcPr>
          <w:p w:rsidR="007C1B0A" w:rsidRPr="00752906" w:rsidRDefault="007C1B0A" w:rsidP="007C1B0A">
            <w:pPr>
              <w:jc w:val="center"/>
              <w:rPr>
                <w:rFonts w:ascii="Calibri" w:hAnsi="Calibri"/>
              </w:rPr>
            </w:pPr>
            <w:r w:rsidRPr="00752906">
              <w:rPr>
                <w:rFonts w:ascii="Calibri" w:hAnsi="Calibri"/>
              </w:rPr>
              <w:t>6.91</w:t>
            </w:r>
          </w:p>
        </w:tc>
      </w:tr>
    </w:tbl>
    <w:p w:rsidR="007C1B0A" w:rsidRPr="009D4EBE" w:rsidRDefault="007C1B0A" w:rsidP="004F3D17">
      <w:pPr>
        <w:spacing w:before="120" w:after="120"/>
        <w:ind w:left="3402" w:firstLine="567"/>
        <w:jc w:val="both"/>
        <w:rPr>
          <w:i/>
        </w:rPr>
      </w:pPr>
      <w:r w:rsidRPr="009D4EBE">
        <w:rPr>
          <w:bCs/>
          <w:i/>
        </w:rPr>
        <w:t>Table 3 Lethality</w:t>
      </w:r>
    </w:p>
    <w:tbl>
      <w:tblPr>
        <w:tblStyle w:val="TableGrid"/>
        <w:tblW w:w="8377" w:type="dxa"/>
        <w:tblInd w:w="675" w:type="dxa"/>
        <w:tblLook w:val="04A0" w:firstRow="1" w:lastRow="0" w:firstColumn="1" w:lastColumn="0" w:noHBand="0" w:noVBand="1"/>
      </w:tblPr>
      <w:tblGrid>
        <w:gridCol w:w="993"/>
        <w:gridCol w:w="1280"/>
        <w:gridCol w:w="1280"/>
        <w:gridCol w:w="1280"/>
        <w:gridCol w:w="1211"/>
        <w:gridCol w:w="1057"/>
        <w:gridCol w:w="1276"/>
      </w:tblGrid>
      <w:tr w:rsidR="007C1B0A" w:rsidRPr="00752906" w:rsidTr="007C1B0A">
        <w:trPr>
          <w:trHeight w:val="915"/>
        </w:trPr>
        <w:tc>
          <w:tcPr>
            <w:tcW w:w="993" w:type="dxa"/>
            <w:noWrap/>
            <w:hideMark/>
          </w:tcPr>
          <w:p w:rsidR="007C1B0A" w:rsidRPr="00752906" w:rsidRDefault="007C1B0A" w:rsidP="007C1B0A">
            <w:pPr>
              <w:jc w:val="center"/>
              <w:rPr>
                <w:b/>
                <w:sz w:val="16"/>
                <w:szCs w:val="16"/>
              </w:rPr>
            </w:pPr>
            <w:r w:rsidRPr="00752906">
              <w:rPr>
                <w:b/>
                <w:bCs/>
                <w:sz w:val="16"/>
                <w:szCs w:val="16"/>
              </w:rPr>
              <w:t>Tons</w:t>
            </w:r>
          </w:p>
        </w:tc>
        <w:tc>
          <w:tcPr>
            <w:tcW w:w="1280" w:type="dxa"/>
            <w:noWrap/>
          </w:tcPr>
          <w:p w:rsidR="007C1B0A" w:rsidRPr="00752906" w:rsidRDefault="007C1B0A" w:rsidP="007C1B0A">
            <w:pPr>
              <w:jc w:val="center"/>
              <w:rPr>
                <w:b/>
                <w:sz w:val="16"/>
                <w:szCs w:val="16"/>
              </w:rPr>
            </w:pPr>
            <w:r w:rsidRPr="00752906">
              <w:rPr>
                <w:b/>
                <w:bCs/>
                <w:sz w:val="16"/>
                <w:szCs w:val="16"/>
              </w:rPr>
              <w:t xml:space="preserve">Radius </w:t>
            </w:r>
            <w:r>
              <w:rPr>
                <w:b/>
                <w:bCs/>
                <w:sz w:val="16"/>
                <w:szCs w:val="16"/>
              </w:rPr>
              <w:t xml:space="preserve">of </w:t>
            </w:r>
            <w:r w:rsidRPr="00752906">
              <w:rPr>
                <w:b/>
                <w:bCs/>
                <w:sz w:val="16"/>
                <w:szCs w:val="16"/>
              </w:rPr>
              <w:t>damage area</w:t>
            </w:r>
          </w:p>
          <w:p w:rsidR="007C1B0A" w:rsidRPr="00752906" w:rsidRDefault="007C1B0A" w:rsidP="007C1B0A">
            <w:pPr>
              <w:jc w:val="center"/>
              <w:rPr>
                <w:b/>
                <w:sz w:val="16"/>
                <w:szCs w:val="16"/>
              </w:rPr>
            </w:pPr>
            <w:r w:rsidRPr="00752906">
              <w:rPr>
                <w:b/>
                <w:bCs/>
                <w:sz w:val="16"/>
                <w:szCs w:val="16"/>
              </w:rPr>
              <w:t>for 16 t</w:t>
            </w:r>
          </w:p>
          <w:p w:rsidR="007C1B0A" w:rsidRPr="00752906" w:rsidRDefault="007C1B0A" w:rsidP="007C1B0A">
            <w:pPr>
              <w:jc w:val="center"/>
              <w:rPr>
                <w:b/>
                <w:sz w:val="16"/>
                <w:szCs w:val="16"/>
              </w:rPr>
            </w:pPr>
            <w:r w:rsidRPr="00752906">
              <w:rPr>
                <w:b/>
                <w:bCs/>
                <w:sz w:val="16"/>
                <w:szCs w:val="16"/>
              </w:rPr>
              <w:t>(m)</w:t>
            </w:r>
          </w:p>
        </w:tc>
        <w:tc>
          <w:tcPr>
            <w:tcW w:w="1280" w:type="dxa"/>
            <w:hideMark/>
          </w:tcPr>
          <w:p w:rsidR="007C1B0A" w:rsidRPr="00752906" w:rsidRDefault="007C1B0A" w:rsidP="007C1B0A">
            <w:pPr>
              <w:jc w:val="center"/>
              <w:rPr>
                <w:b/>
                <w:sz w:val="16"/>
                <w:szCs w:val="16"/>
              </w:rPr>
            </w:pPr>
            <w:r w:rsidRPr="00752906">
              <w:rPr>
                <w:b/>
                <w:bCs/>
                <w:sz w:val="16"/>
                <w:szCs w:val="16"/>
              </w:rPr>
              <w:t xml:space="preserve">Radius </w:t>
            </w:r>
            <w:r>
              <w:rPr>
                <w:b/>
                <w:bCs/>
                <w:sz w:val="16"/>
                <w:szCs w:val="16"/>
              </w:rPr>
              <w:t xml:space="preserve">of </w:t>
            </w:r>
            <w:r w:rsidRPr="00752906">
              <w:rPr>
                <w:b/>
                <w:bCs/>
                <w:sz w:val="16"/>
                <w:szCs w:val="16"/>
              </w:rPr>
              <w:t>damage area for the increase</w:t>
            </w:r>
          </w:p>
          <w:p w:rsidR="007C1B0A" w:rsidRPr="00752906" w:rsidRDefault="007C1B0A" w:rsidP="007C1B0A">
            <w:pPr>
              <w:jc w:val="center"/>
              <w:rPr>
                <w:b/>
                <w:sz w:val="16"/>
                <w:szCs w:val="16"/>
              </w:rPr>
            </w:pPr>
            <w:r w:rsidRPr="00752906">
              <w:rPr>
                <w:b/>
                <w:bCs/>
                <w:sz w:val="16"/>
                <w:szCs w:val="16"/>
              </w:rPr>
              <w:t>(m)</w:t>
            </w:r>
          </w:p>
        </w:tc>
        <w:tc>
          <w:tcPr>
            <w:tcW w:w="1280" w:type="dxa"/>
            <w:noWrap/>
            <w:hideMark/>
          </w:tcPr>
          <w:p w:rsidR="007C1B0A" w:rsidRPr="00752906" w:rsidRDefault="007C1B0A" w:rsidP="007C1B0A">
            <w:pPr>
              <w:jc w:val="center"/>
              <w:rPr>
                <w:b/>
                <w:sz w:val="16"/>
                <w:szCs w:val="16"/>
              </w:rPr>
            </w:pPr>
            <w:r>
              <w:rPr>
                <w:b/>
                <w:bCs/>
                <w:sz w:val="16"/>
                <w:szCs w:val="16"/>
              </w:rPr>
              <w:t>Damage area</w:t>
            </w:r>
            <w:r w:rsidRPr="00752906">
              <w:rPr>
                <w:b/>
                <w:bCs/>
                <w:sz w:val="16"/>
                <w:szCs w:val="16"/>
              </w:rPr>
              <w:t xml:space="preserve"> for 16 t</w:t>
            </w:r>
          </w:p>
          <w:p w:rsidR="007C1B0A" w:rsidRPr="00752906" w:rsidRDefault="007C1B0A" w:rsidP="007C1B0A">
            <w:pPr>
              <w:jc w:val="center"/>
              <w:rPr>
                <w:b/>
                <w:sz w:val="16"/>
                <w:szCs w:val="16"/>
              </w:rPr>
            </w:pPr>
            <w:r w:rsidRPr="00752906">
              <w:rPr>
                <w:b/>
                <w:bCs/>
                <w:sz w:val="16"/>
                <w:szCs w:val="16"/>
              </w:rPr>
              <w:t>(m2)</w:t>
            </w:r>
          </w:p>
        </w:tc>
        <w:tc>
          <w:tcPr>
            <w:tcW w:w="1211" w:type="dxa"/>
            <w:hideMark/>
          </w:tcPr>
          <w:p w:rsidR="007C1B0A" w:rsidRPr="00752906" w:rsidRDefault="007C1B0A" w:rsidP="007C1B0A">
            <w:pPr>
              <w:jc w:val="center"/>
              <w:rPr>
                <w:b/>
                <w:sz w:val="16"/>
                <w:szCs w:val="16"/>
              </w:rPr>
            </w:pPr>
            <w:r>
              <w:rPr>
                <w:b/>
                <w:bCs/>
                <w:sz w:val="16"/>
                <w:szCs w:val="16"/>
              </w:rPr>
              <w:t xml:space="preserve">Damage area </w:t>
            </w:r>
            <w:r w:rsidRPr="00752906">
              <w:rPr>
                <w:sz w:val="16"/>
                <w:szCs w:val="16"/>
              </w:rPr>
              <w:br/>
            </w:r>
            <w:r w:rsidRPr="00752906">
              <w:rPr>
                <w:b/>
                <w:bCs/>
                <w:sz w:val="16"/>
                <w:szCs w:val="16"/>
              </w:rPr>
              <w:t>for the increase</w:t>
            </w:r>
          </w:p>
          <w:p w:rsidR="007C1B0A" w:rsidRPr="00752906" w:rsidRDefault="007C1B0A" w:rsidP="007C1B0A">
            <w:pPr>
              <w:jc w:val="center"/>
              <w:rPr>
                <w:b/>
                <w:sz w:val="16"/>
                <w:szCs w:val="16"/>
              </w:rPr>
            </w:pPr>
            <w:r w:rsidRPr="00752906">
              <w:rPr>
                <w:b/>
                <w:bCs/>
                <w:sz w:val="16"/>
                <w:szCs w:val="16"/>
              </w:rPr>
              <w:t>(m2)</w:t>
            </w:r>
          </w:p>
        </w:tc>
        <w:tc>
          <w:tcPr>
            <w:tcW w:w="1057" w:type="dxa"/>
            <w:hideMark/>
          </w:tcPr>
          <w:p w:rsidR="007C1B0A" w:rsidRPr="00752906" w:rsidRDefault="007C1B0A" w:rsidP="007C1B0A">
            <w:pPr>
              <w:jc w:val="center"/>
              <w:rPr>
                <w:b/>
                <w:sz w:val="16"/>
                <w:szCs w:val="16"/>
              </w:rPr>
            </w:pPr>
            <w:r w:rsidRPr="00752906">
              <w:rPr>
                <w:b/>
                <w:bCs/>
                <w:sz w:val="16"/>
                <w:szCs w:val="16"/>
              </w:rPr>
              <w:t xml:space="preserve">Corrected </w:t>
            </w:r>
            <w:r>
              <w:rPr>
                <w:b/>
                <w:bCs/>
                <w:sz w:val="16"/>
                <w:szCs w:val="16"/>
              </w:rPr>
              <w:t>area</w:t>
            </w:r>
            <w:r w:rsidRPr="00752906">
              <w:rPr>
                <w:b/>
                <w:bCs/>
                <w:sz w:val="16"/>
                <w:szCs w:val="16"/>
              </w:rPr>
              <w:t xml:space="preserve"> for the increase</w:t>
            </w:r>
          </w:p>
        </w:tc>
        <w:tc>
          <w:tcPr>
            <w:tcW w:w="1276" w:type="dxa"/>
            <w:hideMark/>
          </w:tcPr>
          <w:p w:rsidR="007C1B0A" w:rsidRPr="00752906" w:rsidRDefault="007C1B0A" w:rsidP="007C1B0A">
            <w:pPr>
              <w:jc w:val="center"/>
              <w:rPr>
                <w:b/>
                <w:sz w:val="16"/>
                <w:szCs w:val="16"/>
              </w:rPr>
            </w:pPr>
            <w:r w:rsidRPr="00752906">
              <w:rPr>
                <w:b/>
                <w:bCs/>
                <w:sz w:val="16"/>
                <w:szCs w:val="16"/>
              </w:rPr>
              <w:t>% decrease</w:t>
            </w:r>
            <w:r>
              <w:rPr>
                <w:b/>
                <w:bCs/>
                <w:sz w:val="16"/>
                <w:szCs w:val="16"/>
              </w:rPr>
              <w:t xml:space="preserve"> of</w:t>
            </w:r>
            <w:r w:rsidRPr="00752906">
              <w:rPr>
                <w:sz w:val="16"/>
                <w:szCs w:val="16"/>
              </w:rPr>
              <w:br/>
            </w:r>
            <w:r>
              <w:rPr>
                <w:b/>
                <w:bCs/>
                <w:sz w:val="16"/>
                <w:szCs w:val="16"/>
              </w:rPr>
              <w:t>damage area</w:t>
            </w:r>
          </w:p>
        </w:tc>
      </w:tr>
      <w:tr w:rsidR="007C1B0A" w:rsidRPr="00752906" w:rsidTr="007C1B0A">
        <w:trPr>
          <w:trHeight w:val="300"/>
        </w:trPr>
        <w:tc>
          <w:tcPr>
            <w:tcW w:w="993" w:type="dxa"/>
            <w:noWrap/>
            <w:hideMark/>
          </w:tcPr>
          <w:p w:rsidR="007C1B0A" w:rsidRPr="00752906" w:rsidRDefault="007C1B0A" w:rsidP="007C1B0A">
            <w:pPr>
              <w:jc w:val="center"/>
            </w:pPr>
            <w:r w:rsidRPr="00752906">
              <w:t>16 to 17</w:t>
            </w:r>
          </w:p>
        </w:tc>
        <w:tc>
          <w:tcPr>
            <w:tcW w:w="1280" w:type="dxa"/>
            <w:noWrap/>
            <w:hideMark/>
          </w:tcPr>
          <w:p w:rsidR="007C1B0A" w:rsidRPr="00752906" w:rsidRDefault="007C1B0A" w:rsidP="007C1B0A">
            <w:pPr>
              <w:jc w:val="center"/>
            </w:pPr>
            <w:r w:rsidRPr="00752906">
              <w:t>2027</w:t>
            </w:r>
          </w:p>
        </w:tc>
        <w:tc>
          <w:tcPr>
            <w:tcW w:w="1280" w:type="dxa"/>
            <w:noWrap/>
            <w:hideMark/>
          </w:tcPr>
          <w:p w:rsidR="007C1B0A" w:rsidRPr="00752906" w:rsidRDefault="007C1B0A" w:rsidP="007C1B0A">
            <w:pPr>
              <w:jc w:val="center"/>
            </w:pPr>
            <w:r w:rsidRPr="00752906">
              <w:t>2042</w:t>
            </w:r>
          </w:p>
        </w:tc>
        <w:tc>
          <w:tcPr>
            <w:tcW w:w="1280" w:type="dxa"/>
            <w:noWrap/>
            <w:hideMark/>
          </w:tcPr>
          <w:p w:rsidR="007C1B0A" w:rsidRPr="00752906" w:rsidRDefault="007C1B0A" w:rsidP="007C1B0A">
            <w:pPr>
              <w:jc w:val="center"/>
            </w:pPr>
            <w:r w:rsidRPr="00752906">
              <w:t>12910158</w:t>
            </w:r>
          </w:p>
        </w:tc>
        <w:tc>
          <w:tcPr>
            <w:tcW w:w="1211" w:type="dxa"/>
            <w:noWrap/>
            <w:hideMark/>
          </w:tcPr>
          <w:p w:rsidR="007C1B0A" w:rsidRPr="00752906" w:rsidRDefault="007C1B0A" w:rsidP="007C1B0A">
            <w:pPr>
              <w:jc w:val="center"/>
            </w:pPr>
            <w:r w:rsidRPr="00752906">
              <w:t>13102743</w:t>
            </w:r>
          </w:p>
        </w:tc>
        <w:tc>
          <w:tcPr>
            <w:tcW w:w="1057" w:type="dxa"/>
            <w:noWrap/>
            <w:hideMark/>
          </w:tcPr>
          <w:p w:rsidR="007C1B0A" w:rsidRPr="00752906" w:rsidRDefault="007C1B0A" w:rsidP="007C1B0A">
            <w:pPr>
              <w:jc w:val="center"/>
            </w:pPr>
            <w:r w:rsidRPr="00752906">
              <w:t>12331993</w:t>
            </w:r>
          </w:p>
        </w:tc>
        <w:tc>
          <w:tcPr>
            <w:tcW w:w="1276" w:type="dxa"/>
            <w:noWrap/>
            <w:hideMark/>
          </w:tcPr>
          <w:p w:rsidR="007C1B0A" w:rsidRPr="00752906" w:rsidRDefault="007C1B0A" w:rsidP="007C1B0A">
            <w:pPr>
              <w:jc w:val="center"/>
            </w:pPr>
            <w:r w:rsidRPr="00752906">
              <w:t>4.48</w:t>
            </w:r>
          </w:p>
        </w:tc>
      </w:tr>
      <w:tr w:rsidR="007C1B0A" w:rsidRPr="00752906" w:rsidTr="007C1B0A">
        <w:trPr>
          <w:trHeight w:val="300"/>
        </w:trPr>
        <w:tc>
          <w:tcPr>
            <w:tcW w:w="993" w:type="dxa"/>
            <w:noWrap/>
            <w:hideMark/>
          </w:tcPr>
          <w:p w:rsidR="007C1B0A" w:rsidRPr="00752906" w:rsidRDefault="007C1B0A" w:rsidP="007C1B0A">
            <w:pPr>
              <w:jc w:val="center"/>
            </w:pPr>
            <w:r w:rsidRPr="00752906">
              <w:t>16 to 18</w:t>
            </w:r>
          </w:p>
        </w:tc>
        <w:tc>
          <w:tcPr>
            <w:tcW w:w="1280" w:type="dxa"/>
            <w:noWrap/>
            <w:hideMark/>
          </w:tcPr>
          <w:p w:rsidR="007C1B0A" w:rsidRPr="00752906" w:rsidRDefault="007C1B0A" w:rsidP="007C1B0A">
            <w:pPr>
              <w:jc w:val="center"/>
            </w:pPr>
            <w:r w:rsidRPr="00752906">
              <w:t>2027</w:t>
            </w:r>
          </w:p>
        </w:tc>
        <w:tc>
          <w:tcPr>
            <w:tcW w:w="1280" w:type="dxa"/>
            <w:noWrap/>
            <w:hideMark/>
          </w:tcPr>
          <w:p w:rsidR="007C1B0A" w:rsidRPr="00752906" w:rsidRDefault="007C1B0A" w:rsidP="007C1B0A">
            <w:pPr>
              <w:jc w:val="center"/>
            </w:pPr>
            <w:r w:rsidRPr="00752906">
              <w:t>2055</w:t>
            </w:r>
          </w:p>
        </w:tc>
        <w:tc>
          <w:tcPr>
            <w:tcW w:w="1280" w:type="dxa"/>
            <w:noWrap/>
            <w:hideMark/>
          </w:tcPr>
          <w:p w:rsidR="007C1B0A" w:rsidRPr="00752906" w:rsidRDefault="007C1B0A" w:rsidP="007C1B0A">
            <w:pPr>
              <w:jc w:val="center"/>
            </w:pPr>
            <w:r w:rsidRPr="00752906">
              <w:t>12910158</w:t>
            </w:r>
          </w:p>
        </w:tc>
        <w:tc>
          <w:tcPr>
            <w:tcW w:w="1211" w:type="dxa"/>
            <w:noWrap/>
            <w:hideMark/>
          </w:tcPr>
          <w:p w:rsidR="007C1B0A" w:rsidRPr="00752906" w:rsidRDefault="007C1B0A" w:rsidP="007C1B0A">
            <w:pPr>
              <w:jc w:val="center"/>
            </w:pPr>
            <w:r w:rsidRPr="00752906">
              <w:t>13263100</w:t>
            </w:r>
          </w:p>
        </w:tc>
        <w:tc>
          <w:tcPr>
            <w:tcW w:w="1057" w:type="dxa"/>
            <w:noWrap/>
            <w:hideMark/>
          </w:tcPr>
          <w:p w:rsidR="007C1B0A" w:rsidRPr="00752906" w:rsidRDefault="007C1B0A" w:rsidP="007C1B0A">
            <w:pPr>
              <w:jc w:val="center"/>
            </w:pPr>
            <w:r w:rsidRPr="00752906">
              <w:t>11789422</w:t>
            </w:r>
          </w:p>
        </w:tc>
        <w:tc>
          <w:tcPr>
            <w:tcW w:w="1276" w:type="dxa"/>
            <w:noWrap/>
            <w:hideMark/>
          </w:tcPr>
          <w:p w:rsidR="007C1B0A" w:rsidRPr="00752906" w:rsidRDefault="007C1B0A" w:rsidP="007C1B0A">
            <w:pPr>
              <w:jc w:val="center"/>
            </w:pPr>
            <w:r w:rsidRPr="00752906">
              <w:t>8.68</w:t>
            </w:r>
          </w:p>
        </w:tc>
      </w:tr>
      <w:tr w:rsidR="007C1B0A" w:rsidRPr="00752906" w:rsidTr="007C1B0A">
        <w:trPr>
          <w:trHeight w:val="300"/>
        </w:trPr>
        <w:tc>
          <w:tcPr>
            <w:tcW w:w="993" w:type="dxa"/>
            <w:noWrap/>
            <w:hideMark/>
          </w:tcPr>
          <w:p w:rsidR="007C1B0A" w:rsidRPr="00752906" w:rsidRDefault="007C1B0A" w:rsidP="007C1B0A">
            <w:pPr>
              <w:jc w:val="center"/>
            </w:pPr>
            <w:r w:rsidRPr="00752906">
              <w:t>16 to 19</w:t>
            </w:r>
          </w:p>
        </w:tc>
        <w:tc>
          <w:tcPr>
            <w:tcW w:w="1280" w:type="dxa"/>
            <w:noWrap/>
            <w:hideMark/>
          </w:tcPr>
          <w:p w:rsidR="007C1B0A" w:rsidRPr="00752906" w:rsidRDefault="007C1B0A" w:rsidP="007C1B0A">
            <w:pPr>
              <w:jc w:val="center"/>
            </w:pPr>
            <w:r w:rsidRPr="00752906">
              <w:t>2027</w:t>
            </w:r>
          </w:p>
        </w:tc>
        <w:tc>
          <w:tcPr>
            <w:tcW w:w="1280" w:type="dxa"/>
            <w:noWrap/>
            <w:hideMark/>
          </w:tcPr>
          <w:p w:rsidR="007C1B0A" w:rsidRPr="00752906" w:rsidRDefault="007C1B0A" w:rsidP="007C1B0A">
            <w:pPr>
              <w:jc w:val="center"/>
            </w:pPr>
            <w:r w:rsidRPr="00752906">
              <w:t>2065</w:t>
            </w:r>
          </w:p>
        </w:tc>
        <w:tc>
          <w:tcPr>
            <w:tcW w:w="1280" w:type="dxa"/>
            <w:noWrap/>
            <w:hideMark/>
          </w:tcPr>
          <w:p w:rsidR="007C1B0A" w:rsidRPr="00752906" w:rsidRDefault="007C1B0A" w:rsidP="007C1B0A">
            <w:pPr>
              <w:jc w:val="center"/>
            </w:pPr>
            <w:r w:rsidRPr="00752906">
              <w:t>12910158</w:t>
            </w:r>
          </w:p>
        </w:tc>
        <w:tc>
          <w:tcPr>
            <w:tcW w:w="1211" w:type="dxa"/>
            <w:noWrap/>
            <w:hideMark/>
          </w:tcPr>
          <w:p w:rsidR="007C1B0A" w:rsidRPr="00752906" w:rsidRDefault="007C1B0A" w:rsidP="007C1B0A">
            <w:pPr>
              <w:jc w:val="center"/>
            </w:pPr>
            <w:r w:rsidRPr="00752906">
              <w:t>13393215</w:t>
            </w:r>
          </w:p>
        </w:tc>
        <w:tc>
          <w:tcPr>
            <w:tcW w:w="1057" w:type="dxa"/>
            <w:noWrap/>
            <w:hideMark/>
          </w:tcPr>
          <w:p w:rsidR="007C1B0A" w:rsidRPr="00752906" w:rsidRDefault="007C1B0A" w:rsidP="007C1B0A">
            <w:pPr>
              <w:jc w:val="center"/>
            </w:pPr>
            <w:r w:rsidRPr="00752906">
              <w:t>11278496</w:t>
            </w:r>
          </w:p>
        </w:tc>
        <w:tc>
          <w:tcPr>
            <w:tcW w:w="1276" w:type="dxa"/>
            <w:noWrap/>
            <w:hideMark/>
          </w:tcPr>
          <w:p w:rsidR="007C1B0A" w:rsidRPr="00752906" w:rsidRDefault="007C1B0A" w:rsidP="007C1B0A">
            <w:pPr>
              <w:jc w:val="center"/>
            </w:pPr>
            <w:r w:rsidRPr="00752906">
              <w:t>12.64</w:t>
            </w:r>
          </w:p>
        </w:tc>
      </w:tr>
      <w:tr w:rsidR="007C1B0A" w:rsidRPr="00752906" w:rsidTr="007C1B0A">
        <w:trPr>
          <w:trHeight w:val="300"/>
        </w:trPr>
        <w:tc>
          <w:tcPr>
            <w:tcW w:w="993" w:type="dxa"/>
            <w:noWrap/>
            <w:hideMark/>
          </w:tcPr>
          <w:p w:rsidR="007C1B0A" w:rsidRPr="00752906" w:rsidRDefault="007C1B0A" w:rsidP="007C1B0A">
            <w:pPr>
              <w:jc w:val="center"/>
              <w:rPr>
                <w:b/>
              </w:rPr>
            </w:pPr>
            <w:r w:rsidRPr="00752906">
              <w:rPr>
                <w:b/>
                <w:bCs/>
              </w:rPr>
              <w:t>16 to 20</w:t>
            </w:r>
          </w:p>
        </w:tc>
        <w:tc>
          <w:tcPr>
            <w:tcW w:w="1280" w:type="dxa"/>
            <w:noWrap/>
            <w:hideMark/>
          </w:tcPr>
          <w:p w:rsidR="007C1B0A" w:rsidRPr="00752906" w:rsidRDefault="007C1B0A" w:rsidP="007C1B0A">
            <w:pPr>
              <w:jc w:val="center"/>
              <w:rPr>
                <w:b/>
              </w:rPr>
            </w:pPr>
            <w:r w:rsidRPr="00752906">
              <w:rPr>
                <w:b/>
                <w:bCs/>
              </w:rPr>
              <w:t>2027</w:t>
            </w:r>
          </w:p>
        </w:tc>
        <w:tc>
          <w:tcPr>
            <w:tcW w:w="1280" w:type="dxa"/>
            <w:noWrap/>
            <w:hideMark/>
          </w:tcPr>
          <w:p w:rsidR="007C1B0A" w:rsidRPr="00752906" w:rsidRDefault="007C1B0A" w:rsidP="007C1B0A">
            <w:pPr>
              <w:jc w:val="center"/>
              <w:rPr>
                <w:b/>
              </w:rPr>
            </w:pPr>
            <w:r w:rsidRPr="00752906">
              <w:rPr>
                <w:b/>
                <w:bCs/>
              </w:rPr>
              <w:t>2073</w:t>
            </w:r>
          </w:p>
        </w:tc>
        <w:tc>
          <w:tcPr>
            <w:tcW w:w="1280" w:type="dxa"/>
            <w:noWrap/>
            <w:hideMark/>
          </w:tcPr>
          <w:p w:rsidR="007C1B0A" w:rsidRPr="00752906" w:rsidRDefault="007C1B0A" w:rsidP="007C1B0A">
            <w:pPr>
              <w:jc w:val="center"/>
              <w:rPr>
                <w:b/>
              </w:rPr>
            </w:pPr>
            <w:r w:rsidRPr="00752906">
              <w:rPr>
                <w:b/>
                <w:bCs/>
              </w:rPr>
              <w:t>12910158</w:t>
            </w:r>
          </w:p>
        </w:tc>
        <w:tc>
          <w:tcPr>
            <w:tcW w:w="1211" w:type="dxa"/>
            <w:noWrap/>
            <w:hideMark/>
          </w:tcPr>
          <w:p w:rsidR="007C1B0A" w:rsidRPr="00752906" w:rsidRDefault="007C1B0A" w:rsidP="007C1B0A">
            <w:pPr>
              <w:jc w:val="center"/>
              <w:rPr>
                <w:b/>
              </w:rPr>
            </w:pPr>
            <w:r w:rsidRPr="00752906">
              <w:rPr>
                <w:b/>
                <w:bCs/>
              </w:rPr>
              <w:t>13494894</w:t>
            </w:r>
          </w:p>
        </w:tc>
        <w:tc>
          <w:tcPr>
            <w:tcW w:w="1057" w:type="dxa"/>
            <w:noWrap/>
            <w:hideMark/>
          </w:tcPr>
          <w:p w:rsidR="007C1B0A" w:rsidRPr="00752906" w:rsidRDefault="007C1B0A" w:rsidP="007C1B0A">
            <w:pPr>
              <w:jc w:val="center"/>
              <w:rPr>
                <w:b/>
              </w:rPr>
            </w:pPr>
            <w:r w:rsidRPr="00752906">
              <w:rPr>
                <w:b/>
                <w:bCs/>
              </w:rPr>
              <w:t>10795915</w:t>
            </w:r>
          </w:p>
        </w:tc>
        <w:tc>
          <w:tcPr>
            <w:tcW w:w="1276" w:type="dxa"/>
            <w:noWrap/>
            <w:hideMark/>
          </w:tcPr>
          <w:p w:rsidR="007C1B0A" w:rsidRPr="00752906" w:rsidRDefault="007C1B0A" w:rsidP="007C1B0A">
            <w:pPr>
              <w:jc w:val="center"/>
              <w:rPr>
                <w:b/>
              </w:rPr>
            </w:pPr>
            <w:r w:rsidRPr="00752906">
              <w:rPr>
                <w:b/>
                <w:bCs/>
              </w:rPr>
              <w:t>16.38</w:t>
            </w:r>
          </w:p>
        </w:tc>
      </w:tr>
      <w:tr w:rsidR="007C1B0A" w:rsidRPr="00752906" w:rsidTr="007C1B0A">
        <w:trPr>
          <w:trHeight w:val="300"/>
        </w:trPr>
        <w:tc>
          <w:tcPr>
            <w:tcW w:w="993" w:type="dxa"/>
            <w:noWrap/>
            <w:hideMark/>
          </w:tcPr>
          <w:p w:rsidR="007C1B0A" w:rsidRPr="00752906" w:rsidRDefault="007C1B0A" w:rsidP="007C1B0A">
            <w:pPr>
              <w:jc w:val="center"/>
            </w:pPr>
            <w:r w:rsidRPr="00752906">
              <w:t>16 to 21</w:t>
            </w:r>
          </w:p>
        </w:tc>
        <w:tc>
          <w:tcPr>
            <w:tcW w:w="1280" w:type="dxa"/>
            <w:noWrap/>
            <w:hideMark/>
          </w:tcPr>
          <w:p w:rsidR="007C1B0A" w:rsidRPr="00752906" w:rsidRDefault="007C1B0A" w:rsidP="007C1B0A">
            <w:pPr>
              <w:jc w:val="center"/>
            </w:pPr>
            <w:r w:rsidRPr="00752906">
              <w:t>2027</w:t>
            </w:r>
          </w:p>
        </w:tc>
        <w:tc>
          <w:tcPr>
            <w:tcW w:w="1280" w:type="dxa"/>
            <w:noWrap/>
            <w:hideMark/>
          </w:tcPr>
          <w:p w:rsidR="007C1B0A" w:rsidRPr="00752906" w:rsidRDefault="007C1B0A" w:rsidP="007C1B0A">
            <w:pPr>
              <w:jc w:val="center"/>
            </w:pPr>
            <w:r w:rsidRPr="00752906">
              <w:t>2078</w:t>
            </w:r>
          </w:p>
        </w:tc>
        <w:tc>
          <w:tcPr>
            <w:tcW w:w="1280" w:type="dxa"/>
            <w:noWrap/>
            <w:hideMark/>
          </w:tcPr>
          <w:p w:rsidR="007C1B0A" w:rsidRPr="00752906" w:rsidRDefault="007C1B0A" w:rsidP="007C1B0A">
            <w:pPr>
              <w:jc w:val="center"/>
            </w:pPr>
            <w:r w:rsidRPr="00752906">
              <w:t>12910158</w:t>
            </w:r>
          </w:p>
        </w:tc>
        <w:tc>
          <w:tcPr>
            <w:tcW w:w="1211" w:type="dxa"/>
            <w:noWrap/>
            <w:hideMark/>
          </w:tcPr>
          <w:p w:rsidR="007C1B0A" w:rsidRPr="00752906" w:rsidRDefault="007C1B0A" w:rsidP="007C1B0A">
            <w:pPr>
              <w:jc w:val="center"/>
            </w:pPr>
            <w:r w:rsidRPr="00752906">
              <w:t>13569795</w:t>
            </w:r>
          </w:p>
        </w:tc>
        <w:tc>
          <w:tcPr>
            <w:tcW w:w="1057" w:type="dxa"/>
            <w:noWrap/>
            <w:hideMark/>
          </w:tcPr>
          <w:p w:rsidR="007C1B0A" w:rsidRPr="00752906" w:rsidRDefault="007C1B0A" w:rsidP="007C1B0A">
            <w:pPr>
              <w:jc w:val="center"/>
            </w:pPr>
            <w:r w:rsidRPr="00752906">
              <w:t>10338891</w:t>
            </w:r>
          </w:p>
        </w:tc>
        <w:tc>
          <w:tcPr>
            <w:tcW w:w="1276" w:type="dxa"/>
            <w:noWrap/>
            <w:hideMark/>
          </w:tcPr>
          <w:p w:rsidR="007C1B0A" w:rsidRPr="00752906" w:rsidRDefault="007C1B0A" w:rsidP="007C1B0A">
            <w:pPr>
              <w:jc w:val="center"/>
            </w:pPr>
            <w:r w:rsidRPr="00752906">
              <w:t>19.92</w:t>
            </w:r>
          </w:p>
        </w:tc>
      </w:tr>
      <w:tr w:rsidR="007C1B0A" w:rsidRPr="00752906" w:rsidTr="007C1B0A">
        <w:trPr>
          <w:trHeight w:val="300"/>
        </w:trPr>
        <w:tc>
          <w:tcPr>
            <w:tcW w:w="993" w:type="dxa"/>
            <w:noWrap/>
            <w:hideMark/>
          </w:tcPr>
          <w:p w:rsidR="007C1B0A" w:rsidRPr="00752906" w:rsidRDefault="007C1B0A" w:rsidP="007C1B0A">
            <w:pPr>
              <w:jc w:val="center"/>
            </w:pPr>
            <w:r w:rsidRPr="00752906">
              <w:t>16 to 22</w:t>
            </w:r>
          </w:p>
        </w:tc>
        <w:tc>
          <w:tcPr>
            <w:tcW w:w="1280" w:type="dxa"/>
            <w:noWrap/>
            <w:hideMark/>
          </w:tcPr>
          <w:p w:rsidR="007C1B0A" w:rsidRPr="00752906" w:rsidRDefault="007C1B0A" w:rsidP="007C1B0A">
            <w:pPr>
              <w:jc w:val="center"/>
            </w:pPr>
            <w:r w:rsidRPr="00752906">
              <w:t>2027</w:t>
            </w:r>
          </w:p>
        </w:tc>
        <w:tc>
          <w:tcPr>
            <w:tcW w:w="1280" w:type="dxa"/>
            <w:noWrap/>
            <w:hideMark/>
          </w:tcPr>
          <w:p w:rsidR="007C1B0A" w:rsidRPr="00752906" w:rsidRDefault="007C1B0A" w:rsidP="007C1B0A">
            <w:pPr>
              <w:jc w:val="center"/>
            </w:pPr>
            <w:r w:rsidRPr="00752906">
              <w:t>2082</w:t>
            </w:r>
          </w:p>
        </w:tc>
        <w:tc>
          <w:tcPr>
            <w:tcW w:w="1280" w:type="dxa"/>
            <w:noWrap/>
            <w:hideMark/>
          </w:tcPr>
          <w:p w:rsidR="007C1B0A" w:rsidRPr="00752906" w:rsidRDefault="007C1B0A" w:rsidP="007C1B0A">
            <w:pPr>
              <w:jc w:val="center"/>
            </w:pPr>
            <w:r w:rsidRPr="00752906">
              <w:t>12910158</w:t>
            </w:r>
          </w:p>
        </w:tc>
        <w:tc>
          <w:tcPr>
            <w:tcW w:w="1211" w:type="dxa"/>
            <w:noWrap/>
            <w:hideMark/>
          </w:tcPr>
          <w:p w:rsidR="007C1B0A" w:rsidRPr="00752906" w:rsidRDefault="007C1B0A" w:rsidP="007C1B0A">
            <w:pPr>
              <w:jc w:val="center"/>
            </w:pPr>
            <w:r w:rsidRPr="00752906">
              <w:t>13619447</w:t>
            </w:r>
          </w:p>
        </w:tc>
        <w:tc>
          <w:tcPr>
            <w:tcW w:w="1057" w:type="dxa"/>
            <w:noWrap/>
            <w:hideMark/>
          </w:tcPr>
          <w:p w:rsidR="007C1B0A" w:rsidRPr="00752906" w:rsidRDefault="007C1B0A" w:rsidP="007C1B0A">
            <w:pPr>
              <w:jc w:val="center"/>
            </w:pPr>
            <w:r w:rsidRPr="00752906">
              <w:t>9905052</w:t>
            </w:r>
          </w:p>
        </w:tc>
        <w:tc>
          <w:tcPr>
            <w:tcW w:w="1276" w:type="dxa"/>
            <w:noWrap/>
            <w:hideMark/>
          </w:tcPr>
          <w:p w:rsidR="007C1B0A" w:rsidRPr="00752906" w:rsidRDefault="007C1B0A" w:rsidP="007C1B0A">
            <w:pPr>
              <w:jc w:val="center"/>
            </w:pPr>
            <w:r w:rsidRPr="00752906">
              <w:t>23.28</w:t>
            </w:r>
          </w:p>
        </w:tc>
      </w:tr>
      <w:tr w:rsidR="007C1B0A" w:rsidRPr="00752906" w:rsidTr="007C1B0A">
        <w:trPr>
          <w:trHeight w:val="300"/>
        </w:trPr>
        <w:tc>
          <w:tcPr>
            <w:tcW w:w="993" w:type="dxa"/>
            <w:noWrap/>
            <w:hideMark/>
          </w:tcPr>
          <w:p w:rsidR="007C1B0A" w:rsidRPr="00752906" w:rsidRDefault="007C1B0A" w:rsidP="007C1B0A">
            <w:pPr>
              <w:jc w:val="center"/>
            </w:pPr>
            <w:r w:rsidRPr="00752906">
              <w:t>16 to 23</w:t>
            </w:r>
          </w:p>
        </w:tc>
        <w:tc>
          <w:tcPr>
            <w:tcW w:w="1280" w:type="dxa"/>
            <w:noWrap/>
            <w:hideMark/>
          </w:tcPr>
          <w:p w:rsidR="007C1B0A" w:rsidRPr="00752906" w:rsidRDefault="007C1B0A" w:rsidP="007C1B0A">
            <w:pPr>
              <w:jc w:val="center"/>
            </w:pPr>
            <w:r w:rsidRPr="00752906">
              <w:t>2027</w:t>
            </w:r>
          </w:p>
        </w:tc>
        <w:tc>
          <w:tcPr>
            <w:tcW w:w="1280" w:type="dxa"/>
            <w:noWrap/>
            <w:hideMark/>
          </w:tcPr>
          <w:p w:rsidR="007C1B0A" w:rsidRPr="00752906" w:rsidRDefault="007C1B0A" w:rsidP="007C1B0A">
            <w:pPr>
              <w:jc w:val="center"/>
            </w:pPr>
            <w:r w:rsidRPr="00752906">
              <w:t>2084</w:t>
            </w:r>
          </w:p>
        </w:tc>
        <w:tc>
          <w:tcPr>
            <w:tcW w:w="1280" w:type="dxa"/>
            <w:noWrap/>
            <w:hideMark/>
          </w:tcPr>
          <w:p w:rsidR="007C1B0A" w:rsidRPr="00752906" w:rsidRDefault="007C1B0A" w:rsidP="007C1B0A">
            <w:pPr>
              <w:jc w:val="center"/>
            </w:pPr>
            <w:r w:rsidRPr="00752906">
              <w:t>12910158</w:t>
            </w:r>
          </w:p>
        </w:tc>
        <w:tc>
          <w:tcPr>
            <w:tcW w:w="1211" w:type="dxa"/>
            <w:noWrap/>
            <w:hideMark/>
          </w:tcPr>
          <w:p w:rsidR="007C1B0A" w:rsidRPr="00752906" w:rsidRDefault="007C1B0A" w:rsidP="007C1B0A">
            <w:pPr>
              <w:jc w:val="center"/>
            </w:pPr>
            <w:r w:rsidRPr="00752906">
              <w:t>13645265</w:t>
            </w:r>
          </w:p>
        </w:tc>
        <w:tc>
          <w:tcPr>
            <w:tcW w:w="1057" w:type="dxa"/>
            <w:noWrap/>
            <w:hideMark/>
          </w:tcPr>
          <w:p w:rsidR="007C1B0A" w:rsidRPr="00752906" w:rsidRDefault="007C1B0A" w:rsidP="007C1B0A">
            <w:pPr>
              <w:jc w:val="center"/>
            </w:pPr>
            <w:r w:rsidRPr="00752906">
              <w:t>9492359</w:t>
            </w:r>
          </w:p>
        </w:tc>
        <w:tc>
          <w:tcPr>
            <w:tcW w:w="1276" w:type="dxa"/>
            <w:noWrap/>
            <w:hideMark/>
          </w:tcPr>
          <w:p w:rsidR="007C1B0A" w:rsidRPr="00752906" w:rsidRDefault="007C1B0A" w:rsidP="007C1B0A">
            <w:pPr>
              <w:jc w:val="center"/>
            </w:pPr>
            <w:r w:rsidRPr="00752906">
              <w:t>26.47</w:t>
            </w:r>
          </w:p>
        </w:tc>
      </w:tr>
      <w:tr w:rsidR="007C1B0A" w:rsidRPr="00752906" w:rsidTr="007C1B0A">
        <w:trPr>
          <w:trHeight w:val="300"/>
        </w:trPr>
        <w:tc>
          <w:tcPr>
            <w:tcW w:w="993" w:type="dxa"/>
            <w:noWrap/>
            <w:hideMark/>
          </w:tcPr>
          <w:p w:rsidR="007C1B0A" w:rsidRPr="00752906" w:rsidRDefault="007C1B0A" w:rsidP="007C1B0A">
            <w:pPr>
              <w:jc w:val="center"/>
            </w:pPr>
            <w:r w:rsidRPr="00752906">
              <w:t>16 to 24</w:t>
            </w:r>
          </w:p>
        </w:tc>
        <w:tc>
          <w:tcPr>
            <w:tcW w:w="1280" w:type="dxa"/>
            <w:noWrap/>
            <w:hideMark/>
          </w:tcPr>
          <w:p w:rsidR="007C1B0A" w:rsidRPr="00752906" w:rsidRDefault="007C1B0A" w:rsidP="007C1B0A">
            <w:pPr>
              <w:jc w:val="center"/>
            </w:pPr>
            <w:r w:rsidRPr="00752906">
              <w:t>2027.170789</w:t>
            </w:r>
          </w:p>
        </w:tc>
        <w:tc>
          <w:tcPr>
            <w:tcW w:w="1280" w:type="dxa"/>
            <w:noWrap/>
            <w:hideMark/>
          </w:tcPr>
          <w:p w:rsidR="007C1B0A" w:rsidRPr="00752906" w:rsidRDefault="007C1B0A" w:rsidP="007C1B0A">
            <w:pPr>
              <w:jc w:val="center"/>
            </w:pPr>
            <w:r w:rsidRPr="00752906">
              <w:t>2084.338121</w:t>
            </w:r>
          </w:p>
        </w:tc>
        <w:tc>
          <w:tcPr>
            <w:tcW w:w="1280" w:type="dxa"/>
            <w:noWrap/>
            <w:hideMark/>
          </w:tcPr>
          <w:p w:rsidR="007C1B0A" w:rsidRPr="00752906" w:rsidRDefault="007C1B0A" w:rsidP="007C1B0A">
            <w:pPr>
              <w:jc w:val="center"/>
            </w:pPr>
            <w:r w:rsidRPr="00752906">
              <w:t>12910158.29</w:t>
            </w:r>
          </w:p>
        </w:tc>
        <w:tc>
          <w:tcPr>
            <w:tcW w:w="1211" w:type="dxa"/>
            <w:noWrap/>
            <w:hideMark/>
          </w:tcPr>
          <w:p w:rsidR="007C1B0A" w:rsidRPr="00752906" w:rsidRDefault="007C1B0A" w:rsidP="007C1B0A">
            <w:pPr>
              <w:jc w:val="center"/>
            </w:pPr>
            <w:r w:rsidRPr="00752906">
              <w:t>13648573</w:t>
            </w:r>
          </w:p>
        </w:tc>
        <w:tc>
          <w:tcPr>
            <w:tcW w:w="1057" w:type="dxa"/>
            <w:noWrap/>
            <w:hideMark/>
          </w:tcPr>
          <w:p w:rsidR="007C1B0A" w:rsidRPr="00752906" w:rsidRDefault="007C1B0A" w:rsidP="007C1B0A">
            <w:pPr>
              <w:jc w:val="center"/>
            </w:pPr>
            <w:r w:rsidRPr="00752906">
              <w:t>9099048</w:t>
            </w:r>
          </w:p>
        </w:tc>
        <w:tc>
          <w:tcPr>
            <w:tcW w:w="1276" w:type="dxa"/>
            <w:noWrap/>
            <w:hideMark/>
          </w:tcPr>
          <w:p w:rsidR="007C1B0A" w:rsidRPr="00752906" w:rsidRDefault="007C1B0A" w:rsidP="007C1B0A">
            <w:pPr>
              <w:jc w:val="center"/>
            </w:pPr>
            <w:r w:rsidRPr="00752906">
              <w:t>29.52</w:t>
            </w:r>
          </w:p>
        </w:tc>
      </w:tr>
      <w:tr w:rsidR="007C1B0A" w:rsidRPr="00752906" w:rsidTr="007C1B0A">
        <w:trPr>
          <w:trHeight w:val="274"/>
        </w:trPr>
        <w:tc>
          <w:tcPr>
            <w:tcW w:w="993" w:type="dxa"/>
            <w:noWrap/>
            <w:hideMark/>
          </w:tcPr>
          <w:p w:rsidR="007C1B0A" w:rsidRPr="00752906" w:rsidRDefault="007C1B0A" w:rsidP="007C1B0A">
            <w:pPr>
              <w:jc w:val="center"/>
            </w:pPr>
            <w:r w:rsidRPr="00752906">
              <w:t>16 to 25</w:t>
            </w:r>
          </w:p>
        </w:tc>
        <w:tc>
          <w:tcPr>
            <w:tcW w:w="1280" w:type="dxa"/>
            <w:noWrap/>
            <w:hideMark/>
          </w:tcPr>
          <w:p w:rsidR="007C1B0A" w:rsidRPr="00752906" w:rsidRDefault="007C1B0A" w:rsidP="007C1B0A">
            <w:pPr>
              <w:jc w:val="center"/>
            </w:pPr>
            <w:r w:rsidRPr="00752906">
              <w:t>2027.170789</w:t>
            </w:r>
          </w:p>
        </w:tc>
        <w:tc>
          <w:tcPr>
            <w:tcW w:w="1280" w:type="dxa"/>
            <w:noWrap/>
            <w:hideMark/>
          </w:tcPr>
          <w:p w:rsidR="007C1B0A" w:rsidRPr="00752906" w:rsidRDefault="007C1B0A" w:rsidP="007C1B0A">
            <w:pPr>
              <w:jc w:val="center"/>
            </w:pPr>
            <w:r w:rsidRPr="00752906">
              <w:t>2082.965612</w:t>
            </w:r>
          </w:p>
        </w:tc>
        <w:tc>
          <w:tcPr>
            <w:tcW w:w="1280" w:type="dxa"/>
            <w:noWrap/>
            <w:hideMark/>
          </w:tcPr>
          <w:p w:rsidR="007C1B0A" w:rsidRPr="00752906" w:rsidRDefault="007C1B0A" w:rsidP="007C1B0A">
            <w:pPr>
              <w:jc w:val="center"/>
            </w:pPr>
            <w:r w:rsidRPr="00752906">
              <w:t>12910158.29</w:t>
            </w:r>
          </w:p>
        </w:tc>
        <w:tc>
          <w:tcPr>
            <w:tcW w:w="1211" w:type="dxa"/>
            <w:noWrap/>
            <w:hideMark/>
          </w:tcPr>
          <w:p w:rsidR="007C1B0A" w:rsidRPr="00752906" w:rsidRDefault="007C1B0A" w:rsidP="007C1B0A">
            <w:pPr>
              <w:jc w:val="center"/>
            </w:pPr>
            <w:r w:rsidRPr="00752906">
              <w:t>13630604</w:t>
            </w:r>
          </w:p>
          <w:p w:rsidR="007C1B0A" w:rsidRPr="00752906" w:rsidRDefault="007C1B0A" w:rsidP="007C1B0A">
            <w:pPr>
              <w:jc w:val="center"/>
            </w:pPr>
          </w:p>
        </w:tc>
        <w:tc>
          <w:tcPr>
            <w:tcW w:w="1057" w:type="dxa"/>
            <w:noWrap/>
            <w:hideMark/>
          </w:tcPr>
          <w:p w:rsidR="007C1B0A" w:rsidRPr="00752906" w:rsidRDefault="007C1B0A" w:rsidP="007C1B0A">
            <w:pPr>
              <w:jc w:val="center"/>
            </w:pPr>
            <w:r w:rsidRPr="00752906">
              <w:t>8723586</w:t>
            </w:r>
          </w:p>
        </w:tc>
        <w:tc>
          <w:tcPr>
            <w:tcW w:w="1276" w:type="dxa"/>
            <w:noWrap/>
            <w:hideMark/>
          </w:tcPr>
          <w:p w:rsidR="007C1B0A" w:rsidRPr="00752906" w:rsidRDefault="007C1B0A" w:rsidP="007C1B0A">
            <w:pPr>
              <w:jc w:val="center"/>
            </w:pPr>
            <w:r w:rsidRPr="00752906">
              <w:t>32.43</w:t>
            </w:r>
          </w:p>
        </w:tc>
      </w:tr>
    </w:tbl>
    <w:p w:rsidR="007C1B0A" w:rsidRPr="009D4EBE" w:rsidRDefault="007C1B0A" w:rsidP="004F3D17">
      <w:pPr>
        <w:spacing w:before="120" w:after="120"/>
        <w:jc w:val="center"/>
        <w:rPr>
          <w:i/>
        </w:rPr>
      </w:pPr>
      <w:r w:rsidRPr="009D4EBE">
        <w:rPr>
          <w:bCs/>
          <w:i/>
        </w:rPr>
        <w:t>Table 4.</w:t>
      </w:r>
      <w:r w:rsidRPr="009D4EBE">
        <w:rPr>
          <w:i/>
        </w:rPr>
        <w:t xml:space="preserve"> </w:t>
      </w:r>
      <w:r w:rsidRPr="009D4EBE">
        <w:rPr>
          <w:bCs/>
          <w:i/>
        </w:rPr>
        <w:t>Damage area</w:t>
      </w:r>
    </w:p>
    <w:p w:rsidR="007C1B0A" w:rsidRDefault="007C1B0A" w:rsidP="007C1B0A">
      <w:pPr>
        <w:pStyle w:val="SingleTxtG"/>
      </w:pPr>
      <w:r>
        <w:t>In both tables, the following columns have been included, in table 3 for the lethal affection, and in table 4 for the damage affection:</w:t>
      </w:r>
    </w:p>
    <w:p w:rsidR="007C1B0A" w:rsidRPr="004F3D17" w:rsidRDefault="00E2618C" w:rsidP="00E2618C">
      <w:pPr>
        <w:pStyle w:val="SingleTxtG"/>
      </w:pPr>
      <w:r>
        <w:t>1.</w:t>
      </w:r>
      <w:r>
        <w:tab/>
      </w:r>
      <w:r w:rsidR="007C1B0A" w:rsidRPr="004F3D17">
        <w:t>Increase of explosives per transport unit</w:t>
      </w:r>
    </w:p>
    <w:p w:rsidR="007C1B0A" w:rsidRPr="004F3D17" w:rsidRDefault="00E2618C" w:rsidP="004F3D17">
      <w:pPr>
        <w:pStyle w:val="SingleTxtG"/>
      </w:pPr>
      <w:r>
        <w:t>2.</w:t>
      </w:r>
      <w:r>
        <w:tab/>
      </w:r>
      <w:r w:rsidR="007C1B0A" w:rsidRPr="004F3D17">
        <w:t>Radius (m) for the lethal/damage area for the specific case of transport of 16 t (maximum limit according to present ADR regulation)</w:t>
      </w:r>
    </w:p>
    <w:p w:rsidR="007C1B0A" w:rsidRPr="004F3D17" w:rsidRDefault="00E2618C" w:rsidP="004F3D17">
      <w:pPr>
        <w:pStyle w:val="SingleTxtG"/>
      </w:pPr>
      <w:r>
        <w:t>3.</w:t>
      </w:r>
      <w:r>
        <w:tab/>
      </w:r>
      <w:r w:rsidR="007C1B0A" w:rsidRPr="004F3D17">
        <w:t>Radius (m) for the lethal/damage in case the increase shown in column (1) would be permitted</w:t>
      </w:r>
    </w:p>
    <w:p w:rsidR="007C1B0A" w:rsidRPr="004F3D17" w:rsidRDefault="00E2618C" w:rsidP="004F3D17">
      <w:pPr>
        <w:pStyle w:val="SingleTxtG"/>
      </w:pPr>
      <w:r>
        <w:t>4.</w:t>
      </w:r>
      <w:r>
        <w:tab/>
      </w:r>
      <w:r w:rsidR="007C1B0A" w:rsidRPr="004F3D17">
        <w:t>Area (m2) for the lethal/damage are for the specific case of transport of 16 t (maximum limit according to present ADR regulation)</w:t>
      </w:r>
    </w:p>
    <w:p w:rsidR="007C1B0A" w:rsidRPr="004F3D17" w:rsidRDefault="00E2618C" w:rsidP="004F3D17">
      <w:pPr>
        <w:pStyle w:val="SingleTxtG"/>
      </w:pPr>
      <w:r>
        <w:lastRenderedPageBreak/>
        <w:t>5.</w:t>
      </w:r>
      <w:r>
        <w:tab/>
      </w:r>
      <w:r w:rsidR="007C1B0A" w:rsidRPr="004F3D17">
        <w:t>Area (m2) for the lethal/damage in case the increase shown in column (1) would be permitted</w:t>
      </w:r>
    </w:p>
    <w:p w:rsidR="007C1B0A" w:rsidRPr="004F3D17" w:rsidRDefault="00E2618C" w:rsidP="004F3D17">
      <w:pPr>
        <w:pStyle w:val="SingleTxtG"/>
      </w:pPr>
      <w:r>
        <w:t>6.</w:t>
      </w:r>
      <w:r>
        <w:tab/>
      </w:r>
      <w:r w:rsidR="007C1B0A" w:rsidRPr="004F3D17">
        <w:t>Corrected area (m2) for the increase: area corrected with the factor obtained in table 2. In this column, the combined effect of considering both the decrease in risk caused by reducing the number of trips and the slight increase of risk caused by the potential explosion of more explosives is considered.</w:t>
      </w:r>
    </w:p>
    <w:p w:rsidR="007C1B0A" w:rsidRDefault="00E2618C" w:rsidP="004F3D17">
      <w:pPr>
        <w:pStyle w:val="SingleTxtG"/>
        <w:rPr>
          <w:lang w:val="en-US"/>
        </w:rPr>
      </w:pPr>
      <w:r>
        <w:t>7.</w:t>
      </w:r>
      <w:r>
        <w:tab/>
      </w:r>
      <w:r w:rsidR="007C1B0A" w:rsidRPr="004F3D17">
        <w:t>Percentage of decrease of lethal/affected area per transported ton: decrease of area, compared to the case of transport of 16 t, expressed in %. In this column, the combined effect of considering both the decrease in risk caused by reducing the number of trips and the slight increase of risk caused by the potential explosion of more explosives</w:t>
      </w:r>
      <w:r w:rsidR="007C1B0A">
        <w:t xml:space="preserve"> is considered</w:t>
      </w:r>
    </w:p>
    <w:p w:rsidR="007C1B0A" w:rsidRDefault="007C1B0A" w:rsidP="007C1B0A">
      <w:pPr>
        <w:pStyle w:val="SingleTxtG"/>
      </w:pPr>
      <w:r w:rsidRPr="00752906">
        <w:t>To summarize the information above, the increase in transported quantities would, in statistical terms, decrease both the risk of lethality as well as of damage if an explosion were to occur. Figure 2 shows the evolution of the decrease in the lethality and damage areas that correspond to increases of 1 ton in the quantity transported, with respect to the current value of 16 tons.</w:t>
      </w:r>
    </w:p>
    <w:p w:rsidR="007C1B0A" w:rsidRDefault="007C1B0A" w:rsidP="007C1B0A">
      <w:pPr>
        <w:jc w:val="center"/>
      </w:pPr>
      <w:r w:rsidRPr="00752906">
        <w:rPr>
          <w:noProof/>
          <w:lang w:eastAsia="en-GB"/>
        </w:rPr>
        <w:drawing>
          <wp:inline distT="0" distB="0" distL="0" distR="0" wp14:anchorId="12749D68" wp14:editId="1EC759E7">
            <wp:extent cx="4389120" cy="2743200"/>
            <wp:effectExtent l="0" t="0" r="1143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1B0A" w:rsidRDefault="007C1B0A" w:rsidP="00594369">
      <w:pPr>
        <w:pStyle w:val="SingleTxtG"/>
        <w:spacing w:before="120"/>
        <w:jc w:val="center"/>
        <w:rPr>
          <w:rStyle w:val="location"/>
          <w:i/>
          <w:lang w:val="en-US"/>
        </w:rPr>
      </w:pPr>
      <w:r w:rsidRPr="009D4EBE">
        <w:rPr>
          <w:i/>
        </w:rPr>
        <w:t xml:space="preserve">Figure </w:t>
      </w:r>
      <w:r>
        <w:rPr>
          <w:i/>
        </w:rPr>
        <w:t>2</w:t>
      </w:r>
      <w:r w:rsidRPr="009D4EBE">
        <w:rPr>
          <w:i/>
        </w:rPr>
        <w:t xml:space="preserve">: </w:t>
      </w:r>
      <w:r w:rsidRPr="00347A37">
        <w:rPr>
          <w:rStyle w:val="location"/>
          <w:i/>
          <w:lang w:val="en-US"/>
        </w:rPr>
        <w:t xml:space="preserve">% of DECREASE of the affected </w:t>
      </w:r>
      <w:r>
        <w:rPr>
          <w:rStyle w:val="location"/>
          <w:i/>
          <w:lang w:val="en-US"/>
        </w:rPr>
        <w:t>area in an accident (Y axis) in relation with the increase in the amount of the transported quantities ( X axis).</w:t>
      </w:r>
    </w:p>
    <w:p w:rsidR="00E2618C" w:rsidRPr="00597C2F" w:rsidRDefault="00E2618C" w:rsidP="00E2618C">
      <w:pPr>
        <w:pStyle w:val="SingleTxtG"/>
        <w:spacing w:before="240" w:after="0"/>
        <w:jc w:val="center"/>
        <w:rPr>
          <w:u w:val="single"/>
        </w:rPr>
      </w:pPr>
      <w:r>
        <w:rPr>
          <w:u w:val="single"/>
        </w:rPr>
        <w:tab/>
      </w:r>
      <w:r>
        <w:rPr>
          <w:u w:val="single"/>
        </w:rPr>
        <w:tab/>
      </w:r>
      <w:r>
        <w:rPr>
          <w:u w:val="single"/>
        </w:rPr>
        <w:tab/>
      </w:r>
    </w:p>
    <w:sectPr w:rsidR="00E2618C" w:rsidRPr="00597C2F" w:rsidSect="001330DE">
      <w:headerReference w:type="even" r:id="rId12"/>
      <w:headerReference w:type="default" r:id="rId13"/>
      <w:footerReference w:type="even" r:id="rId14"/>
      <w:footerReference w:type="defaul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6F" w:rsidRDefault="00BF226F"/>
  </w:endnote>
  <w:endnote w:type="continuationSeparator" w:id="0">
    <w:p w:rsidR="00BF226F" w:rsidRDefault="00BF226F"/>
  </w:endnote>
  <w:endnote w:type="continuationNotice" w:id="1">
    <w:p w:rsidR="00BF226F" w:rsidRDefault="00BF2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6F" w:rsidRPr="001330DE" w:rsidRDefault="00BF226F"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F77848">
      <w:rPr>
        <w:b/>
        <w:noProof/>
        <w:sz w:val="18"/>
      </w:rPr>
      <w:t>8</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6F" w:rsidRPr="001330DE" w:rsidRDefault="00BF226F"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F77848">
      <w:rPr>
        <w:b/>
        <w:noProof/>
        <w:sz w:val="18"/>
      </w:rPr>
      <w:t>9</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6F" w:rsidRPr="000B175B" w:rsidRDefault="00BF226F" w:rsidP="000B175B">
      <w:pPr>
        <w:tabs>
          <w:tab w:val="right" w:pos="2155"/>
        </w:tabs>
        <w:spacing w:after="80"/>
        <w:ind w:left="680"/>
        <w:rPr>
          <w:u w:val="single"/>
        </w:rPr>
      </w:pPr>
      <w:r>
        <w:rPr>
          <w:u w:val="single"/>
        </w:rPr>
        <w:tab/>
      </w:r>
    </w:p>
  </w:footnote>
  <w:footnote w:type="continuationSeparator" w:id="0">
    <w:p w:rsidR="00BF226F" w:rsidRPr="00FC68B7" w:rsidRDefault="00BF226F" w:rsidP="00FC68B7">
      <w:pPr>
        <w:tabs>
          <w:tab w:val="left" w:pos="2155"/>
        </w:tabs>
        <w:spacing w:after="80"/>
        <w:ind w:left="680"/>
        <w:rPr>
          <w:u w:val="single"/>
        </w:rPr>
      </w:pPr>
      <w:r>
        <w:rPr>
          <w:u w:val="single"/>
        </w:rPr>
        <w:tab/>
      </w:r>
    </w:p>
  </w:footnote>
  <w:footnote w:type="continuationNotice" w:id="1">
    <w:p w:rsidR="00BF226F" w:rsidRDefault="00BF226F"/>
  </w:footnote>
  <w:footnote w:id="2">
    <w:p w:rsidR="00F73F82" w:rsidRDefault="00F73F82" w:rsidP="00F73F82">
      <w:pPr>
        <w:pStyle w:val="FootnoteText"/>
        <w:tabs>
          <w:tab w:val="clear" w:pos="1021"/>
        </w:tabs>
        <w:ind w:left="1418" w:right="1260" w:hanging="284"/>
        <w:jc w:val="both"/>
      </w:pPr>
      <w:r w:rsidRPr="00C634A6">
        <w:rPr>
          <w:rStyle w:val="FootnoteReference"/>
          <w:sz w:val="20"/>
        </w:rPr>
        <w:sym w:font="Symbol" w:char="F02A"/>
      </w:r>
      <w:r>
        <w:tab/>
      </w:r>
      <w:r w:rsidRPr="00DE1D53">
        <w:t>In accordance with the programme of work of the Inland Transport Committee for 201</w:t>
      </w:r>
      <w:r>
        <w:t>6-2017, (ECE/TRANS/2016/28/Add.1</w:t>
      </w:r>
      <w:r w:rsidRPr="00DE1D53">
        <w:t xml:space="preserve">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6F" w:rsidRPr="001330DE" w:rsidRDefault="00BF226F" w:rsidP="001330DE">
    <w:pPr>
      <w:pStyle w:val="Header"/>
    </w:pPr>
    <w:r w:rsidRPr="001330DE">
      <w:t>ECE/TRANS/WP.15/201</w:t>
    </w:r>
    <w:r>
      <w:t>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6F" w:rsidRPr="001330DE" w:rsidRDefault="00BF226F" w:rsidP="001330DE">
    <w:pPr>
      <w:pStyle w:val="Header"/>
      <w:jc w:val="right"/>
    </w:pPr>
    <w:r w:rsidRPr="001330DE">
      <w:t>ECE/TRANS/WP.15/201</w:t>
    </w:r>
    <w:r>
      <w:t>7</w:t>
    </w:r>
    <w:r w:rsidRPr="001330DE">
      <w:t>/</w:t>
    </w:r>
    <w: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8526D"/>
    <w:multiLevelType w:val="hybridMultilevel"/>
    <w:tmpl w:val="E9A61448"/>
    <w:lvl w:ilvl="0" w:tplc="0C0A0001">
      <w:start w:val="1"/>
      <w:numFmt w:val="bullet"/>
      <w:lvlText w:val=""/>
      <w:lvlJc w:val="left"/>
      <w:pPr>
        <w:ind w:left="2061" w:hanging="360"/>
      </w:pPr>
      <w:rPr>
        <w:rFonts w:ascii="Symbol" w:hAnsi="Symbo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5" w15:restartNumberingAfterBreak="0">
    <w:nsid w:val="1F0245F5"/>
    <w:multiLevelType w:val="hybridMultilevel"/>
    <w:tmpl w:val="7FE4D8B6"/>
    <w:lvl w:ilvl="0" w:tplc="6966E816">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FBA698E2">
      <w:start w:val="9"/>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21F43A2"/>
    <w:multiLevelType w:val="hybridMultilevel"/>
    <w:tmpl w:val="D40C75A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D6C94"/>
    <w:multiLevelType w:val="hybridMultilevel"/>
    <w:tmpl w:val="7610BB26"/>
    <w:lvl w:ilvl="0" w:tplc="0C0A000F">
      <w:start w:val="1"/>
      <w:numFmt w:val="decimal"/>
      <w:lvlText w:val="%1."/>
      <w:lvlJc w:val="left"/>
      <w:pPr>
        <w:ind w:left="2214" w:hanging="360"/>
      </w:p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19" w15:restartNumberingAfterBreak="0">
    <w:nsid w:val="4890122E"/>
    <w:multiLevelType w:val="hybridMultilevel"/>
    <w:tmpl w:val="4A1205B2"/>
    <w:lvl w:ilvl="0" w:tplc="E2FA5250">
      <w:start w:val="1"/>
      <w:numFmt w:val="decimal"/>
      <w:lvlText w:val="%1."/>
      <w:lvlJc w:val="left"/>
      <w:pPr>
        <w:ind w:left="1494" w:hanging="360"/>
      </w:pPr>
      <w:rPr>
        <w:rFonts w:hint="default"/>
      </w:rPr>
    </w:lvl>
    <w:lvl w:ilvl="1" w:tplc="4818448C">
      <w:start w:val="5"/>
      <w:numFmt w:val="bullet"/>
      <w:lvlText w:val="-"/>
      <w:lvlJc w:val="left"/>
      <w:pPr>
        <w:ind w:left="2214" w:hanging="360"/>
      </w:pPr>
      <w:rPr>
        <w:rFonts w:ascii="Times New Roman" w:eastAsia="Times New Roman" w:hAnsi="Times New Roman" w:cs="Times New Roman" w:hint="default"/>
      </w:r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527920D1"/>
    <w:multiLevelType w:val="hybridMultilevel"/>
    <w:tmpl w:val="70620088"/>
    <w:lvl w:ilvl="0" w:tplc="0C0A000F">
      <w:start w:val="1"/>
      <w:numFmt w:val="decimal"/>
      <w:lvlText w:val="%1."/>
      <w:lvlJc w:val="left"/>
      <w:pPr>
        <w:ind w:left="1854" w:hanging="360"/>
      </w:pPr>
    </w:lvl>
    <w:lvl w:ilvl="1" w:tplc="0C0A0019">
      <w:start w:val="1"/>
      <w:numFmt w:val="lowerLetter"/>
      <w:lvlText w:val="%2."/>
      <w:lvlJc w:val="left"/>
      <w:pPr>
        <w:ind w:left="2574" w:hanging="360"/>
      </w:pPr>
    </w:lvl>
    <w:lvl w:ilvl="2" w:tplc="0C0A001B">
      <w:start w:val="1"/>
      <w:numFmt w:val="lowerRoman"/>
      <w:lvlText w:val="%3."/>
      <w:lvlJc w:val="right"/>
      <w:pPr>
        <w:ind w:left="3294" w:hanging="180"/>
      </w:pPr>
    </w:lvl>
    <w:lvl w:ilvl="3" w:tplc="0C0A000F">
      <w:start w:val="1"/>
      <w:numFmt w:val="decimal"/>
      <w:lvlText w:val="%4."/>
      <w:lvlJc w:val="left"/>
      <w:pPr>
        <w:ind w:left="4014" w:hanging="360"/>
      </w:pPr>
    </w:lvl>
    <w:lvl w:ilvl="4" w:tplc="0C0A0019">
      <w:start w:val="1"/>
      <w:numFmt w:val="lowerLetter"/>
      <w:lvlText w:val="%5."/>
      <w:lvlJc w:val="left"/>
      <w:pPr>
        <w:ind w:left="4734" w:hanging="360"/>
      </w:pPr>
    </w:lvl>
    <w:lvl w:ilvl="5" w:tplc="0C0A001B">
      <w:start w:val="1"/>
      <w:numFmt w:val="lowerRoman"/>
      <w:lvlText w:val="%6."/>
      <w:lvlJc w:val="right"/>
      <w:pPr>
        <w:ind w:left="5454" w:hanging="180"/>
      </w:pPr>
    </w:lvl>
    <w:lvl w:ilvl="6" w:tplc="0C0A000F">
      <w:start w:val="1"/>
      <w:numFmt w:val="decimal"/>
      <w:lvlText w:val="%7."/>
      <w:lvlJc w:val="left"/>
      <w:pPr>
        <w:ind w:left="6174" w:hanging="360"/>
      </w:pPr>
    </w:lvl>
    <w:lvl w:ilvl="7" w:tplc="0C0A0019">
      <w:start w:val="1"/>
      <w:numFmt w:val="lowerLetter"/>
      <w:lvlText w:val="%8."/>
      <w:lvlJc w:val="left"/>
      <w:pPr>
        <w:ind w:left="6894" w:hanging="360"/>
      </w:pPr>
    </w:lvl>
    <w:lvl w:ilvl="8" w:tplc="0C0A001B">
      <w:start w:val="1"/>
      <w:numFmt w:val="lowerRoman"/>
      <w:lvlText w:val="%9."/>
      <w:lvlJc w:val="right"/>
      <w:pPr>
        <w:ind w:left="761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22"/>
  </w:num>
  <w:num w:numId="15">
    <w:abstractNumId w:val="12"/>
  </w:num>
  <w:num w:numId="16">
    <w:abstractNumId w:val="11"/>
  </w:num>
  <w:num w:numId="17">
    <w:abstractNumId w:val="20"/>
  </w:num>
  <w:num w:numId="18">
    <w:abstractNumId w:val="15"/>
  </w:num>
  <w:num w:numId="19">
    <w:abstractNumId w:val="16"/>
  </w:num>
  <w:num w:numId="20">
    <w:abstractNumId w:val="19"/>
  </w:num>
  <w:num w:numId="21">
    <w:abstractNumId w:val="18"/>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6E76"/>
    <w:rsid w:val="00145622"/>
    <w:rsid w:val="00165F3A"/>
    <w:rsid w:val="001B054C"/>
    <w:rsid w:val="001B4B04"/>
    <w:rsid w:val="001C6663"/>
    <w:rsid w:val="001C7895"/>
    <w:rsid w:val="001D0C8C"/>
    <w:rsid w:val="001D1419"/>
    <w:rsid w:val="001D26DF"/>
    <w:rsid w:val="001D3A03"/>
    <w:rsid w:val="001E099A"/>
    <w:rsid w:val="001E4771"/>
    <w:rsid w:val="001E59E0"/>
    <w:rsid w:val="001E7B67"/>
    <w:rsid w:val="001F6AFB"/>
    <w:rsid w:val="00202DA8"/>
    <w:rsid w:val="00211E0B"/>
    <w:rsid w:val="0021665B"/>
    <w:rsid w:val="00217025"/>
    <w:rsid w:val="00250738"/>
    <w:rsid w:val="00267F5F"/>
    <w:rsid w:val="00277439"/>
    <w:rsid w:val="00286B4D"/>
    <w:rsid w:val="002D4643"/>
    <w:rsid w:val="002F175C"/>
    <w:rsid w:val="00302E18"/>
    <w:rsid w:val="003229D8"/>
    <w:rsid w:val="00352709"/>
    <w:rsid w:val="003639E8"/>
    <w:rsid w:val="00364574"/>
    <w:rsid w:val="00371178"/>
    <w:rsid w:val="0038358B"/>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8397A"/>
    <w:rsid w:val="004C2461"/>
    <w:rsid w:val="004C7462"/>
    <w:rsid w:val="004D3CEF"/>
    <w:rsid w:val="004E77B2"/>
    <w:rsid w:val="004F3574"/>
    <w:rsid w:val="004F3D17"/>
    <w:rsid w:val="00504B2D"/>
    <w:rsid w:val="00510FC4"/>
    <w:rsid w:val="0052136D"/>
    <w:rsid w:val="00522B58"/>
    <w:rsid w:val="005235F5"/>
    <w:rsid w:val="0052699B"/>
    <w:rsid w:val="0052775E"/>
    <w:rsid w:val="005420F2"/>
    <w:rsid w:val="00551C6A"/>
    <w:rsid w:val="005628B6"/>
    <w:rsid w:val="005666AA"/>
    <w:rsid w:val="00594369"/>
    <w:rsid w:val="00597C2F"/>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3589"/>
    <w:rsid w:val="006D2148"/>
    <w:rsid w:val="006D266F"/>
    <w:rsid w:val="006D37AF"/>
    <w:rsid w:val="006D51D0"/>
    <w:rsid w:val="006E564B"/>
    <w:rsid w:val="006E7191"/>
    <w:rsid w:val="00703577"/>
    <w:rsid w:val="00705894"/>
    <w:rsid w:val="0072632A"/>
    <w:rsid w:val="007327D5"/>
    <w:rsid w:val="007629C8"/>
    <w:rsid w:val="0077047D"/>
    <w:rsid w:val="007A3C5F"/>
    <w:rsid w:val="007B4EDD"/>
    <w:rsid w:val="007B6BA5"/>
    <w:rsid w:val="007C1B0A"/>
    <w:rsid w:val="007C3390"/>
    <w:rsid w:val="007C4F4B"/>
    <w:rsid w:val="007C64D1"/>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3F2C"/>
    <w:rsid w:val="008D4A19"/>
    <w:rsid w:val="008E0678"/>
    <w:rsid w:val="0090238C"/>
    <w:rsid w:val="009223CA"/>
    <w:rsid w:val="009254C2"/>
    <w:rsid w:val="00940F93"/>
    <w:rsid w:val="009471BA"/>
    <w:rsid w:val="009760F3"/>
    <w:rsid w:val="009872AB"/>
    <w:rsid w:val="009A0E8D"/>
    <w:rsid w:val="009B26E7"/>
    <w:rsid w:val="00A00A3F"/>
    <w:rsid w:val="00A01489"/>
    <w:rsid w:val="00A3026E"/>
    <w:rsid w:val="00A338F1"/>
    <w:rsid w:val="00A50DEE"/>
    <w:rsid w:val="00A72F22"/>
    <w:rsid w:val="00A7360F"/>
    <w:rsid w:val="00A748A6"/>
    <w:rsid w:val="00A769F4"/>
    <w:rsid w:val="00A776B4"/>
    <w:rsid w:val="00A94361"/>
    <w:rsid w:val="00AA293C"/>
    <w:rsid w:val="00B30179"/>
    <w:rsid w:val="00B31E80"/>
    <w:rsid w:val="00B421C1"/>
    <w:rsid w:val="00B54192"/>
    <w:rsid w:val="00B55C71"/>
    <w:rsid w:val="00B56E4A"/>
    <w:rsid w:val="00B56E9C"/>
    <w:rsid w:val="00B64B1F"/>
    <w:rsid w:val="00B6553F"/>
    <w:rsid w:val="00B77D05"/>
    <w:rsid w:val="00B81206"/>
    <w:rsid w:val="00B81E12"/>
    <w:rsid w:val="00B9042E"/>
    <w:rsid w:val="00BC3FA0"/>
    <w:rsid w:val="00BC74E9"/>
    <w:rsid w:val="00BD186E"/>
    <w:rsid w:val="00BE0515"/>
    <w:rsid w:val="00BF226F"/>
    <w:rsid w:val="00BF68A8"/>
    <w:rsid w:val="00C0563C"/>
    <w:rsid w:val="00C11A03"/>
    <w:rsid w:val="00C22C0C"/>
    <w:rsid w:val="00C4527F"/>
    <w:rsid w:val="00C463DD"/>
    <w:rsid w:val="00C4724C"/>
    <w:rsid w:val="00C629A0"/>
    <w:rsid w:val="00C64629"/>
    <w:rsid w:val="00C745C3"/>
    <w:rsid w:val="00C86220"/>
    <w:rsid w:val="00CB3E03"/>
    <w:rsid w:val="00CE0C77"/>
    <w:rsid w:val="00CE4A8F"/>
    <w:rsid w:val="00CF49FD"/>
    <w:rsid w:val="00CF6D46"/>
    <w:rsid w:val="00D2031B"/>
    <w:rsid w:val="00D25FE2"/>
    <w:rsid w:val="00D43252"/>
    <w:rsid w:val="00D47EEA"/>
    <w:rsid w:val="00D6286A"/>
    <w:rsid w:val="00D773DF"/>
    <w:rsid w:val="00D77865"/>
    <w:rsid w:val="00D854D1"/>
    <w:rsid w:val="00D94296"/>
    <w:rsid w:val="00D95303"/>
    <w:rsid w:val="00D978C6"/>
    <w:rsid w:val="00DA3C1C"/>
    <w:rsid w:val="00DE40E0"/>
    <w:rsid w:val="00E046DF"/>
    <w:rsid w:val="00E2618C"/>
    <w:rsid w:val="00E27346"/>
    <w:rsid w:val="00E70191"/>
    <w:rsid w:val="00E71BC8"/>
    <w:rsid w:val="00E7260F"/>
    <w:rsid w:val="00E73F5D"/>
    <w:rsid w:val="00E75A6C"/>
    <w:rsid w:val="00E77E4E"/>
    <w:rsid w:val="00E96630"/>
    <w:rsid w:val="00ED41D7"/>
    <w:rsid w:val="00ED7A2A"/>
    <w:rsid w:val="00EE5AD3"/>
    <w:rsid w:val="00EF1D7F"/>
    <w:rsid w:val="00F13FB9"/>
    <w:rsid w:val="00F31E5F"/>
    <w:rsid w:val="00F44B02"/>
    <w:rsid w:val="00F6100A"/>
    <w:rsid w:val="00F73F82"/>
    <w:rsid w:val="00F77848"/>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7649"/>
    <o:shapelayout v:ext="edit">
      <o:idmap v:ext="edit" data="1"/>
    </o:shapelayout>
  </w:shapeDefaults>
  <w:decimalSymbol w:val="."/>
  <w:listSeparator w:val=","/>
  <w14:docId w14:val="324C7E23"/>
  <w15:docId w15:val="{5135BA80-0DC5-4EC7-B077-AA09811F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 w:type="character" w:customStyle="1" w:styleId="location">
    <w:name w:val="location"/>
    <w:basedOn w:val="DefaultParagraphFont"/>
    <w:rsid w:val="007C1B0A"/>
  </w:style>
  <w:style w:type="character" w:customStyle="1" w:styleId="a-size-large">
    <w:name w:val="a-size-large"/>
    <w:basedOn w:val="DefaultParagraphFont"/>
    <w:rsid w:val="007C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ge\Documents\Calculos%2020%20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ge\Documents\Calculos%2020%20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marker>
            <c:symbol val="none"/>
          </c:marker>
          <c:cat>
            <c:strRef>
              <c:f>Hoja2!$A$29:$A$37</c:f>
              <c:strCache>
                <c:ptCount val="9"/>
                <c:pt idx="0">
                  <c:v>16 to 17</c:v>
                </c:pt>
                <c:pt idx="1">
                  <c:v>16 to 18</c:v>
                </c:pt>
                <c:pt idx="2">
                  <c:v>16 to 19</c:v>
                </c:pt>
                <c:pt idx="3">
                  <c:v>16 to 20</c:v>
                </c:pt>
                <c:pt idx="4">
                  <c:v>16 to 21</c:v>
                </c:pt>
                <c:pt idx="5">
                  <c:v>16 to 22</c:v>
                </c:pt>
                <c:pt idx="6">
                  <c:v>16 to 23</c:v>
                </c:pt>
                <c:pt idx="7">
                  <c:v>16 to 24</c:v>
                </c:pt>
                <c:pt idx="8">
                  <c:v>16 to 25</c:v>
                </c:pt>
              </c:strCache>
            </c:strRef>
          </c:cat>
          <c:val>
            <c:numRef>
              <c:f>Hoja2!$M$29:$M$37</c:f>
              <c:numCache>
                <c:formatCode>0.00</c:formatCode>
                <c:ptCount val="9"/>
                <c:pt idx="0">
                  <c:v>1.1425792671331294</c:v>
                </c:pt>
                <c:pt idx="1">
                  <c:v>2.1628241039170035</c:v>
                </c:pt>
                <c:pt idx="2">
                  <c:v>3.0763519795441283</c:v>
                </c:pt>
                <c:pt idx="3">
                  <c:v>3.8960988614108913</c:v>
                </c:pt>
                <c:pt idx="4">
                  <c:v>4.6328857805222157</c:v>
                </c:pt>
                <c:pt idx="5">
                  <c:v>5.2958452053320713</c:v>
                </c:pt>
                <c:pt idx="6">
                  <c:v>5.8927465496272191</c:v>
                </c:pt>
                <c:pt idx="7">
                  <c:v>6.430247915763232</c:v>
                </c:pt>
                <c:pt idx="8">
                  <c:v>6.9140930913270182</c:v>
                </c:pt>
              </c:numCache>
            </c:numRef>
          </c:val>
          <c:smooth val="0"/>
          <c:extLst>
            <c:ext xmlns:c16="http://schemas.microsoft.com/office/drawing/2014/chart" uri="{C3380CC4-5D6E-409C-BE32-E72D297353CC}">
              <c16:uniqueId val="{00000000-C9A6-455A-BDE5-84A9667D398E}"/>
            </c:ext>
          </c:extLst>
        </c:ser>
        <c:ser>
          <c:idx val="1"/>
          <c:order val="1"/>
          <c:spPr>
            <a:ln>
              <a:solidFill>
                <a:srgbClr val="FF0000"/>
              </a:solidFill>
            </a:ln>
          </c:spPr>
          <c:marker>
            <c:symbol val="none"/>
          </c:marker>
          <c:cat>
            <c:strRef>
              <c:f>Hoja2!$A$29:$A$37</c:f>
              <c:strCache>
                <c:ptCount val="9"/>
                <c:pt idx="0">
                  <c:v>16 to 17</c:v>
                </c:pt>
                <c:pt idx="1">
                  <c:v>16 to 18</c:v>
                </c:pt>
                <c:pt idx="2">
                  <c:v>16 to 19</c:v>
                </c:pt>
                <c:pt idx="3">
                  <c:v>16 to 20</c:v>
                </c:pt>
                <c:pt idx="4">
                  <c:v>16 to 21</c:v>
                </c:pt>
                <c:pt idx="5">
                  <c:v>16 to 22</c:v>
                </c:pt>
                <c:pt idx="6">
                  <c:v>16 to 23</c:v>
                </c:pt>
                <c:pt idx="7">
                  <c:v>16 to 24</c:v>
                </c:pt>
                <c:pt idx="8">
                  <c:v>16 to 25</c:v>
                </c:pt>
              </c:strCache>
            </c:strRef>
          </c:cat>
          <c:val>
            <c:numRef>
              <c:f>Hoja2!$U$29:$U$37</c:f>
              <c:numCache>
                <c:formatCode>0.00</c:formatCode>
                <c:ptCount val="9"/>
                <c:pt idx="0">
                  <c:v>4.4783716986670186</c:v>
                </c:pt>
                <c:pt idx="1">
                  <c:v>8.6810399685531507</c:v>
                </c:pt>
                <c:pt idx="2">
                  <c:v>12.638589134645486</c:v>
                </c:pt>
                <c:pt idx="3">
                  <c:v>16.376586474758383</c:v>
                </c:pt>
                <c:pt idx="4">
                  <c:v>19.916617260891471</c:v>
                </c:pt>
                <c:pt idx="5">
                  <c:v>23.27706744384615</c:v>
                </c:pt>
                <c:pt idx="6">
                  <c:v>26.473724061314883</c:v>
                </c:pt>
                <c:pt idx="7">
                  <c:v>29.520241824121626</c:v>
                </c:pt>
                <c:pt idx="8">
                  <c:v>32.361382170329435</c:v>
                </c:pt>
              </c:numCache>
            </c:numRef>
          </c:val>
          <c:smooth val="0"/>
          <c:extLst>
            <c:ext xmlns:c16="http://schemas.microsoft.com/office/drawing/2014/chart" uri="{C3380CC4-5D6E-409C-BE32-E72D297353CC}">
              <c16:uniqueId val="{00000001-C9A6-455A-BDE5-84A9667D398E}"/>
            </c:ext>
          </c:extLst>
        </c:ser>
        <c:dLbls>
          <c:showLegendKey val="0"/>
          <c:showVal val="0"/>
          <c:showCatName val="0"/>
          <c:showSerName val="0"/>
          <c:showPercent val="0"/>
          <c:showBubbleSize val="0"/>
        </c:dLbls>
        <c:smooth val="0"/>
        <c:axId val="38614016"/>
        <c:axId val="83793536"/>
      </c:lineChart>
      <c:catAx>
        <c:axId val="38614016"/>
        <c:scaling>
          <c:orientation val="minMax"/>
        </c:scaling>
        <c:delete val="0"/>
        <c:axPos val="b"/>
        <c:minorGridlines/>
        <c:numFmt formatCode="General" sourceLinked="0"/>
        <c:majorTickMark val="out"/>
        <c:minorTickMark val="none"/>
        <c:tickLblPos val="low"/>
        <c:txPr>
          <a:bodyPr rot="-5400000" vert="horz"/>
          <a:lstStyle/>
          <a:p>
            <a:pPr rtl="0">
              <a:defRPr sz="1000" baseline="46000"/>
            </a:pPr>
            <a:endParaRPr lang="en-US"/>
          </a:p>
        </c:txPr>
        <c:crossAx val="83793536"/>
        <c:crosses val="autoZero"/>
        <c:auto val="1"/>
        <c:lblAlgn val="ctr"/>
        <c:lblOffset val="0"/>
        <c:tickLblSkip val="1"/>
        <c:noMultiLvlLbl val="0"/>
      </c:catAx>
      <c:valAx>
        <c:axId val="83793536"/>
        <c:scaling>
          <c:orientation val="minMax"/>
        </c:scaling>
        <c:delete val="0"/>
        <c:axPos val="l"/>
        <c:majorGridlines>
          <c:spPr>
            <a:ln>
              <a:noFill/>
            </a:ln>
          </c:spPr>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0.00" sourceLinked="1"/>
        <c:majorTickMark val="out"/>
        <c:minorTickMark val="none"/>
        <c:tickLblPos val="nextTo"/>
        <c:crossAx val="38614016"/>
        <c:crosses val="autoZero"/>
        <c:crossBetween val="between"/>
      </c:valAx>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marker>
            <c:symbol val="none"/>
          </c:marker>
          <c:cat>
            <c:strRef>
              <c:f>Hoja2!$A$29:$A$37</c:f>
              <c:strCache>
                <c:ptCount val="9"/>
                <c:pt idx="0">
                  <c:v>16 a 17</c:v>
                </c:pt>
                <c:pt idx="1">
                  <c:v>16 a 18</c:v>
                </c:pt>
                <c:pt idx="2">
                  <c:v>16 a 19</c:v>
                </c:pt>
                <c:pt idx="3">
                  <c:v>16 a 20</c:v>
                </c:pt>
                <c:pt idx="4">
                  <c:v>16 a 21</c:v>
                </c:pt>
                <c:pt idx="5">
                  <c:v>16 a 22</c:v>
                </c:pt>
                <c:pt idx="6">
                  <c:v>16 a 23</c:v>
                </c:pt>
                <c:pt idx="7">
                  <c:v>16 a 24</c:v>
                </c:pt>
                <c:pt idx="8">
                  <c:v>16 a 25</c:v>
                </c:pt>
              </c:strCache>
            </c:strRef>
          </c:cat>
          <c:val>
            <c:numRef>
              <c:f>Hoja2!$M$29:$M$37</c:f>
              <c:numCache>
                <c:formatCode>0.00</c:formatCode>
                <c:ptCount val="9"/>
                <c:pt idx="0">
                  <c:v>1.1425792671331294</c:v>
                </c:pt>
                <c:pt idx="1">
                  <c:v>2.1628241039170035</c:v>
                </c:pt>
                <c:pt idx="2">
                  <c:v>3.0763519795441283</c:v>
                </c:pt>
                <c:pt idx="3">
                  <c:v>3.8960988614108913</c:v>
                </c:pt>
                <c:pt idx="4">
                  <c:v>4.6328857805222157</c:v>
                </c:pt>
                <c:pt idx="5">
                  <c:v>5.2958452053320713</c:v>
                </c:pt>
                <c:pt idx="6">
                  <c:v>5.8927465496272191</c:v>
                </c:pt>
                <c:pt idx="7">
                  <c:v>6.430247915763232</c:v>
                </c:pt>
                <c:pt idx="8">
                  <c:v>6.9140930913270182</c:v>
                </c:pt>
              </c:numCache>
            </c:numRef>
          </c:val>
          <c:smooth val="0"/>
          <c:extLst>
            <c:ext xmlns:c16="http://schemas.microsoft.com/office/drawing/2014/chart" uri="{C3380CC4-5D6E-409C-BE32-E72D297353CC}">
              <c16:uniqueId val="{00000000-161F-4B70-8907-69C31BB78E61}"/>
            </c:ext>
          </c:extLst>
        </c:ser>
        <c:ser>
          <c:idx val="1"/>
          <c:order val="1"/>
          <c:marker>
            <c:symbol val="none"/>
          </c:marker>
          <c:cat>
            <c:strRef>
              <c:f>Hoja2!$A$29:$A$37</c:f>
              <c:strCache>
                <c:ptCount val="9"/>
                <c:pt idx="0">
                  <c:v>16 a 17</c:v>
                </c:pt>
                <c:pt idx="1">
                  <c:v>16 a 18</c:v>
                </c:pt>
                <c:pt idx="2">
                  <c:v>16 a 19</c:v>
                </c:pt>
                <c:pt idx="3">
                  <c:v>16 a 20</c:v>
                </c:pt>
                <c:pt idx="4">
                  <c:v>16 a 21</c:v>
                </c:pt>
                <c:pt idx="5">
                  <c:v>16 a 22</c:v>
                </c:pt>
                <c:pt idx="6">
                  <c:v>16 a 23</c:v>
                </c:pt>
                <c:pt idx="7">
                  <c:v>16 a 24</c:v>
                </c:pt>
                <c:pt idx="8">
                  <c:v>16 a 25</c:v>
                </c:pt>
              </c:strCache>
            </c:strRef>
          </c:cat>
          <c:val>
            <c:numRef>
              <c:f>Hoja2!$U$29:$U$37</c:f>
              <c:numCache>
                <c:formatCode>0.00</c:formatCode>
                <c:ptCount val="9"/>
                <c:pt idx="0">
                  <c:v>4.4783716986670186</c:v>
                </c:pt>
                <c:pt idx="1">
                  <c:v>8.6810399685531507</c:v>
                </c:pt>
                <c:pt idx="2">
                  <c:v>12.638589134645486</c:v>
                </c:pt>
                <c:pt idx="3">
                  <c:v>16.376586474758383</c:v>
                </c:pt>
                <c:pt idx="4">
                  <c:v>19.916617260891471</c:v>
                </c:pt>
                <c:pt idx="5">
                  <c:v>23.27706744384615</c:v>
                </c:pt>
                <c:pt idx="6">
                  <c:v>26.473724061314883</c:v>
                </c:pt>
                <c:pt idx="7">
                  <c:v>29.520241824121626</c:v>
                </c:pt>
                <c:pt idx="8">
                  <c:v>32.428509994927879</c:v>
                </c:pt>
              </c:numCache>
            </c:numRef>
          </c:val>
          <c:smooth val="0"/>
          <c:extLst>
            <c:ext xmlns:c16="http://schemas.microsoft.com/office/drawing/2014/chart" uri="{C3380CC4-5D6E-409C-BE32-E72D297353CC}">
              <c16:uniqueId val="{00000001-161F-4B70-8907-69C31BB78E61}"/>
            </c:ext>
          </c:extLst>
        </c:ser>
        <c:dLbls>
          <c:showLegendKey val="0"/>
          <c:showVal val="0"/>
          <c:showCatName val="0"/>
          <c:showSerName val="0"/>
          <c:showPercent val="0"/>
          <c:showBubbleSize val="0"/>
        </c:dLbls>
        <c:smooth val="0"/>
        <c:axId val="38062080"/>
        <c:axId val="83795264"/>
      </c:lineChart>
      <c:catAx>
        <c:axId val="38062080"/>
        <c:scaling>
          <c:orientation val="minMax"/>
        </c:scaling>
        <c:delete val="0"/>
        <c:axPos val="b"/>
        <c:minorGridlines/>
        <c:numFmt formatCode="General" sourceLinked="0"/>
        <c:majorTickMark val="out"/>
        <c:minorTickMark val="none"/>
        <c:tickLblPos val="low"/>
        <c:txPr>
          <a:bodyPr rot="-5400000" vert="horz"/>
          <a:lstStyle/>
          <a:p>
            <a:pPr rtl="0">
              <a:defRPr sz="1000" baseline="46000"/>
            </a:pPr>
            <a:endParaRPr lang="en-US"/>
          </a:p>
        </c:txPr>
        <c:crossAx val="83795264"/>
        <c:crosses val="autoZero"/>
        <c:auto val="1"/>
        <c:lblAlgn val="ctr"/>
        <c:lblOffset val="0"/>
        <c:tickLblSkip val="1"/>
        <c:noMultiLvlLbl val="0"/>
      </c:catAx>
      <c:valAx>
        <c:axId val="83795264"/>
        <c:scaling>
          <c:orientation val="minMax"/>
        </c:scaling>
        <c:delete val="0"/>
        <c:axPos val="l"/>
        <c:majorGridlines>
          <c:spPr>
            <a:ln>
              <a:noFill/>
            </a:ln>
          </c:spPr>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0.00" sourceLinked="1"/>
        <c:majorTickMark val="out"/>
        <c:minorTickMark val="none"/>
        <c:tickLblPos val="nextTo"/>
        <c:crossAx val="38062080"/>
        <c:crosses val="autoZero"/>
        <c:crossBetween val="between"/>
      </c:valAx>
    </c:plotArea>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0.44436</cdr:x>
      <cdr:y>0.30762</cdr:y>
    </cdr:from>
    <cdr:to>
      <cdr:x>0.44603</cdr:x>
      <cdr:y>0.86762</cdr:y>
    </cdr:to>
    <cdr:cxnSp macro="">
      <cdr:nvCxnSpPr>
        <cdr:cNvPr id="3" name="2 Conector recto"/>
        <cdr:cNvCxnSpPr/>
      </cdr:nvCxnSpPr>
      <cdr:spPr>
        <a:xfrm xmlns:a="http://schemas.openxmlformats.org/drawingml/2006/main" flipH="1" flipV="1">
          <a:off x="1950349" y="843863"/>
          <a:ext cx="7330" cy="1536192"/>
        </a:xfrm>
        <a:prstGeom xmlns:a="http://schemas.openxmlformats.org/drawingml/2006/main" prst="line">
          <a:avLst/>
        </a:prstGeom>
        <a:ln xmlns:a="http://schemas.openxmlformats.org/drawingml/2006/mai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21F3-1A7F-42E2-A44B-E6A61861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2836</Words>
  <Characters>16168</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Dangerous Goods</cp:lastModifiedBy>
  <cp:revision>3</cp:revision>
  <cp:lastPrinted>2017-02-10T15:00:00Z</cp:lastPrinted>
  <dcterms:created xsi:type="dcterms:W3CDTF">2017-02-21T11:09:00Z</dcterms:created>
  <dcterms:modified xsi:type="dcterms:W3CDTF">2017-02-21T11:14:00Z</dcterms:modified>
</cp:coreProperties>
</file>