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8774FA">
            <w:pPr>
              <w:jc w:val="right"/>
              <w:rPr>
                <w:b/>
                <w:sz w:val="40"/>
                <w:szCs w:val="40"/>
              </w:rPr>
            </w:pPr>
            <w:r w:rsidRPr="007E344F">
              <w:rPr>
                <w:b/>
                <w:sz w:val="40"/>
                <w:szCs w:val="40"/>
              </w:rPr>
              <w:t>UN/SCETDG/</w:t>
            </w:r>
            <w:r>
              <w:rPr>
                <w:b/>
                <w:sz w:val="40"/>
                <w:szCs w:val="40"/>
              </w:rPr>
              <w:t>52</w:t>
            </w:r>
            <w:r w:rsidRPr="007E344F">
              <w:rPr>
                <w:b/>
                <w:sz w:val="40"/>
                <w:szCs w:val="40"/>
              </w:rPr>
              <w:t>/INF</w:t>
            </w:r>
            <w:r>
              <w:rPr>
                <w:b/>
                <w:sz w:val="40"/>
                <w:szCs w:val="40"/>
              </w:rPr>
              <w:t>.</w:t>
            </w:r>
            <w:r w:rsidR="008774FA">
              <w:rPr>
                <w:b/>
                <w:sz w:val="40"/>
                <w:szCs w:val="40"/>
              </w:rPr>
              <w:t>60</w:t>
            </w:r>
          </w:p>
        </w:tc>
      </w:tr>
      <w:tr w:rsidR="00EF1CE4" w:rsidRPr="007E344F" w:rsidTr="00954BCA">
        <w:trPr>
          <w:cantSplit/>
          <w:trHeight w:hRule="exact" w:val="2414"/>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r w:rsidR="00AF4666">
              <w:rPr>
                <w:b/>
              </w:rPr>
              <w:t>4 December 2017</w:t>
            </w:r>
          </w:p>
          <w:p w:rsidR="00EF1CE4" w:rsidRPr="007B2B1F" w:rsidRDefault="00EF1CE4" w:rsidP="00B53DBB">
            <w:pPr>
              <w:spacing w:before="120"/>
              <w:rPr>
                <w:b/>
              </w:rPr>
            </w:pPr>
            <w:bookmarkStart w:id="0" w:name="_Hlk499723475"/>
            <w:r>
              <w:rPr>
                <w:b/>
              </w:rPr>
              <w:t>Fifty-second</w:t>
            </w:r>
            <w:r w:rsidRPr="007B2B1F">
              <w:rPr>
                <w:b/>
              </w:rPr>
              <w:t xml:space="preserve"> session</w:t>
            </w:r>
            <w:bookmarkEnd w:id="0"/>
          </w:p>
          <w:p w:rsidR="00EF1CE4" w:rsidRPr="007B2B1F" w:rsidRDefault="00EF1CE4" w:rsidP="00B53DBB">
            <w:r w:rsidRPr="007B2B1F">
              <w:t xml:space="preserve">Geneva, </w:t>
            </w:r>
            <w:r>
              <w:t>27 November</w:t>
            </w:r>
            <w:r w:rsidR="004741E0">
              <w:t>-</w:t>
            </w:r>
            <w:r>
              <w:t>6</w:t>
            </w:r>
            <w:r w:rsidRPr="007B2B1F">
              <w:t xml:space="preserve"> </w:t>
            </w:r>
            <w:r>
              <w:t>December 2017</w:t>
            </w:r>
          </w:p>
          <w:p w:rsidR="00EF1CE4" w:rsidRPr="00154226" w:rsidRDefault="00643C19" w:rsidP="008774FA">
            <w:pPr>
              <w:spacing w:line="240" w:lineRule="exact"/>
              <w:rPr>
                <w:b/>
              </w:rPr>
            </w:pPr>
            <w:r>
              <w:t xml:space="preserve">Item </w:t>
            </w:r>
            <w:r w:rsidR="008774FA">
              <w:t>11</w:t>
            </w:r>
            <w:r w:rsidR="00EF1CE4">
              <w:t xml:space="preserve"> </w:t>
            </w:r>
            <w:r w:rsidR="00EF1CE4" w:rsidRPr="00D63626">
              <w:t>of the provisional agenda</w:t>
            </w:r>
            <w:r w:rsidR="00EF1CE4">
              <w:br/>
            </w:r>
            <w:r w:rsidR="008774FA" w:rsidRPr="008774FA">
              <w:rPr>
                <w:b/>
              </w:rPr>
              <w:t>Other business</w:t>
            </w:r>
          </w:p>
        </w:tc>
      </w:tr>
    </w:tbl>
    <w:p w:rsidR="008774FA" w:rsidRDefault="008774FA" w:rsidP="008774FA">
      <w:pPr>
        <w:pStyle w:val="HChG"/>
        <w:jc w:val="both"/>
      </w:pPr>
      <w:r>
        <w:tab/>
      </w:r>
      <w:r>
        <w:tab/>
        <w:t>Status report on discussions on the scope of section 1.1.1.2 in the Model Regulations – further work</w:t>
      </w:r>
    </w:p>
    <w:p w:rsidR="008774FA" w:rsidRDefault="008774FA" w:rsidP="008774FA">
      <w:pPr>
        <w:pStyle w:val="H1G"/>
      </w:pPr>
      <w:r w:rsidRPr="00E23A0C">
        <w:tab/>
      </w:r>
      <w:r w:rsidRPr="00E23A0C">
        <w:tab/>
        <w:t xml:space="preserve">Transmitted by the </w:t>
      </w:r>
      <w:r>
        <w:t>expert of the Netherlands</w:t>
      </w:r>
    </w:p>
    <w:p w:rsidR="008774FA" w:rsidRPr="00680238" w:rsidRDefault="008774FA" w:rsidP="008774FA">
      <w:pPr>
        <w:pStyle w:val="HChG"/>
      </w:pPr>
      <w:r>
        <w:tab/>
      </w:r>
      <w:r>
        <w:tab/>
        <w:t>Status update</w:t>
      </w:r>
    </w:p>
    <w:p w:rsidR="008774FA" w:rsidRDefault="008774FA" w:rsidP="008774FA">
      <w:pPr>
        <w:pStyle w:val="SingleTxtG"/>
      </w:pPr>
      <w:r>
        <w:t>1.</w:t>
      </w:r>
      <w:r>
        <w:tab/>
      </w:r>
      <w:proofErr w:type="gramStart"/>
      <w:r w:rsidR="00385EC0">
        <w:t>informal</w:t>
      </w:r>
      <w:proofErr w:type="gramEnd"/>
      <w:r w:rsidR="00385EC0">
        <w:t xml:space="preserve"> document </w:t>
      </w:r>
      <w:r>
        <w:t xml:space="preserve">INF.29 </w:t>
      </w:r>
      <w:r w:rsidR="00385EC0">
        <w:t>(52</w:t>
      </w:r>
      <w:r w:rsidR="00385EC0" w:rsidRPr="00385EC0">
        <w:rPr>
          <w:vertAlign w:val="superscript"/>
        </w:rPr>
        <w:t>nd</w:t>
      </w:r>
      <w:r w:rsidR="00385EC0">
        <w:t xml:space="preserve"> session) </w:t>
      </w:r>
      <w:r>
        <w:t>from the Netherlands was discussed in an informal working group in th</w:t>
      </w:r>
      <w:r w:rsidR="00385EC0">
        <w:t xml:space="preserve">e afternoon of 30 November. </w:t>
      </w:r>
    </w:p>
    <w:p w:rsidR="008774FA" w:rsidRDefault="008774FA" w:rsidP="008774FA">
      <w:pPr>
        <w:pStyle w:val="SingleTxtG"/>
      </w:pPr>
      <w:r>
        <w:t>2.</w:t>
      </w:r>
      <w:r>
        <w:tab/>
        <w:t xml:space="preserve">There was a good exchange of views on the many aspects of the scope of section 1.1.1.1 and 1.1.1.2 with regard to dangerous goods that are non-consignment. The group agreed that continuing this discussion was important. Furthermore, if the schedule of this session allowed, it would be beneficial to meet again to continue the discussion in the second week when experts on lithium battery would also be present. It was suggested to initially focus the discussion on lithium battery-containing data loggers and tracking devices as this was the area where clarity was most urgently needed.  </w:t>
      </w:r>
    </w:p>
    <w:p w:rsidR="008774FA" w:rsidRPr="00061FD4" w:rsidRDefault="008774FA" w:rsidP="008774FA">
      <w:pPr>
        <w:pStyle w:val="H1G"/>
      </w:pPr>
      <w:r>
        <w:tab/>
      </w:r>
      <w:r>
        <w:tab/>
        <w:t>Further discussion</w:t>
      </w:r>
    </w:p>
    <w:p w:rsidR="008774FA" w:rsidRDefault="008774FA" w:rsidP="008774FA">
      <w:pPr>
        <w:pStyle w:val="SingleTxtG"/>
      </w:pPr>
      <w:r>
        <w:t>3.</w:t>
      </w:r>
      <w:r>
        <w:tab/>
        <w:t>The representative of the Netherlands suggests that the following aspects and questions can be used to guide further informal discussions during this session:</w:t>
      </w:r>
    </w:p>
    <w:p w:rsidR="008774FA" w:rsidRDefault="008774FA" w:rsidP="008774FA">
      <w:pPr>
        <w:pStyle w:val="SingleTxtG"/>
        <w:ind w:left="1701"/>
        <w:rPr>
          <w:lang w:val="en-US"/>
        </w:rPr>
      </w:pPr>
      <w:proofErr w:type="spellStart"/>
      <w:r>
        <w:rPr>
          <w:lang w:val="en-US"/>
        </w:rPr>
        <w:t>i</w:t>
      </w:r>
      <w:proofErr w:type="spellEnd"/>
      <w:r>
        <w:rPr>
          <w:lang w:val="en-US"/>
        </w:rPr>
        <w:t>)</w:t>
      </w:r>
      <w:r>
        <w:rPr>
          <w:lang w:val="en-US"/>
        </w:rPr>
        <w:tab/>
        <w:t>Goal of discussion: agreement on the scope of the Model Regulations with regard to data loggers – inside or outside?</w:t>
      </w:r>
    </w:p>
    <w:p w:rsidR="008774FA" w:rsidRPr="00F0624A" w:rsidRDefault="008774FA" w:rsidP="008774FA">
      <w:pPr>
        <w:pStyle w:val="SingleTxtG"/>
        <w:ind w:left="1701"/>
        <w:rPr>
          <w:lang w:val="en-US"/>
        </w:rPr>
      </w:pPr>
      <w:r>
        <w:rPr>
          <w:lang w:val="en-US"/>
        </w:rPr>
        <w:t>ii)</w:t>
      </w:r>
      <w:r>
        <w:rPr>
          <w:lang w:val="en-US"/>
        </w:rPr>
        <w:tab/>
      </w:r>
      <w:r w:rsidRPr="008774FA">
        <w:t>What</w:t>
      </w:r>
      <w:r>
        <w:rPr>
          <w:lang w:val="en-US"/>
        </w:rPr>
        <w:t xml:space="preserve"> are the concerns regarding lithium battery-containing data loggers e.g. for</w:t>
      </w:r>
    </w:p>
    <w:p w:rsidR="008774FA" w:rsidRPr="008774FA" w:rsidRDefault="008774FA" w:rsidP="008774FA">
      <w:pPr>
        <w:pStyle w:val="SingleTxtG"/>
        <w:ind w:left="2170" w:firstLine="98"/>
      </w:pPr>
      <w:r w:rsidRPr="008774FA">
        <w:t>- hazards/size</w:t>
      </w:r>
    </w:p>
    <w:p w:rsidR="008774FA" w:rsidRPr="008774FA" w:rsidRDefault="008774FA" w:rsidP="008774FA">
      <w:pPr>
        <w:pStyle w:val="SingleTxtG"/>
        <w:ind w:left="2170" w:firstLine="98"/>
      </w:pPr>
      <w:r w:rsidRPr="008774FA">
        <w:t>- testing</w:t>
      </w:r>
    </w:p>
    <w:p w:rsidR="008774FA" w:rsidRPr="008774FA" w:rsidRDefault="008774FA" w:rsidP="008774FA">
      <w:pPr>
        <w:pStyle w:val="SingleTxtG"/>
        <w:ind w:left="2170" w:firstLine="98"/>
      </w:pPr>
      <w:r w:rsidRPr="008774FA">
        <w:t xml:space="preserve">- </w:t>
      </w:r>
      <w:proofErr w:type="gramStart"/>
      <w:r w:rsidRPr="008774FA">
        <w:t>quality</w:t>
      </w:r>
      <w:proofErr w:type="gramEnd"/>
    </w:p>
    <w:p w:rsidR="008774FA" w:rsidRPr="008774FA" w:rsidRDefault="008774FA" w:rsidP="008774FA">
      <w:pPr>
        <w:pStyle w:val="SingleTxtG"/>
        <w:ind w:left="2170" w:firstLine="98"/>
      </w:pPr>
      <w:r w:rsidRPr="008774FA">
        <w:t xml:space="preserve">- </w:t>
      </w:r>
      <w:proofErr w:type="gramStart"/>
      <w:r w:rsidRPr="008774FA">
        <w:t>active</w:t>
      </w:r>
      <w:proofErr w:type="gramEnd"/>
      <w:r w:rsidRPr="008774FA">
        <w:t xml:space="preserve"> use during the transport operations</w:t>
      </w:r>
    </w:p>
    <w:p w:rsidR="008774FA" w:rsidRPr="008774FA" w:rsidRDefault="008774FA" w:rsidP="008774FA">
      <w:pPr>
        <w:pStyle w:val="SingleTxtG"/>
        <w:ind w:left="2170" w:firstLine="98"/>
      </w:pPr>
      <w:r w:rsidRPr="008774FA">
        <w:t>- handling communication during air transport</w:t>
      </w:r>
    </w:p>
    <w:p w:rsidR="008774FA" w:rsidRPr="008774FA" w:rsidRDefault="008774FA" w:rsidP="008774FA">
      <w:pPr>
        <w:pStyle w:val="SingleTxtG"/>
        <w:ind w:left="2170" w:firstLine="98"/>
      </w:pPr>
      <w:r w:rsidRPr="008774FA">
        <w:t xml:space="preserve">- </w:t>
      </w:r>
      <w:proofErr w:type="gramStart"/>
      <w:r w:rsidRPr="008774FA">
        <w:t>the</w:t>
      </w:r>
      <w:proofErr w:type="gramEnd"/>
      <w:r w:rsidRPr="008774FA">
        <w:t xml:space="preserve"> scope of the Model Regulations.</w:t>
      </w:r>
    </w:p>
    <w:p w:rsidR="008774FA" w:rsidRPr="008774FA" w:rsidRDefault="00954BCA" w:rsidP="00954BCA">
      <w:pPr>
        <w:pStyle w:val="SingleTxtG"/>
        <w:ind w:left="1701"/>
      </w:pPr>
      <w:r>
        <w:rPr>
          <w:noProof/>
          <w:lang w:eastAsia="en-GB"/>
        </w:rPr>
        <mc:AlternateContent>
          <mc:Choice Requires="wps">
            <w:drawing>
              <wp:anchor distT="0" distB="0" distL="114300" distR="114300" simplePos="0" relativeHeight="251659264" behindDoc="0" locked="0" layoutInCell="1" allowOverlap="1" wp14:anchorId="20E6F740" wp14:editId="57A803A0">
                <wp:simplePos x="0" y="0"/>
                <wp:positionH relativeFrom="column">
                  <wp:posOffset>2407627</wp:posOffset>
                </wp:positionH>
                <wp:positionV relativeFrom="paragraph">
                  <wp:posOffset>533400</wp:posOffset>
                </wp:positionV>
                <wp:extent cx="1236784" cy="1403985"/>
                <wp:effectExtent l="0" t="0" r="2095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784" cy="1403985"/>
                        </a:xfrm>
                        <a:prstGeom prst="rect">
                          <a:avLst/>
                        </a:prstGeom>
                        <a:solidFill>
                          <a:srgbClr val="FFFFFF"/>
                        </a:solidFill>
                        <a:ln w="9525">
                          <a:solidFill>
                            <a:schemeClr val="bg1"/>
                          </a:solidFill>
                          <a:miter lim="800000"/>
                          <a:headEnd/>
                          <a:tailEnd/>
                        </a:ln>
                      </wps:spPr>
                      <wps:txbx>
                        <w:txbxContent>
                          <w:p w:rsidR="00954BCA" w:rsidRDefault="00954BCA">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6pt;margin-top:42pt;width:97.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" strokecolor="white [3212]">
                <v:textbox style="mso-fit-shape-to-text:t">
                  <w:txbxContent>
                    <w:p w:rsidR="00954BCA" w:rsidRDefault="00954BCA">
                      <w:r>
                        <w:t>_______________</w:t>
                      </w:r>
                    </w:p>
                  </w:txbxContent>
                </v:textbox>
              </v:shape>
            </w:pict>
          </mc:Fallback>
        </mc:AlternateContent>
      </w:r>
      <w:r w:rsidR="008774FA">
        <w:t>iii)</w:t>
      </w:r>
      <w:r w:rsidR="008774FA">
        <w:tab/>
        <w:t>Are different provisions or distinction needed for data loggers in different use situations, i.e. those built into containers, attached to containers, attached to packaging or located inside packaging?</w:t>
      </w:r>
      <w:bookmarkStart w:id="1" w:name="_GoBack"/>
      <w:bookmarkEnd w:id="1"/>
    </w:p>
    <w:sectPr w:rsidR="008774FA" w:rsidRPr="008774FA" w:rsidSect="004F0C2A">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C2" w:rsidRDefault="00B33EC2" w:rsidP="00701F1F">
      <w:pPr>
        <w:spacing w:line="240" w:lineRule="auto"/>
      </w:pPr>
      <w:r>
        <w:separator/>
      </w:r>
    </w:p>
  </w:endnote>
  <w:endnote w:type="continuationSeparator" w:id="0">
    <w:p w:rsidR="00B33EC2" w:rsidRDefault="00B33EC2"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66640"/>
      <w:docPartObj>
        <w:docPartGallery w:val="Page Numbers (Bottom of Page)"/>
        <w:docPartUnique/>
      </w:docPartObj>
    </w:sdtPr>
    <w:sdtEndPr>
      <w:rPr>
        <w:noProof/>
      </w:rPr>
    </w:sdtEndPr>
    <w:sdtContent>
      <w:p w:rsidR="004F0C2A" w:rsidRDefault="004F0C2A">
        <w:pPr>
          <w:pStyle w:val="Footer"/>
        </w:pPr>
        <w:r>
          <w:fldChar w:fldCharType="begin"/>
        </w:r>
        <w:r>
          <w:instrText xml:space="preserve"> PAGE   \* MERGEFORMAT </w:instrText>
        </w:r>
        <w:r>
          <w:fldChar w:fldCharType="separate"/>
        </w:r>
        <w:r w:rsidR="00954BCA">
          <w:rPr>
            <w:noProof/>
          </w:rPr>
          <w:t>2</w:t>
        </w:r>
        <w:r>
          <w:rPr>
            <w:noProof/>
          </w:rPr>
          <w:fldChar w:fldCharType="end"/>
        </w:r>
      </w:p>
    </w:sdtContent>
  </w:sdt>
  <w:p w:rsidR="004F0C2A" w:rsidRDefault="004F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97824"/>
      <w:docPartObj>
        <w:docPartGallery w:val="Page Numbers (Bottom of Page)"/>
        <w:docPartUnique/>
      </w:docPartObj>
    </w:sdtPr>
    <w:sdtEndPr>
      <w:rPr>
        <w:noProof/>
      </w:rPr>
    </w:sdtEndPr>
    <w:sdtContent>
      <w:p w:rsidR="004F0C2A" w:rsidRDefault="004F0C2A" w:rsidP="004F0C2A">
        <w:pPr>
          <w:pStyle w:val="Footer"/>
          <w:jc w:val="right"/>
        </w:pPr>
        <w:r>
          <w:fldChar w:fldCharType="begin"/>
        </w:r>
        <w:r>
          <w:instrText xml:space="preserve"> PAGE   \* MERGEFORMAT </w:instrText>
        </w:r>
        <w:r>
          <w:fldChar w:fldCharType="separate"/>
        </w:r>
        <w:r w:rsidR="008774FA">
          <w:rPr>
            <w:noProof/>
          </w:rPr>
          <w:t>3</w:t>
        </w:r>
        <w:r>
          <w:rPr>
            <w:noProof/>
          </w:rPr>
          <w:fldChar w:fldCharType="end"/>
        </w:r>
      </w:p>
    </w:sdtContent>
  </w:sdt>
  <w:p w:rsidR="004F0C2A" w:rsidRDefault="004F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C2" w:rsidRDefault="00B33EC2" w:rsidP="00701F1F">
      <w:pPr>
        <w:spacing w:line="240" w:lineRule="auto"/>
      </w:pPr>
      <w:r>
        <w:separator/>
      </w:r>
    </w:p>
  </w:footnote>
  <w:footnote w:type="continuationSeparator" w:id="0">
    <w:p w:rsidR="00B33EC2" w:rsidRDefault="00B33EC2"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2A" w:rsidRPr="004F0C2A" w:rsidRDefault="00385EC0" w:rsidP="004F0C2A">
    <w:pPr>
      <w:pStyle w:val="Header"/>
      <w:pBdr>
        <w:bottom w:val="single" w:sz="4" w:space="1" w:color="auto"/>
      </w:pBdr>
      <w:rPr>
        <w:b/>
        <w:sz w:val="18"/>
        <w:szCs w:val="18"/>
        <w:lang w:val="fr-CH"/>
      </w:rPr>
    </w:pPr>
    <w:r>
      <w:rPr>
        <w:b/>
        <w:sz w:val="18"/>
        <w:szCs w:val="18"/>
        <w:lang w:val="fr-CH"/>
      </w:rPr>
      <w:t>UN/SCETDG/52/INF.60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EE13FC" w:rsidP="004F0C2A">
    <w:pPr>
      <w:pStyle w:val="Header"/>
      <w:pBdr>
        <w:bottom w:val="single" w:sz="4" w:space="1" w:color="auto"/>
      </w:pBdr>
      <w:jc w:val="right"/>
      <w:rPr>
        <w:b/>
        <w:lang w:val="fr-CH"/>
      </w:rPr>
    </w:pPr>
    <w:r>
      <w:rPr>
        <w:b/>
        <w:lang w:val="fr-CH"/>
      </w:rPr>
      <w:t>UN/SCETDG/52/INF.59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105415"/>
    <w:multiLevelType w:val="multilevel"/>
    <w:tmpl w:val="C634560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B94386"/>
    <w:multiLevelType w:val="multilevel"/>
    <w:tmpl w:val="63587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C1CE9"/>
    <w:multiLevelType w:val="multilevel"/>
    <w:tmpl w:val="79BA79CA"/>
    <w:lvl w:ilvl="0">
      <w:start w:val="1"/>
      <w:numFmt w:val="bullet"/>
      <w:lvlText w:val="o"/>
      <w:lvlJc w:val="left"/>
      <w:pPr>
        <w:ind w:left="1776" w:hanging="360"/>
      </w:pPr>
      <w:rPr>
        <w:rFonts w:ascii="Courier New" w:hAnsi="Courier New" w:cs="Courier New"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4">
    <w:nsid w:val="165E3BB2"/>
    <w:multiLevelType w:val="multilevel"/>
    <w:tmpl w:val="AF62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976D2F"/>
    <w:multiLevelType w:val="multilevel"/>
    <w:tmpl w:val="DFEE26F6"/>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94C3F83"/>
    <w:multiLevelType w:val="hybridMultilevel"/>
    <w:tmpl w:val="1A045BB0"/>
    <w:lvl w:ilvl="0" w:tplc="C7E41550">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54B90D00"/>
    <w:multiLevelType w:val="multilevel"/>
    <w:tmpl w:val="F56E082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1">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3"/>
  </w:num>
  <w:num w:numId="12">
    <w:abstractNumId w:val="8"/>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035C16"/>
    <w:rsid w:val="000363D7"/>
    <w:rsid w:val="000B67B2"/>
    <w:rsid w:val="000C536F"/>
    <w:rsid w:val="000E04EC"/>
    <w:rsid w:val="00111276"/>
    <w:rsid w:val="0015303A"/>
    <w:rsid w:val="001F190D"/>
    <w:rsid w:val="0031683D"/>
    <w:rsid w:val="00385EC0"/>
    <w:rsid w:val="0039160D"/>
    <w:rsid w:val="003E0191"/>
    <w:rsid w:val="004122ED"/>
    <w:rsid w:val="004741E0"/>
    <w:rsid w:val="004C4715"/>
    <w:rsid w:val="004F0C2A"/>
    <w:rsid w:val="00582129"/>
    <w:rsid w:val="00593D67"/>
    <w:rsid w:val="005E1D71"/>
    <w:rsid w:val="005E2274"/>
    <w:rsid w:val="005E5A1D"/>
    <w:rsid w:val="00643C19"/>
    <w:rsid w:val="0064401D"/>
    <w:rsid w:val="0068349B"/>
    <w:rsid w:val="00686A9F"/>
    <w:rsid w:val="006B728F"/>
    <w:rsid w:val="006E0653"/>
    <w:rsid w:val="00701F1F"/>
    <w:rsid w:val="007C0CDA"/>
    <w:rsid w:val="00856DEF"/>
    <w:rsid w:val="008774FA"/>
    <w:rsid w:val="00954BCA"/>
    <w:rsid w:val="009944B6"/>
    <w:rsid w:val="00A27C4C"/>
    <w:rsid w:val="00A31BE9"/>
    <w:rsid w:val="00A47EC4"/>
    <w:rsid w:val="00A718F5"/>
    <w:rsid w:val="00AA1F28"/>
    <w:rsid w:val="00AF4666"/>
    <w:rsid w:val="00B01732"/>
    <w:rsid w:val="00B03446"/>
    <w:rsid w:val="00B33EC2"/>
    <w:rsid w:val="00B36979"/>
    <w:rsid w:val="00B44416"/>
    <w:rsid w:val="00B7240A"/>
    <w:rsid w:val="00C74BCF"/>
    <w:rsid w:val="00D45025"/>
    <w:rsid w:val="00D46526"/>
    <w:rsid w:val="00D8145C"/>
    <w:rsid w:val="00DD689E"/>
    <w:rsid w:val="00DE3351"/>
    <w:rsid w:val="00E527ED"/>
    <w:rsid w:val="00EE13FC"/>
    <w:rsid w:val="00EF1CE4"/>
    <w:rsid w:val="00EF5DAA"/>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customStyle="1" w:styleId="Contenudetableau">
    <w:name w:val="Contenu de tableau"/>
    <w:basedOn w:val="Normal"/>
    <w:qFormat/>
    <w:rsid w:val="00EE13FC"/>
    <w:pPr>
      <w:widowControl w:val="0"/>
      <w:suppressLineNumbers/>
      <w:suppressAutoHyphens w:val="0"/>
      <w:spacing w:line="240" w:lineRule="auto"/>
    </w:pPr>
    <w:rPr>
      <w:rFonts w:ascii="Liberation Serif" w:eastAsia="SimSun" w:hAnsi="Liberation Serif" w:cs="Mangal"/>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customStyle="1" w:styleId="Contenudetableau">
    <w:name w:val="Contenu de tableau"/>
    <w:basedOn w:val="Normal"/>
    <w:qFormat/>
    <w:rsid w:val="00EE13FC"/>
    <w:pPr>
      <w:widowControl w:val="0"/>
      <w:suppressLineNumbers/>
      <w:suppressAutoHyphens w:val="0"/>
      <w:spacing w:line="240" w:lineRule="auto"/>
    </w:pPr>
    <w:rPr>
      <w:rFonts w:ascii="Liberation Serif" w:eastAsia="SimSun" w:hAnsi="Liberation Serif" w:cs="Mangal"/>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36AF-9460-4710-83C9-EB94E826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7</cp:revision>
  <cp:lastPrinted>2017-12-04T10:49:00Z</cp:lastPrinted>
  <dcterms:created xsi:type="dcterms:W3CDTF">2017-12-04T10:43:00Z</dcterms:created>
  <dcterms:modified xsi:type="dcterms:W3CDTF">2017-12-04T10:54:00Z</dcterms:modified>
</cp:coreProperties>
</file>