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517C8A" w:rsidTr="008B2E94">
        <w:trPr>
          <w:cantSplit/>
          <w:trHeight w:hRule="exact" w:val="993"/>
        </w:trPr>
        <w:tc>
          <w:tcPr>
            <w:tcW w:w="9639" w:type="dxa"/>
            <w:tcBorders>
              <w:bottom w:val="single" w:sz="4" w:space="0" w:color="auto"/>
            </w:tcBorders>
            <w:shd w:val="clear" w:color="auto" w:fill="FFFFFF"/>
            <w:vAlign w:val="bottom"/>
          </w:tcPr>
          <w:p w:rsidR="009E7B0D" w:rsidRPr="006F47DE" w:rsidRDefault="00476481" w:rsidP="009E7B0D">
            <w:pPr>
              <w:jc w:val="right"/>
              <w:rPr>
                <w:b/>
                <w:sz w:val="40"/>
                <w:szCs w:val="40"/>
                <w:lang w:val="fr-CA"/>
              </w:rPr>
            </w:pPr>
            <w:r>
              <w:rPr>
                <w:b/>
                <w:sz w:val="40"/>
                <w:szCs w:val="40"/>
                <w:lang w:val="fr-CA"/>
              </w:rPr>
              <w:t>UN/SCETDG/52</w:t>
            </w:r>
            <w:r w:rsidR="009E7B0D" w:rsidRPr="006F47DE">
              <w:rPr>
                <w:b/>
                <w:sz w:val="40"/>
                <w:szCs w:val="40"/>
                <w:lang w:val="fr-CA"/>
              </w:rPr>
              <w:t>/INF.</w:t>
            </w:r>
            <w:r w:rsidR="00ED687A">
              <w:rPr>
                <w:b/>
                <w:sz w:val="40"/>
                <w:szCs w:val="40"/>
                <w:lang w:val="fr-CA"/>
              </w:rPr>
              <w:t>57</w:t>
            </w:r>
          </w:p>
          <w:p w:rsidR="00280D2B" w:rsidRPr="006F47DE" w:rsidRDefault="00476481" w:rsidP="00ED687A">
            <w:pPr>
              <w:spacing w:after="240"/>
              <w:jc w:val="right"/>
              <w:rPr>
                <w:b/>
                <w:color w:val="000000" w:themeColor="text1"/>
                <w:sz w:val="40"/>
                <w:szCs w:val="40"/>
                <w:lang w:val="fr-CA"/>
              </w:rPr>
            </w:pPr>
            <w:r>
              <w:rPr>
                <w:b/>
                <w:sz w:val="40"/>
                <w:szCs w:val="40"/>
                <w:lang w:val="fr-CA"/>
              </w:rPr>
              <w:t>UN/SCEGHS/34</w:t>
            </w:r>
            <w:r w:rsidR="009E7B0D" w:rsidRPr="006F47DE">
              <w:rPr>
                <w:b/>
                <w:sz w:val="40"/>
                <w:szCs w:val="40"/>
                <w:lang w:val="fr-CA"/>
              </w:rPr>
              <w:t>/INF.</w:t>
            </w:r>
            <w:r w:rsidR="00ED687A">
              <w:rPr>
                <w:b/>
                <w:sz w:val="40"/>
                <w:szCs w:val="40"/>
                <w:lang w:val="fr-CA"/>
              </w:rPr>
              <w:t>20</w:t>
            </w:r>
          </w:p>
        </w:tc>
      </w:tr>
    </w:tbl>
    <w:tbl>
      <w:tblPr>
        <w:tblW w:w="9645" w:type="dxa"/>
        <w:tblInd w:w="108" w:type="dxa"/>
        <w:tblLayout w:type="fixed"/>
        <w:tblLook w:val="04A0" w:firstRow="1" w:lastRow="0" w:firstColumn="1" w:lastColumn="0" w:noHBand="0" w:noVBand="1"/>
      </w:tblPr>
      <w:tblGrid>
        <w:gridCol w:w="4536"/>
        <w:gridCol w:w="5109"/>
      </w:tblGrid>
      <w:tr w:rsidR="008A5A78" w:rsidRPr="006F47DE" w:rsidTr="008B2E94">
        <w:tc>
          <w:tcPr>
            <w:tcW w:w="9645" w:type="dxa"/>
            <w:gridSpan w:val="2"/>
            <w:tcMar>
              <w:top w:w="142" w:type="dxa"/>
              <w:left w:w="108" w:type="dxa"/>
              <w:bottom w:w="142" w:type="dxa"/>
              <w:right w:w="108" w:type="dxa"/>
            </w:tcMar>
          </w:tcPr>
          <w:p w:rsidR="008A5A78" w:rsidRPr="006F47DE" w:rsidRDefault="008A5A78" w:rsidP="001C4C4C">
            <w:pPr>
              <w:tabs>
                <w:tab w:val="right" w:pos="9214"/>
              </w:tabs>
            </w:pPr>
            <w:r w:rsidRPr="006F47DE">
              <w:rPr>
                <w:b/>
                <w:sz w:val="24"/>
                <w:szCs w:val="24"/>
              </w:rPr>
              <w:t>Committee of Experts on the Transport of Dangerous Goods</w:t>
            </w:r>
            <w:r w:rsidRPr="006F47DE">
              <w:rPr>
                <w:b/>
                <w:sz w:val="24"/>
                <w:szCs w:val="24"/>
              </w:rPr>
              <w:tab/>
            </w:r>
            <w:r w:rsidRPr="006F47DE">
              <w:rPr>
                <w:b/>
                <w:sz w:val="24"/>
                <w:szCs w:val="24"/>
              </w:rPr>
              <w:br/>
              <w:t>and on the Globally Harmonized System of Classification</w:t>
            </w:r>
            <w:r w:rsidRPr="006F47DE">
              <w:rPr>
                <w:b/>
                <w:sz w:val="24"/>
                <w:szCs w:val="24"/>
              </w:rPr>
              <w:br/>
              <w:t>and Labelling of Chemicals</w:t>
            </w:r>
            <w:r w:rsidRPr="006F47DE">
              <w:rPr>
                <w:b/>
              </w:rPr>
              <w:tab/>
            </w:r>
            <w:r w:rsidR="001C4C4C">
              <w:rPr>
                <w:b/>
              </w:rPr>
              <w:t>30</w:t>
            </w:r>
            <w:r w:rsidR="00623312" w:rsidRPr="006F47DE">
              <w:rPr>
                <w:b/>
                <w:sz w:val="18"/>
                <w:szCs w:val="24"/>
              </w:rPr>
              <w:t xml:space="preserve"> </w:t>
            </w:r>
            <w:r w:rsidR="00D87D82" w:rsidRPr="006F47DE">
              <w:rPr>
                <w:b/>
                <w:sz w:val="18"/>
                <w:szCs w:val="24"/>
              </w:rPr>
              <w:t>Novem</w:t>
            </w:r>
            <w:r w:rsidR="0078022A" w:rsidRPr="006F47DE">
              <w:rPr>
                <w:b/>
                <w:sz w:val="18"/>
                <w:szCs w:val="24"/>
              </w:rPr>
              <w:t>ber</w:t>
            </w:r>
            <w:r w:rsidR="00623312" w:rsidRPr="006F47DE">
              <w:rPr>
                <w:b/>
                <w:sz w:val="18"/>
                <w:szCs w:val="24"/>
              </w:rPr>
              <w:t xml:space="preserve"> </w:t>
            </w:r>
            <w:r w:rsidR="00D87D82" w:rsidRPr="006F47DE">
              <w:rPr>
                <w:b/>
                <w:sz w:val="18"/>
                <w:szCs w:val="24"/>
              </w:rPr>
              <w:t>2017</w:t>
            </w:r>
          </w:p>
        </w:tc>
      </w:tr>
      <w:tr w:rsidR="008A5A78" w:rsidRPr="006F47DE" w:rsidTr="002F5640">
        <w:tc>
          <w:tcPr>
            <w:tcW w:w="4536" w:type="dxa"/>
            <w:tcMar>
              <w:top w:w="57" w:type="dxa"/>
              <w:left w:w="108" w:type="dxa"/>
              <w:bottom w:w="0" w:type="dxa"/>
              <w:right w:w="108" w:type="dxa"/>
            </w:tcMar>
          </w:tcPr>
          <w:p w:rsidR="008A5A78" w:rsidRPr="006F47DE" w:rsidRDefault="008A5A78">
            <w:pPr>
              <w:spacing w:before="120"/>
              <w:rPr>
                <w:b/>
              </w:rPr>
            </w:pPr>
            <w:r w:rsidRPr="006F47DE">
              <w:rPr>
                <w:b/>
              </w:rPr>
              <w:t xml:space="preserve">Sub-Committee of Experts on the </w:t>
            </w:r>
            <w:r w:rsidRPr="006F47DE">
              <w:rPr>
                <w:b/>
              </w:rPr>
              <w:br/>
              <w:t>Transport of Dangerous Goods</w:t>
            </w:r>
          </w:p>
        </w:tc>
        <w:tc>
          <w:tcPr>
            <w:tcW w:w="5109" w:type="dxa"/>
            <w:tcMar>
              <w:top w:w="57" w:type="dxa"/>
              <w:left w:w="108" w:type="dxa"/>
              <w:bottom w:w="0" w:type="dxa"/>
              <w:right w:w="108" w:type="dxa"/>
            </w:tcMar>
            <w:vAlign w:val="center"/>
          </w:tcPr>
          <w:p w:rsidR="008A5A78" w:rsidRPr="006F47DE" w:rsidRDefault="008A5A78" w:rsidP="002F5640">
            <w:pPr>
              <w:spacing w:before="120"/>
              <w:rPr>
                <w:b/>
              </w:rPr>
            </w:pPr>
            <w:r w:rsidRPr="006F47DE">
              <w:rPr>
                <w:b/>
              </w:rPr>
              <w:t>Sub-Committee of Experts on the Globally Harmonized System of Classification and Labelling of Chemicals</w:t>
            </w:r>
          </w:p>
        </w:tc>
      </w:tr>
      <w:tr w:rsidR="008A5A78" w:rsidRPr="006F47DE" w:rsidTr="008B2E94">
        <w:tc>
          <w:tcPr>
            <w:tcW w:w="4536" w:type="dxa"/>
            <w:tcMar>
              <w:top w:w="57" w:type="dxa"/>
              <w:left w:w="108" w:type="dxa"/>
              <w:bottom w:w="0" w:type="dxa"/>
              <w:right w:w="108" w:type="dxa"/>
            </w:tcMar>
          </w:tcPr>
          <w:p w:rsidR="008A5A78" w:rsidRPr="006F47DE" w:rsidRDefault="00D87D82" w:rsidP="00D77FB6">
            <w:pPr>
              <w:spacing w:before="120"/>
              <w:ind w:left="34" w:hanging="34"/>
              <w:rPr>
                <w:b/>
                <w:lang w:val="fr-CA"/>
              </w:rPr>
            </w:pPr>
            <w:r w:rsidRPr="006F47DE">
              <w:rPr>
                <w:b/>
              </w:rPr>
              <w:t>Fifty-second</w:t>
            </w:r>
            <w:r w:rsidR="008A5A78" w:rsidRPr="006F47DE">
              <w:rPr>
                <w:b/>
              </w:rPr>
              <w:t xml:space="preserve"> session</w:t>
            </w:r>
          </w:p>
        </w:tc>
        <w:tc>
          <w:tcPr>
            <w:tcW w:w="5109" w:type="dxa"/>
            <w:tcMar>
              <w:top w:w="57" w:type="dxa"/>
              <w:left w:w="108" w:type="dxa"/>
              <w:bottom w:w="0" w:type="dxa"/>
              <w:right w:w="108" w:type="dxa"/>
            </w:tcMar>
          </w:tcPr>
          <w:p w:rsidR="008A5A78" w:rsidRPr="006F47DE" w:rsidRDefault="008A5A78" w:rsidP="00D87D82">
            <w:pPr>
              <w:spacing w:before="120"/>
              <w:rPr>
                <w:b/>
              </w:rPr>
            </w:pPr>
            <w:r w:rsidRPr="006F47DE">
              <w:rPr>
                <w:b/>
              </w:rPr>
              <w:t>Thirty-</w:t>
            </w:r>
            <w:r w:rsidR="00D87D82" w:rsidRPr="006F47DE">
              <w:rPr>
                <w:b/>
              </w:rPr>
              <w:t>fourth</w:t>
            </w:r>
            <w:r w:rsidR="0078022A" w:rsidRPr="006F47DE">
              <w:rPr>
                <w:b/>
              </w:rPr>
              <w:t xml:space="preserve"> </w:t>
            </w:r>
            <w:r w:rsidRPr="006F47DE">
              <w:rPr>
                <w:b/>
              </w:rPr>
              <w:t>session</w:t>
            </w:r>
          </w:p>
        </w:tc>
      </w:tr>
      <w:tr w:rsidR="008A5A78" w:rsidRPr="006F47DE" w:rsidTr="008B2E94">
        <w:tc>
          <w:tcPr>
            <w:tcW w:w="4536" w:type="dxa"/>
            <w:tcMar>
              <w:top w:w="57" w:type="dxa"/>
              <w:left w:w="108" w:type="dxa"/>
              <w:bottom w:w="0" w:type="dxa"/>
              <w:right w:w="108" w:type="dxa"/>
            </w:tcMar>
          </w:tcPr>
          <w:p w:rsidR="008A5A78" w:rsidRPr="006F47DE" w:rsidRDefault="008A5A78" w:rsidP="00977C08">
            <w:pPr>
              <w:tabs>
                <w:tab w:val="left" w:pos="6361"/>
                <w:tab w:val="left" w:pos="6939"/>
              </w:tabs>
              <w:spacing w:before="40"/>
              <w:outlineLvl w:val="0"/>
              <w:rPr>
                <w:bCs/>
              </w:rPr>
            </w:pPr>
            <w:r w:rsidRPr="006F47DE">
              <w:rPr>
                <w:bCs/>
              </w:rPr>
              <w:t>Geneva, 2</w:t>
            </w:r>
            <w:r w:rsidR="00D87D82" w:rsidRPr="006F47DE">
              <w:rPr>
                <w:bCs/>
              </w:rPr>
              <w:t>7</w:t>
            </w:r>
            <w:r w:rsidR="00EB4381" w:rsidRPr="006F47DE">
              <w:rPr>
                <w:bCs/>
              </w:rPr>
              <w:t xml:space="preserve"> November-6 December 2016</w:t>
            </w:r>
          </w:p>
          <w:p w:rsidR="008A5A78" w:rsidRPr="006F47DE" w:rsidRDefault="008A5A78" w:rsidP="00977C08">
            <w:pPr>
              <w:spacing w:before="40"/>
            </w:pPr>
            <w:r w:rsidRPr="006F47DE">
              <w:t xml:space="preserve">Item </w:t>
            </w:r>
            <w:r w:rsidR="00D87D82" w:rsidRPr="006F47DE">
              <w:t>2</w:t>
            </w:r>
            <w:r w:rsidR="00643AC8" w:rsidRPr="006F47DE">
              <w:t xml:space="preserve"> (</w:t>
            </w:r>
            <w:proofErr w:type="spellStart"/>
            <w:r w:rsidR="00D87D82" w:rsidRPr="006F47DE">
              <w:t>i</w:t>
            </w:r>
            <w:proofErr w:type="spellEnd"/>
            <w:r w:rsidR="00643AC8" w:rsidRPr="006F47DE">
              <w:t>)</w:t>
            </w:r>
            <w:r w:rsidR="00A33866" w:rsidRPr="006F47DE">
              <w:t xml:space="preserve"> </w:t>
            </w:r>
            <w:r w:rsidRPr="006F47DE">
              <w:t>of the provisional agenda</w:t>
            </w:r>
          </w:p>
          <w:p w:rsidR="008A5A78" w:rsidRPr="006F47DE" w:rsidRDefault="00D87D82" w:rsidP="00D87D82">
            <w:pPr>
              <w:spacing w:before="40"/>
              <w:rPr>
                <w:b/>
                <w:bCs/>
              </w:rPr>
            </w:pPr>
            <w:r w:rsidRPr="006F47DE">
              <w:rPr>
                <w:b/>
              </w:rPr>
              <w:t>Explosives and related matters: Review of Chapter 2.1 of the GHS</w:t>
            </w:r>
          </w:p>
        </w:tc>
        <w:tc>
          <w:tcPr>
            <w:tcW w:w="5109" w:type="dxa"/>
            <w:tcMar>
              <w:top w:w="57" w:type="dxa"/>
              <w:left w:w="108" w:type="dxa"/>
              <w:bottom w:w="0" w:type="dxa"/>
              <w:right w:w="108" w:type="dxa"/>
            </w:tcMar>
          </w:tcPr>
          <w:p w:rsidR="008A5A78" w:rsidRPr="006F47DE" w:rsidRDefault="008A5A78" w:rsidP="008A5A78">
            <w:pPr>
              <w:jc w:val="both"/>
            </w:pPr>
            <w:r w:rsidRPr="006F47DE">
              <w:t xml:space="preserve">Geneva, </w:t>
            </w:r>
            <w:r w:rsidR="00D87D82" w:rsidRPr="006F47DE">
              <w:t>6</w:t>
            </w:r>
            <w:r w:rsidR="00EB4381" w:rsidRPr="006F47DE">
              <w:t>-</w:t>
            </w:r>
            <w:r w:rsidR="00D87D82" w:rsidRPr="006F47DE">
              <w:t>8</w:t>
            </w:r>
            <w:r w:rsidR="00EB4381" w:rsidRPr="006F47DE">
              <w:t xml:space="preserve"> December 201</w:t>
            </w:r>
            <w:r w:rsidR="00D87D82" w:rsidRPr="006F47DE">
              <w:t>7</w:t>
            </w:r>
          </w:p>
          <w:p w:rsidR="008A5A78" w:rsidRPr="006F47DE" w:rsidRDefault="008A5A78" w:rsidP="008A5A78">
            <w:pPr>
              <w:spacing w:before="40"/>
            </w:pPr>
            <w:r w:rsidRPr="006F47DE">
              <w:t xml:space="preserve">Item </w:t>
            </w:r>
            <w:r w:rsidR="00643AC8" w:rsidRPr="006F47DE">
              <w:t>2 (</w:t>
            </w:r>
            <w:r w:rsidR="00D87D82" w:rsidRPr="006F47DE">
              <w:t>b</w:t>
            </w:r>
            <w:r w:rsidR="00643AC8" w:rsidRPr="006F47DE">
              <w:t>)</w:t>
            </w:r>
            <w:r w:rsidRPr="006F47DE">
              <w:t xml:space="preserve"> of the provisional agenda</w:t>
            </w:r>
          </w:p>
          <w:p w:rsidR="008A5A78" w:rsidRPr="006F47DE" w:rsidRDefault="00643AC8" w:rsidP="008A5A78">
            <w:pPr>
              <w:suppressAutoHyphens w:val="0"/>
              <w:spacing w:line="240" w:lineRule="auto"/>
              <w:rPr>
                <w:b/>
              </w:rPr>
            </w:pPr>
            <w:r w:rsidRPr="006F47DE">
              <w:rPr>
                <w:b/>
              </w:rPr>
              <w:t xml:space="preserve">Classification criteria and related hazard communication: </w:t>
            </w:r>
            <w:r w:rsidR="00D87D82" w:rsidRPr="006F47DE">
              <w:rPr>
                <w:b/>
              </w:rPr>
              <w:t>Review of Chapter 2.1</w:t>
            </w:r>
          </w:p>
        </w:tc>
      </w:tr>
    </w:tbl>
    <w:p w:rsidR="00643AC8" w:rsidRPr="006F47DE" w:rsidRDefault="00354A78" w:rsidP="0059227E">
      <w:pPr>
        <w:pStyle w:val="HChG"/>
      </w:pPr>
      <w:r>
        <w:tab/>
      </w:r>
      <w:r>
        <w:tab/>
      </w:r>
      <w:bookmarkStart w:id="0" w:name="_GoBack"/>
      <w:bookmarkEnd w:id="0"/>
      <w:r w:rsidR="0059227E" w:rsidRPr="0059227E">
        <w:t xml:space="preserve">Tentative new classification system and criteria for </w:t>
      </w:r>
      <w:r w:rsidR="00C306D3">
        <w:t>GHS Chapter 2.1 (</w:t>
      </w:r>
      <w:r w:rsidR="0059227E" w:rsidRPr="0059227E">
        <w:t>Explosives)</w:t>
      </w:r>
    </w:p>
    <w:p w:rsidR="00724988" w:rsidRPr="006F47DE" w:rsidRDefault="00643AC8" w:rsidP="0059227E">
      <w:pPr>
        <w:pStyle w:val="H1G"/>
        <w:ind w:left="0" w:firstLine="0"/>
      </w:pPr>
      <w:r w:rsidRPr="006F47DE">
        <w:tab/>
      </w:r>
      <w:r w:rsidRPr="006F47DE">
        <w:tab/>
      </w:r>
      <w:r w:rsidR="00724988" w:rsidRPr="006F47DE">
        <w:t>Transmitted by the expert from Sweden</w:t>
      </w:r>
    </w:p>
    <w:p w:rsidR="00724988" w:rsidRPr="006F47DE" w:rsidRDefault="00643AC8" w:rsidP="00643AC8">
      <w:pPr>
        <w:pStyle w:val="HChG"/>
      </w:pPr>
      <w:r w:rsidRPr="006F47DE">
        <w:tab/>
      </w:r>
      <w:r w:rsidRPr="006F47DE">
        <w:tab/>
      </w:r>
      <w:r w:rsidR="002F5640" w:rsidRPr="006F47DE">
        <w:t>Background</w:t>
      </w:r>
    </w:p>
    <w:p w:rsidR="0059227E" w:rsidRPr="0059227E" w:rsidRDefault="00C14FB3" w:rsidP="0059227E">
      <w:pPr>
        <w:pStyle w:val="SingleTxtG"/>
      </w:pPr>
      <w:r w:rsidRPr="006F47DE">
        <w:t xml:space="preserve">1. </w:t>
      </w:r>
      <w:r w:rsidRPr="006F47DE">
        <w:tab/>
      </w:r>
      <w:r w:rsidR="0059227E" w:rsidRPr="0059227E">
        <w:t xml:space="preserve">As indicated in informal document INF.10 to the </w:t>
      </w:r>
      <w:r w:rsidR="006E6365">
        <w:t xml:space="preserve">34:th session of the </w:t>
      </w:r>
      <w:r w:rsidR="0059227E" w:rsidRPr="0059227E">
        <w:t>SCEGHS</w:t>
      </w:r>
      <w:r w:rsidR="0059227E" w:rsidRPr="0059227E">
        <w:rPr>
          <w:vertAlign w:val="superscript"/>
        </w:rPr>
        <w:footnoteReference w:id="2"/>
      </w:r>
      <w:r w:rsidR="0059227E" w:rsidRPr="0059227E">
        <w:t xml:space="preserve">, the Informal Correspondence Group on the revision of GHS Chapter 2.1 met after the Working Group of Explosives </w:t>
      </w:r>
      <w:r w:rsidR="00517C8A">
        <w:t xml:space="preserve">(EWG) </w:t>
      </w:r>
      <w:r w:rsidR="0059227E" w:rsidRPr="0059227E">
        <w:t xml:space="preserve">had finished their ordinary business. The focus of the meeting was to </w:t>
      </w:r>
      <w:r w:rsidR="006E6365">
        <w:t>work on the</w:t>
      </w:r>
      <w:r w:rsidR="0059227E" w:rsidRPr="0059227E">
        <w:t xml:space="preserve"> criteria for </w:t>
      </w:r>
      <w:r w:rsidR="006E6365">
        <w:t xml:space="preserve">a new possible classification system for </w:t>
      </w:r>
      <w:r w:rsidR="0059227E" w:rsidRPr="0059227E">
        <w:t>the hazard class</w:t>
      </w:r>
      <w:r w:rsidR="006E6365">
        <w:t xml:space="preserve"> of Explosives in the GHS</w:t>
      </w:r>
      <w:r w:rsidR="0059227E" w:rsidRPr="0059227E">
        <w:t>, on basis of input received as s</w:t>
      </w:r>
      <w:r w:rsidR="006E6365">
        <w:t>hown in the annexes to INF.10.</w:t>
      </w:r>
    </w:p>
    <w:p w:rsidR="006138CE" w:rsidRDefault="0059227E" w:rsidP="006138CE">
      <w:pPr>
        <w:pStyle w:val="SingleTxtG"/>
      </w:pPr>
      <w:r w:rsidRPr="0059227E">
        <w:t>2.</w:t>
      </w:r>
      <w:r w:rsidRPr="0059227E">
        <w:tab/>
        <w:t>The ICG</w:t>
      </w:r>
      <w:r w:rsidR="00517C8A">
        <w:t>-members present (primarily members from the EWG)</w:t>
      </w:r>
      <w:r w:rsidRPr="0059227E">
        <w:t xml:space="preserve"> discussed the various issues</w:t>
      </w:r>
      <w:r w:rsidR="006138CE">
        <w:t xml:space="preserve"> in a</w:t>
      </w:r>
      <w:r w:rsidR="006E6365">
        <w:t xml:space="preserve"> structured manner</w:t>
      </w:r>
      <w:r w:rsidRPr="0059227E">
        <w:t xml:space="preserve"> and </w:t>
      </w:r>
      <w:r w:rsidR="001C4C4C">
        <w:t>made very good progress. The outcome of these discussions is a</w:t>
      </w:r>
      <w:r w:rsidRPr="0059227E">
        <w:t xml:space="preserve"> tentatively agree</w:t>
      </w:r>
      <w:r w:rsidR="001C4C4C">
        <w:t>d</w:t>
      </w:r>
      <w:r w:rsidRPr="0059227E">
        <w:t xml:space="preserve"> </w:t>
      </w:r>
      <w:r w:rsidR="006138CE">
        <w:t xml:space="preserve">system with </w:t>
      </w:r>
      <w:r w:rsidRPr="0059227E">
        <w:t xml:space="preserve">criteria as shown </w:t>
      </w:r>
      <w:r w:rsidR="006E6365">
        <w:t xml:space="preserve">in </w:t>
      </w:r>
      <w:r>
        <w:t>Annex</w:t>
      </w:r>
      <w:r w:rsidR="006E6365">
        <w:t xml:space="preserve"> 1</w:t>
      </w:r>
      <w:r w:rsidRPr="0059227E">
        <w:t>.</w:t>
      </w:r>
      <w:r w:rsidR="001C4C4C">
        <w:t xml:space="preserve"> As indicated by the square brackets, some details are still under consideration, and the entire system would need to undergo some further scrutiny to assure its correctness and functionality. However, the goal of arriving at a single </w:t>
      </w:r>
      <w:r w:rsidR="00584E6A">
        <w:t xml:space="preserve">tentative </w:t>
      </w:r>
      <w:r w:rsidR="001C4C4C">
        <w:t>system with criteria in the meeting, as set out in INF. 10,</w:t>
      </w:r>
      <w:r w:rsidR="006138CE">
        <w:t xml:space="preserve"> was met.</w:t>
      </w:r>
    </w:p>
    <w:p w:rsidR="006E6365" w:rsidRDefault="006138CE" w:rsidP="006138CE">
      <w:pPr>
        <w:pStyle w:val="SingleTxtG"/>
      </w:pPr>
      <w:r>
        <w:t>3.</w:t>
      </w:r>
      <w:r>
        <w:tab/>
        <w:t>There was</w:t>
      </w:r>
      <w:r w:rsidR="006E6365">
        <w:t xml:space="preserve"> also a</w:t>
      </w:r>
      <w:r w:rsidR="001C4C4C">
        <w:t>n</w:t>
      </w:r>
      <w:r w:rsidR="006E6365">
        <w:t xml:space="preserve"> initial discussion on </w:t>
      </w:r>
      <w:r w:rsidR="001C4C4C">
        <w:t xml:space="preserve">appropriate </w:t>
      </w:r>
      <w:r w:rsidR="006E6365">
        <w:t>labelling eleme</w:t>
      </w:r>
      <w:r w:rsidR="001C4C4C">
        <w:t>nts, but as indicated in INF.10</w:t>
      </w:r>
      <w:r w:rsidR="006E6365">
        <w:t xml:space="preserve"> these discussions</w:t>
      </w:r>
      <w:r w:rsidR="001C4C4C">
        <w:t xml:space="preserve"> will</w:t>
      </w:r>
      <w:r w:rsidR="006E6365">
        <w:t xml:space="preserve"> </w:t>
      </w:r>
      <w:r w:rsidR="001C4C4C">
        <w:t>primarily take place</w:t>
      </w:r>
      <w:r w:rsidR="006E6365">
        <w:t xml:space="preserve"> </w:t>
      </w:r>
      <w:r w:rsidR="001C4C4C">
        <w:t>during</w:t>
      </w:r>
      <w:r w:rsidR="006E6365">
        <w:t xml:space="preserve"> the ICG-meeting </w:t>
      </w:r>
      <w:r w:rsidR="001C4C4C">
        <w:t xml:space="preserve">to be held </w:t>
      </w:r>
      <w:r w:rsidR="006E6365">
        <w:t>in the margins of the SCEGHS</w:t>
      </w:r>
      <w:r w:rsidR="006E6365">
        <w:rPr>
          <w:rStyle w:val="FootnoteReference"/>
        </w:rPr>
        <w:footnoteReference w:id="3"/>
      </w:r>
      <w:r w:rsidR="006E6365">
        <w:t>.</w:t>
      </w:r>
    </w:p>
    <w:p w:rsidR="00584E6A" w:rsidRDefault="00584E6A" w:rsidP="006138CE">
      <w:pPr>
        <w:pStyle w:val="SingleTxtG"/>
      </w:pPr>
      <w:r>
        <w:t>4.</w:t>
      </w:r>
      <w:r>
        <w:tab/>
        <w:t>The expert from Sweden thanks the ICG-members that took part in the meetin</w:t>
      </w:r>
      <w:r w:rsidR="00C306D3">
        <w:t>g held for their efforts in making this</w:t>
      </w:r>
      <w:r>
        <w:t xml:space="preserve"> major step forward in the </w:t>
      </w:r>
      <w:r w:rsidR="00C306D3">
        <w:t xml:space="preserve">work on the </w:t>
      </w:r>
      <w:r>
        <w:t xml:space="preserve">revision of </w:t>
      </w:r>
      <w:r w:rsidR="00C306D3">
        <w:t xml:space="preserve">GHS </w:t>
      </w:r>
      <w:r>
        <w:t>Chapter 2.1</w:t>
      </w:r>
      <w:r w:rsidR="00C306D3">
        <w:t xml:space="preserve"> possible.</w:t>
      </w:r>
    </w:p>
    <w:p w:rsidR="0059227E" w:rsidRDefault="0059227E" w:rsidP="0059227E">
      <w:pPr>
        <w:pStyle w:val="SingleTxtG"/>
      </w:pPr>
    </w:p>
    <w:p w:rsidR="0059227E" w:rsidRDefault="0059227E" w:rsidP="0059227E">
      <w:pPr>
        <w:pStyle w:val="SingleTxtG"/>
      </w:pPr>
    </w:p>
    <w:p w:rsidR="0059227E" w:rsidRDefault="0059227E">
      <w:pPr>
        <w:suppressAutoHyphens w:val="0"/>
        <w:spacing w:line="240" w:lineRule="auto"/>
      </w:pPr>
      <w:r>
        <w:br w:type="page"/>
      </w:r>
    </w:p>
    <w:p w:rsidR="0059227E" w:rsidRDefault="0059227E" w:rsidP="0059227E">
      <w:pPr>
        <w:pStyle w:val="SingleTxtG"/>
        <w:sectPr w:rsidR="0059227E" w:rsidSect="0059227E">
          <w:headerReference w:type="even" r:id="rId9"/>
          <w:headerReference w:type="default"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59227E" w:rsidRPr="00C306D3" w:rsidRDefault="006E6365" w:rsidP="0059227E">
      <w:pPr>
        <w:pStyle w:val="SingleTxtG"/>
        <w:rPr>
          <w:b/>
          <w:sz w:val="24"/>
        </w:rPr>
      </w:pPr>
      <w:r w:rsidRPr="00C306D3">
        <w:rPr>
          <w:b/>
          <w:sz w:val="24"/>
        </w:rPr>
        <w:lastRenderedPageBreak/>
        <w:t>Annex 1</w:t>
      </w:r>
      <w:r w:rsidR="00C306D3" w:rsidRPr="00C306D3">
        <w:rPr>
          <w:b/>
          <w:sz w:val="24"/>
        </w:rPr>
        <w:t xml:space="preserve"> – Tentative new classification system and criteria for GHS Chapter 2.1</w:t>
      </w:r>
    </w:p>
    <w:p w:rsidR="0059227E" w:rsidRDefault="0059227E" w:rsidP="0059227E">
      <w:pPr>
        <w:pStyle w:val="SingleTxtG"/>
      </w:pPr>
    </w:p>
    <w:tbl>
      <w:tblPr>
        <w:tblStyle w:val="TableGrid"/>
        <w:tblW w:w="13026" w:type="dxa"/>
        <w:tblInd w:w="-18" w:type="dxa"/>
        <w:tblLook w:val="04A0" w:firstRow="1" w:lastRow="0" w:firstColumn="1" w:lastColumn="0" w:noHBand="0" w:noVBand="1"/>
      </w:tblPr>
      <w:tblGrid>
        <w:gridCol w:w="2547"/>
        <w:gridCol w:w="2551"/>
        <w:gridCol w:w="3969"/>
        <w:gridCol w:w="3959"/>
      </w:tblGrid>
      <w:tr w:rsidR="0059227E" w:rsidRPr="009F2009" w:rsidTr="006138CE">
        <w:tc>
          <w:tcPr>
            <w:tcW w:w="2547" w:type="dxa"/>
            <w:tcBorders>
              <w:top w:val="single" w:sz="12" w:space="0" w:color="auto"/>
              <w:left w:val="single" w:sz="12" w:space="0" w:color="auto"/>
              <w:bottom w:val="single" w:sz="4" w:space="0" w:color="auto"/>
              <w:right w:val="single" w:sz="18" w:space="0" w:color="auto"/>
            </w:tcBorders>
            <w:shd w:val="clear" w:color="auto" w:fill="EEECE1" w:themeFill="background2"/>
            <w:vAlign w:val="center"/>
          </w:tcPr>
          <w:p w:rsidR="0059227E" w:rsidRPr="006138CE" w:rsidRDefault="0059227E" w:rsidP="001C4C4C">
            <w:pPr>
              <w:suppressAutoHyphens w:val="0"/>
              <w:jc w:val="center"/>
              <w:rPr>
                <w:b/>
                <w:sz w:val="24"/>
              </w:rPr>
            </w:pPr>
            <w:r w:rsidRPr="006138CE">
              <w:rPr>
                <w:b/>
                <w:sz w:val="24"/>
              </w:rPr>
              <w:t>Category 1</w:t>
            </w:r>
          </w:p>
        </w:tc>
        <w:tc>
          <w:tcPr>
            <w:tcW w:w="10479" w:type="dxa"/>
            <w:gridSpan w:val="3"/>
            <w:tcBorders>
              <w:top w:val="single" w:sz="12" w:space="0" w:color="auto"/>
              <w:left w:val="single" w:sz="18" w:space="0" w:color="auto"/>
              <w:right w:val="single" w:sz="12" w:space="0" w:color="auto"/>
            </w:tcBorders>
            <w:shd w:val="clear" w:color="auto" w:fill="EEECE1" w:themeFill="background2"/>
            <w:vAlign w:val="center"/>
          </w:tcPr>
          <w:p w:rsidR="0059227E" w:rsidRPr="006138CE" w:rsidRDefault="0059227E" w:rsidP="001C4C4C">
            <w:pPr>
              <w:suppressAutoHyphens w:val="0"/>
              <w:jc w:val="center"/>
              <w:rPr>
                <w:b/>
                <w:sz w:val="24"/>
              </w:rPr>
            </w:pPr>
            <w:r w:rsidRPr="006138CE">
              <w:rPr>
                <w:b/>
                <w:sz w:val="24"/>
              </w:rPr>
              <w:t>Category 2</w:t>
            </w:r>
          </w:p>
        </w:tc>
      </w:tr>
      <w:tr w:rsidR="0059227E" w:rsidRPr="009F2009" w:rsidTr="006138CE">
        <w:trPr>
          <w:trHeight w:val="671"/>
        </w:trPr>
        <w:tc>
          <w:tcPr>
            <w:tcW w:w="2547" w:type="dxa"/>
            <w:vMerge w:val="restart"/>
            <w:tcBorders>
              <w:left w:val="single" w:sz="12" w:space="0" w:color="auto"/>
              <w:right w:val="single" w:sz="18" w:space="0" w:color="auto"/>
            </w:tcBorders>
            <w:shd w:val="clear" w:color="auto" w:fill="auto"/>
          </w:tcPr>
          <w:p w:rsidR="0059227E" w:rsidRPr="009F2009" w:rsidRDefault="0059227E" w:rsidP="008A4745">
            <w:pPr>
              <w:suppressAutoHyphens w:val="0"/>
            </w:pPr>
            <w:r w:rsidRPr="009F2009">
              <w:t>Not Category 2 (does not meet criteria for a Division in Class 1 for transport)</w:t>
            </w:r>
            <w:r w:rsidRPr="009F2009">
              <w:br/>
            </w:r>
            <w:r w:rsidRPr="009F2009">
              <w:br/>
              <w:t>[</w:t>
            </w:r>
            <w:r w:rsidRPr="009F2009">
              <w:rPr>
                <w:b/>
              </w:rPr>
              <w:t>OR</w:t>
            </w:r>
            <w:r w:rsidRPr="009F2009">
              <w:rPr>
                <w:b/>
              </w:rPr>
              <w:br/>
            </w:r>
            <w:r w:rsidRPr="009F2009">
              <w:t>ANE that fails Test 8a]</w:t>
            </w:r>
            <w:r w:rsidRPr="009F2009">
              <w:br/>
            </w:r>
            <w:r w:rsidRPr="009F2009">
              <w:br/>
              <w:t>[</w:t>
            </w:r>
            <w:r w:rsidRPr="009F2009">
              <w:rPr>
                <w:b/>
              </w:rPr>
              <w:t>AND</w:t>
            </w:r>
            <w:r w:rsidRPr="009F2009">
              <w:br/>
              <w:t>Not exempted article]</w:t>
            </w:r>
            <w:r w:rsidRPr="009F2009">
              <w:br/>
            </w:r>
            <w:r w:rsidRPr="009F2009">
              <w:br/>
              <w:t>[</w:t>
            </w:r>
            <w:r w:rsidRPr="009F2009">
              <w:rPr>
                <w:b/>
              </w:rPr>
              <w:t>AND</w:t>
            </w:r>
            <w:r w:rsidRPr="009F2009">
              <w:br/>
              <w:t>Not unintentionally explosive substance or mixture exempted by T</w:t>
            </w:r>
            <w:r>
              <w:t xml:space="preserve">est </w:t>
            </w:r>
            <w:r w:rsidRPr="009F2009">
              <w:t>S</w:t>
            </w:r>
            <w:r>
              <w:t xml:space="preserve">eries </w:t>
            </w:r>
            <w:r w:rsidRPr="009F2009">
              <w:t>6]</w:t>
            </w:r>
          </w:p>
        </w:tc>
        <w:tc>
          <w:tcPr>
            <w:tcW w:w="10479" w:type="dxa"/>
            <w:gridSpan w:val="3"/>
            <w:tcBorders>
              <w:left w:val="single" w:sz="18" w:space="0" w:color="auto"/>
              <w:right w:val="single" w:sz="12" w:space="0" w:color="auto"/>
            </w:tcBorders>
            <w:shd w:val="clear" w:color="auto" w:fill="auto"/>
          </w:tcPr>
          <w:p w:rsidR="0059227E" w:rsidRPr="009F2009" w:rsidRDefault="0059227E" w:rsidP="008A4745">
            <w:pPr>
              <w:suppressAutoHyphens w:val="0"/>
            </w:pPr>
            <w:r w:rsidRPr="009F2009">
              <w:t>Meets the criteria for a Division in Class 1 for transport.</w:t>
            </w:r>
          </w:p>
        </w:tc>
      </w:tr>
      <w:tr w:rsidR="0059227E" w:rsidRPr="009F2009" w:rsidTr="006138CE">
        <w:tc>
          <w:tcPr>
            <w:tcW w:w="2547" w:type="dxa"/>
            <w:vMerge/>
            <w:tcBorders>
              <w:left w:val="single" w:sz="12" w:space="0" w:color="auto"/>
              <w:right w:val="single" w:sz="18" w:space="0" w:color="auto"/>
            </w:tcBorders>
            <w:shd w:val="clear" w:color="auto" w:fill="auto"/>
            <w:vAlign w:val="center"/>
          </w:tcPr>
          <w:p w:rsidR="0059227E" w:rsidRPr="009F2009" w:rsidRDefault="0059227E" w:rsidP="008A4745">
            <w:pPr>
              <w:suppressAutoHyphens w:val="0"/>
              <w:rPr>
                <w:b/>
              </w:rPr>
            </w:pPr>
          </w:p>
        </w:tc>
        <w:tc>
          <w:tcPr>
            <w:tcW w:w="2551" w:type="dxa"/>
            <w:tcBorders>
              <w:top w:val="single" w:sz="18" w:space="0" w:color="auto"/>
              <w:left w:val="single" w:sz="18" w:space="0" w:color="auto"/>
            </w:tcBorders>
            <w:shd w:val="clear" w:color="auto" w:fill="EEECE1" w:themeFill="background2"/>
            <w:vAlign w:val="center"/>
          </w:tcPr>
          <w:p w:rsidR="0059227E" w:rsidRPr="006138CE" w:rsidRDefault="0059227E" w:rsidP="001C4C4C">
            <w:pPr>
              <w:suppressAutoHyphens w:val="0"/>
              <w:jc w:val="center"/>
              <w:rPr>
                <w:b/>
                <w:sz w:val="24"/>
              </w:rPr>
            </w:pPr>
            <w:r w:rsidRPr="006138CE">
              <w:rPr>
                <w:b/>
                <w:sz w:val="24"/>
              </w:rPr>
              <w:t>2A</w:t>
            </w:r>
          </w:p>
        </w:tc>
        <w:tc>
          <w:tcPr>
            <w:tcW w:w="3969" w:type="dxa"/>
            <w:tcBorders>
              <w:top w:val="single" w:sz="18" w:space="0" w:color="auto"/>
            </w:tcBorders>
            <w:shd w:val="clear" w:color="auto" w:fill="EEECE1" w:themeFill="background2"/>
            <w:vAlign w:val="center"/>
          </w:tcPr>
          <w:p w:rsidR="0059227E" w:rsidRPr="006138CE" w:rsidRDefault="0059227E" w:rsidP="001C4C4C">
            <w:pPr>
              <w:suppressAutoHyphens w:val="0"/>
              <w:jc w:val="center"/>
              <w:rPr>
                <w:b/>
                <w:sz w:val="24"/>
              </w:rPr>
            </w:pPr>
            <w:r w:rsidRPr="006138CE">
              <w:rPr>
                <w:b/>
                <w:sz w:val="24"/>
              </w:rPr>
              <w:t>2B</w:t>
            </w:r>
          </w:p>
        </w:tc>
        <w:tc>
          <w:tcPr>
            <w:tcW w:w="3959" w:type="dxa"/>
            <w:tcBorders>
              <w:top w:val="single" w:sz="18" w:space="0" w:color="auto"/>
              <w:right w:val="single" w:sz="12" w:space="0" w:color="auto"/>
            </w:tcBorders>
            <w:shd w:val="clear" w:color="auto" w:fill="EEECE1" w:themeFill="background2"/>
            <w:vAlign w:val="center"/>
          </w:tcPr>
          <w:p w:rsidR="0059227E" w:rsidRPr="006138CE" w:rsidRDefault="0059227E" w:rsidP="001C4C4C">
            <w:pPr>
              <w:suppressAutoHyphens w:val="0"/>
              <w:jc w:val="center"/>
              <w:rPr>
                <w:b/>
                <w:sz w:val="24"/>
              </w:rPr>
            </w:pPr>
            <w:r w:rsidRPr="006138CE">
              <w:rPr>
                <w:b/>
                <w:sz w:val="24"/>
              </w:rPr>
              <w:t>2C</w:t>
            </w:r>
          </w:p>
        </w:tc>
      </w:tr>
      <w:tr w:rsidR="0059227E" w:rsidRPr="009F2009" w:rsidTr="006138CE">
        <w:trPr>
          <w:trHeight w:val="1408"/>
        </w:trPr>
        <w:tc>
          <w:tcPr>
            <w:tcW w:w="2547" w:type="dxa"/>
            <w:vMerge/>
            <w:tcBorders>
              <w:left w:val="single" w:sz="12" w:space="0" w:color="auto"/>
              <w:bottom w:val="single" w:sz="12" w:space="0" w:color="auto"/>
              <w:right w:val="single" w:sz="18" w:space="0" w:color="auto"/>
            </w:tcBorders>
            <w:shd w:val="clear" w:color="auto" w:fill="auto"/>
          </w:tcPr>
          <w:p w:rsidR="0059227E" w:rsidRPr="009F2009" w:rsidRDefault="0059227E" w:rsidP="008A4745">
            <w:pPr>
              <w:suppressAutoHyphens w:val="0"/>
            </w:pPr>
          </w:p>
        </w:tc>
        <w:tc>
          <w:tcPr>
            <w:tcW w:w="2551" w:type="dxa"/>
            <w:tcBorders>
              <w:left w:val="single" w:sz="18" w:space="0" w:color="auto"/>
              <w:bottom w:val="single" w:sz="12" w:space="0" w:color="auto"/>
            </w:tcBorders>
            <w:shd w:val="clear" w:color="auto" w:fill="auto"/>
          </w:tcPr>
          <w:p w:rsidR="0059227E" w:rsidRPr="009F2009" w:rsidRDefault="0059227E" w:rsidP="008A4745">
            <w:pPr>
              <w:suppressAutoHyphens w:val="0"/>
            </w:pPr>
            <w:r w:rsidRPr="009F2009">
              <w:t>Not Category 2B or 2C</w:t>
            </w:r>
          </w:p>
          <w:p w:rsidR="0059227E" w:rsidRPr="009F2009" w:rsidRDefault="0059227E" w:rsidP="008A4745">
            <w:pPr>
              <w:suppressAutoHyphens w:val="0"/>
            </w:pPr>
            <w:r w:rsidRPr="009F2009">
              <w:t>[</w:t>
            </w:r>
            <w:r w:rsidRPr="009F2009">
              <w:rPr>
                <w:b/>
              </w:rPr>
              <w:t>OR</w:t>
            </w:r>
            <w:r w:rsidRPr="009F2009">
              <w:br/>
              <w:t>ANE that fails Test 8b or 8c]</w:t>
            </w:r>
          </w:p>
          <w:p w:rsidR="0059227E" w:rsidRPr="009F2009" w:rsidRDefault="0059227E" w:rsidP="008A4745">
            <w:pPr>
              <w:suppressAutoHyphens w:val="0"/>
            </w:pPr>
          </w:p>
        </w:tc>
        <w:tc>
          <w:tcPr>
            <w:tcW w:w="3969" w:type="dxa"/>
            <w:tcBorders>
              <w:bottom w:val="single" w:sz="12" w:space="0" w:color="auto"/>
            </w:tcBorders>
            <w:shd w:val="clear" w:color="auto" w:fill="auto"/>
          </w:tcPr>
          <w:p w:rsidR="0059227E" w:rsidRPr="009F2009" w:rsidRDefault="0059227E" w:rsidP="008A4745">
            <w:pPr>
              <w:suppressAutoHyphens w:val="0"/>
            </w:pPr>
            <w:r w:rsidRPr="009F2009">
              <w:t>Division 1.4 Compatibility group C or G</w:t>
            </w:r>
            <w:r>
              <w:br/>
            </w:r>
          </w:p>
          <w:p w:rsidR="0059227E" w:rsidRPr="009F2009" w:rsidRDefault="0059227E" w:rsidP="008A4745">
            <w:pPr>
              <w:suppressAutoHyphens w:val="0"/>
            </w:pPr>
            <w:r w:rsidRPr="009F2009">
              <w:rPr>
                <w:b/>
              </w:rPr>
              <w:t>AND</w:t>
            </w:r>
            <w:r w:rsidRPr="009F2009">
              <w:br/>
              <w:t>No indication that the packaging is designed such that the hazard is reduced, e.g.:</w:t>
            </w:r>
          </w:p>
          <w:p w:rsidR="0059227E" w:rsidRDefault="0059227E" w:rsidP="0059227E">
            <w:pPr>
              <w:numPr>
                <w:ilvl w:val="0"/>
                <w:numId w:val="20"/>
              </w:numPr>
              <w:suppressAutoHyphens w:val="0"/>
              <w:spacing w:after="160" w:line="259" w:lineRule="auto"/>
              <w:ind w:left="320" w:hanging="142"/>
            </w:pPr>
            <w:r w:rsidRPr="009F2009">
              <w:t>No special packing instructions/criteria required,</w:t>
            </w:r>
          </w:p>
          <w:p w:rsidR="0059227E" w:rsidRPr="009F2009" w:rsidRDefault="0059227E" w:rsidP="0059227E">
            <w:pPr>
              <w:numPr>
                <w:ilvl w:val="0"/>
                <w:numId w:val="20"/>
              </w:numPr>
              <w:suppressAutoHyphens w:val="0"/>
              <w:spacing w:after="160" w:line="259" w:lineRule="auto"/>
              <w:ind w:left="320" w:hanging="142"/>
              <w:rPr>
                <w:lang w:eastAsia="en-GB"/>
              </w:rPr>
            </w:pPr>
            <w:r w:rsidRPr="009F2009">
              <w:rPr>
                <w:lang w:eastAsia="en-GB"/>
              </w:rPr>
              <w:t>No special orientation or dividers required to pass Test Series 6 as Division</w:t>
            </w:r>
            <w:r>
              <w:t xml:space="preserve"> 1.4</w:t>
            </w:r>
            <w:r w:rsidRPr="009F2009">
              <w:rPr>
                <w:lang w:eastAsia="en-GB"/>
              </w:rPr>
              <w:t>,</w:t>
            </w:r>
          </w:p>
          <w:p w:rsidR="0059227E" w:rsidRPr="009F2009" w:rsidRDefault="0059227E" w:rsidP="008A4745">
            <w:pPr>
              <w:suppressAutoHyphens w:val="0"/>
              <w:rPr>
                <w:b/>
              </w:rPr>
            </w:pPr>
            <w:r w:rsidRPr="009F2009">
              <w:rPr>
                <w:b/>
              </w:rPr>
              <w:t>AND</w:t>
            </w:r>
            <w:r w:rsidRPr="009F2009">
              <w:rPr>
                <w:b/>
              </w:rPr>
              <w:br/>
            </w:r>
            <w:r w:rsidRPr="009F2009">
              <w:t>No violent reaction in T</w:t>
            </w:r>
            <w:r>
              <w:t>est</w:t>
            </w:r>
            <w:r w:rsidRPr="009F2009">
              <w:t xml:space="preserve"> 6a or 6b without mass explosion.</w:t>
            </w:r>
            <w:r w:rsidRPr="009F2009">
              <w:br/>
            </w:r>
            <w:r w:rsidRPr="009F2009">
              <w:br/>
              <w:t>[</w:t>
            </w:r>
            <w:r w:rsidRPr="009F2009">
              <w:rPr>
                <w:b/>
              </w:rPr>
              <w:t>AND</w:t>
            </w:r>
            <w:r w:rsidRPr="009F2009">
              <w:t xml:space="preserve"> </w:t>
            </w:r>
            <w:r w:rsidRPr="009F2009">
              <w:br/>
              <w:t>for unintentional substances and mixtures possible further criteria based on data from other tests]</w:t>
            </w:r>
          </w:p>
        </w:tc>
        <w:tc>
          <w:tcPr>
            <w:tcW w:w="3959" w:type="dxa"/>
            <w:tcBorders>
              <w:bottom w:val="single" w:sz="12" w:space="0" w:color="auto"/>
              <w:right w:val="single" w:sz="12" w:space="0" w:color="auto"/>
            </w:tcBorders>
            <w:shd w:val="clear" w:color="auto" w:fill="auto"/>
          </w:tcPr>
          <w:p w:rsidR="0059227E" w:rsidRPr="009F2009" w:rsidRDefault="0059227E" w:rsidP="008A4745">
            <w:pPr>
              <w:suppressAutoHyphens w:val="0"/>
            </w:pPr>
            <w:r w:rsidRPr="009F2009">
              <w:t>Division 1.4 Compatibility group S</w:t>
            </w:r>
            <w:r>
              <w:br/>
            </w:r>
          </w:p>
          <w:p w:rsidR="0059227E" w:rsidRPr="009F2009" w:rsidRDefault="0059227E" w:rsidP="008A4745">
            <w:pPr>
              <w:suppressAutoHyphens w:val="0"/>
            </w:pPr>
            <w:r w:rsidRPr="009F2009">
              <w:rPr>
                <w:b/>
              </w:rPr>
              <w:t>AND</w:t>
            </w:r>
            <w:r w:rsidRPr="009F2009">
              <w:br/>
              <w:t>No indication that the packaging is designed such that the hazard is reduced, e.g.:</w:t>
            </w:r>
          </w:p>
          <w:p w:rsidR="0059227E" w:rsidRDefault="0059227E" w:rsidP="0059227E">
            <w:pPr>
              <w:numPr>
                <w:ilvl w:val="0"/>
                <w:numId w:val="20"/>
              </w:numPr>
              <w:suppressAutoHyphens w:val="0"/>
              <w:spacing w:after="160" w:line="259" w:lineRule="auto"/>
              <w:ind w:left="320" w:hanging="142"/>
            </w:pPr>
            <w:r w:rsidRPr="009F2009">
              <w:t>No special packing instructions/criteria required,</w:t>
            </w:r>
          </w:p>
          <w:p w:rsidR="0059227E" w:rsidRPr="009F2009" w:rsidRDefault="0059227E" w:rsidP="0059227E">
            <w:pPr>
              <w:numPr>
                <w:ilvl w:val="0"/>
                <w:numId w:val="20"/>
              </w:numPr>
              <w:suppressAutoHyphens w:val="0"/>
              <w:spacing w:after="160" w:line="259" w:lineRule="auto"/>
              <w:ind w:left="320" w:hanging="142"/>
              <w:rPr>
                <w:lang w:eastAsia="en-GB"/>
              </w:rPr>
            </w:pPr>
            <w:r w:rsidRPr="009F2009">
              <w:rPr>
                <w:lang w:eastAsia="en-GB"/>
              </w:rPr>
              <w:t>No special orientation or dividers required to pass Test Series 6 as Division 1.4 Compatibility group S,</w:t>
            </w:r>
          </w:p>
          <w:p w:rsidR="0059227E" w:rsidRPr="009F2009" w:rsidRDefault="0059227E" w:rsidP="008A4745">
            <w:pPr>
              <w:suppressAutoHyphens w:val="0"/>
              <w:spacing w:after="160" w:line="259" w:lineRule="auto"/>
            </w:pPr>
            <w:r w:rsidRPr="009F2009">
              <w:rPr>
                <w:b/>
                <w:lang w:eastAsia="en-GB"/>
              </w:rPr>
              <w:t>AND</w:t>
            </w:r>
            <w:r w:rsidRPr="009F2009">
              <w:rPr>
                <w:b/>
                <w:lang w:eastAsia="en-GB"/>
              </w:rPr>
              <w:br/>
            </w:r>
            <w:r w:rsidRPr="009F2009">
              <w:rPr>
                <w:lang w:eastAsia="en-GB"/>
              </w:rPr>
              <w:t>No violent reaction in Test 6a or 6b without mass explosion,</w:t>
            </w:r>
          </w:p>
          <w:p w:rsidR="0059227E" w:rsidRPr="009F2009" w:rsidRDefault="0059227E" w:rsidP="008A4745">
            <w:pPr>
              <w:suppressAutoHyphens w:val="0"/>
              <w:spacing w:after="160" w:line="259" w:lineRule="auto"/>
            </w:pPr>
            <w:r w:rsidRPr="009F2009">
              <w:t>[</w:t>
            </w:r>
            <w:r w:rsidRPr="009F2009">
              <w:rPr>
                <w:b/>
              </w:rPr>
              <w:t>AND</w:t>
            </w:r>
            <w:r w:rsidRPr="009F2009">
              <w:br/>
              <w:t>for articles the individual article, or the smallest inner packaging unit, shows behaviour consistent with Div. 1.4 Cg S as packaged for transport]</w:t>
            </w:r>
          </w:p>
          <w:p w:rsidR="0059227E" w:rsidRPr="009F2009" w:rsidRDefault="0059227E" w:rsidP="008A4745">
            <w:pPr>
              <w:suppressAutoHyphens w:val="0"/>
              <w:spacing w:after="160" w:line="259" w:lineRule="auto"/>
            </w:pPr>
            <w:r w:rsidRPr="009F2009">
              <w:t>[</w:t>
            </w:r>
            <w:r w:rsidRPr="009F2009">
              <w:rPr>
                <w:b/>
              </w:rPr>
              <w:t>AND</w:t>
            </w:r>
            <w:r w:rsidRPr="009F2009">
              <w:t xml:space="preserve"> </w:t>
            </w:r>
            <w:r w:rsidRPr="009F2009">
              <w:br/>
              <w:t>for unintentionally explosive substances and mixtures possible further criteria based on data from other tests]</w:t>
            </w:r>
          </w:p>
        </w:tc>
      </w:tr>
    </w:tbl>
    <w:p w:rsidR="0059227E" w:rsidRPr="0059227E" w:rsidRDefault="0059227E" w:rsidP="0059227E">
      <w:pPr>
        <w:suppressAutoHyphens w:val="0"/>
        <w:spacing w:line="240" w:lineRule="auto"/>
      </w:pPr>
    </w:p>
    <w:sectPr w:rsidR="0059227E" w:rsidRPr="0059227E" w:rsidSect="0059227E">
      <w:endnotePr>
        <w:numFmt w:val="decimal"/>
      </w:endnotePr>
      <w:type w:val="continuous"/>
      <w:pgSz w:w="16840" w:h="11907" w:orient="landscape" w:code="9"/>
      <w:pgMar w:top="1134" w:right="1701" w:bottom="1134" w:left="2268"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DC" w:rsidRDefault="00CF4BDC"/>
  </w:endnote>
  <w:endnote w:type="continuationSeparator" w:id="0">
    <w:p w:rsidR="00CF4BDC" w:rsidRDefault="00CF4BDC"/>
  </w:endnote>
  <w:endnote w:type="continuationNotice" w:id="1">
    <w:p w:rsidR="00CF4BDC" w:rsidRDefault="00CF4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05570C" w:rsidRDefault="00E056AB" w:rsidP="00476481">
    <w:pPr>
      <w:pStyle w:val="Footer"/>
      <w:tabs>
        <w:tab w:val="right" w:pos="9598"/>
      </w:tabs>
      <w:jc w:val="right"/>
      <w:rPr>
        <w:b/>
        <w:sz w:val="18"/>
      </w:rPr>
    </w:pPr>
    <w:r w:rsidRPr="00E056AB">
      <w:rPr>
        <w:noProof/>
        <w:lang w:eastAsia="en-GB"/>
      </w:rPr>
      <mc:AlternateContent>
        <mc:Choice Requires="wps">
          <w:drawing>
            <wp:anchor distT="0" distB="0" distL="114300" distR="114300" simplePos="0" relativeHeight="251662336" behindDoc="0" locked="0" layoutInCell="1" allowOverlap="1" wp14:anchorId="7CD69832" wp14:editId="4F99A61B">
              <wp:simplePos x="0" y="0"/>
              <wp:positionH relativeFrom="column">
                <wp:posOffset>-692150</wp:posOffset>
              </wp:positionH>
              <wp:positionV relativeFrom="paragraph">
                <wp:posOffset>-492125</wp:posOffset>
              </wp:positionV>
              <wp:extent cx="2374265" cy="374650"/>
              <wp:effectExtent l="0" t="0" r="1778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4650"/>
                      </a:xfrm>
                      <a:prstGeom prst="rect">
                        <a:avLst/>
                      </a:prstGeom>
                      <a:solidFill>
                        <a:srgbClr val="FFFFFF"/>
                      </a:solidFill>
                      <a:ln w="9525">
                        <a:solidFill>
                          <a:schemeClr val="bg1"/>
                        </a:solidFill>
                        <a:miter lim="800000"/>
                        <a:headEnd/>
                        <a:tailEnd/>
                      </a:ln>
                    </wps:spPr>
                    <wps:txbx>
                      <w:txbxContent>
                        <w:p w:rsidR="00E056AB" w:rsidRDefault="00E056AB">
                          <w:r>
                            <w:t>7</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D69832" id="_x0000_t202" coordsize="21600,21600" o:spt="202" path="m,l,21600r21600,l21600,xe">
              <v:stroke joinstyle="miter"/>
              <v:path gradientshapeok="t" o:connecttype="rect"/>
            </v:shapetype>
            <v:shape id="_x0000_s1029" type="#_x0000_t202" style="position:absolute;left:0;text-align:left;margin-left:-54.5pt;margin-top:-38.75pt;width:186.95pt;height:29.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" strokecolor="white [3212]">
              <v:textbox style="layout-flow:vertical;mso-fit-shape-to-text:t">
                <w:txbxContent>
                  <w:p w:rsidR="00E056AB" w:rsidRDefault="00E056AB">
                    <w:r>
                      <w:t>7</w:t>
                    </w:r>
                  </w:p>
                </w:txbxContent>
              </v:textbox>
            </v:shape>
          </w:pict>
        </mc:Fallback>
      </mc:AlternateContent>
    </w:r>
    <w:r w:rsidR="0047648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476481" w:rsidRDefault="00E056AB" w:rsidP="00476481">
    <w:pPr>
      <w:pStyle w:val="Footer"/>
      <w:jc w:val="right"/>
      <w:rPr>
        <w:b/>
        <w:sz w:val="18"/>
        <w:szCs w:val="18"/>
        <w:lang w:val="fr-CH"/>
      </w:rPr>
    </w:pPr>
    <w:r>
      <w:rPr>
        <w:noProof/>
        <w:lang w:eastAsia="en-GB"/>
      </w:rPr>
      <mc:AlternateContent>
        <mc:Choice Requires="wps">
          <w:drawing>
            <wp:anchor distT="0" distB="0" distL="114300" distR="114300" simplePos="0" relativeHeight="251654144" behindDoc="0" locked="0" layoutInCell="1" allowOverlap="1" wp14:anchorId="279304B7" wp14:editId="4E28A783">
              <wp:simplePos x="0" y="0"/>
              <wp:positionH relativeFrom="column">
                <wp:posOffset>-1003300</wp:posOffset>
              </wp:positionH>
              <wp:positionV relativeFrom="paragraph">
                <wp:posOffset>-600075</wp:posOffset>
              </wp:positionV>
              <wp:extent cx="2374265" cy="241300"/>
              <wp:effectExtent l="0" t="0" r="1778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1300"/>
                      </a:xfrm>
                      <a:prstGeom prst="rect">
                        <a:avLst/>
                      </a:prstGeom>
                      <a:solidFill>
                        <a:srgbClr val="FFFFFF"/>
                      </a:solidFill>
                      <a:ln w="9525">
                        <a:solidFill>
                          <a:schemeClr val="bg1"/>
                        </a:solidFill>
                        <a:miter lim="800000"/>
                        <a:headEnd/>
                        <a:tailEnd/>
                      </a:ln>
                    </wps:spPr>
                    <wps:txbx>
                      <w:txbxContent>
                        <w:p w:rsidR="00E056AB" w:rsidRPr="00DA01AD" w:rsidRDefault="00DA01AD">
                          <w:pPr>
                            <w:rPr>
                              <w:lang w:val="fr-CH"/>
                            </w:rPr>
                          </w:pPr>
                          <w:r>
                            <w:rPr>
                              <w:lang w:val="fr-CH"/>
                            </w:rPr>
                            <w:t>2</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79pt;margin-top:-47.25pt;width:186.95pt;height:19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" strokecolor="white [3212]">
              <v:textbox style="layout-flow:vertical;mso-fit-shape-to-text:t">
                <w:txbxContent>
                  <w:p w:rsidR="00E056AB" w:rsidRPr="00DA01AD" w:rsidRDefault="00DA01AD">
                    <w:pPr>
                      <w:rPr>
                        <w:lang w:val="fr-CH"/>
                      </w:rPr>
                    </w:pPr>
                    <w:r>
                      <w:rPr>
                        <w:lang w:val="fr-CH"/>
                      </w:rPr>
                      <w:t>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DC" w:rsidRPr="000B175B" w:rsidRDefault="00CF4BDC" w:rsidP="000B175B">
      <w:pPr>
        <w:tabs>
          <w:tab w:val="right" w:pos="2155"/>
        </w:tabs>
        <w:spacing w:after="80"/>
        <w:ind w:left="680"/>
        <w:rPr>
          <w:u w:val="single"/>
        </w:rPr>
      </w:pPr>
      <w:r>
        <w:rPr>
          <w:u w:val="single"/>
        </w:rPr>
        <w:tab/>
      </w:r>
    </w:p>
  </w:footnote>
  <w:footnote w:type="continuationSeparator" w:id="0">
    <w:p w:rsidR="00CF4BDC" w:rsidRPr="00FC68B7" w:rsidRDefault="00CF4BDC" w:rsidP="00FC68B7">
      <w:pPr>
        <w:tabs>
          <w:tab w:val="left" w:pos="2155"/>
        </w:tabs>
        <w:spacing w:after="80"/>
        <w:ind w:left="680"/>
        <w:rPr>
          <w:u w:val="single"/>
        </w:rPr>
      </w:pPr>
      <w:r>
        <w:rPr>
          <w:u w:val="single"/>
        </w:rPr>
        <w:tab/>
      </w:r>
    </w:p>
  </w:footnote>
  <w:footnote w:type="continuationNotice" w:id="1">
    <w:p w:rsidR="00CF4BDC" w:rsidRDefault="00CF4BDC"/>
  </w:footnote>
  <w:footnote w:id="2">
    <w:p w:rsidR="0059227E" w:rsidRDefault="0059227E" w:rsidP="0059227E">
      <w:pPr>
        <w:pStyle w:val="FootnoteText"/>
      </w:pPr>
      <w:r>
        <w:rPr>
          <w:rStyle w:val="FootnoteReference"/>
        </w:rPr>
        <w:footnoteRef/>
      </w:r>
      <w:r>
        <w:t xml:space="preserve"> INF.20 to the </w:t>
      </w:r>
      <w:r w:rsidR="006E6365">
        <w:t xml:space="preserve">52:nd session of the </w:t>
      </w:r>
      <w:r>
        <w:t>SCETDG</w:t>
      </w:r>
    </w:p>
  </w:footnote>
  <w:footnote w:id="3">
    <w:p w:rsidR="006E6365" w:rsidRPr="006E6365" w:rsidRDefault="006E6365">
      <w:pPr>
        <w:pStyle w:val="FootnoteText"/>
        <w:rPr>
          <w:lang w:val="en-GB"/>
        </w:rPr>
      </w:pPr>
      <w:r>
        <w:rPr>
          <w:rStyle w:val="FootnoteReference"/>
        </w:rPr>
        <w:footnoteRef/>
      </w:r>
      <w:r>
        <w:t xml:space="preserve"> </w:t>
      </w:r>
      <w:r w:rsidRPr="006E6365">
        <w:rPr>
          <w:lang w:val="en-GB"/>
        </w:rPr>
        <w:t xml:space="preserve">Wednesday 6 December at 12:15 – 14:15 in meeting </w:t>
      </w:r>
      <w:r>
        <w:rPr>
          <w:lang w:val="en-GB"/>
        </w:rPr>
        <w:t>room S4, see UN/SCEGHS/34/INF.6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FC7852" w:rsidRDefault="0013640C" w:rsidP="00F54DDA">
    <w:pPr>
      <w:pStyle w:val="Header"/>
      <w:rPr>
        <w:lang w:val="fr-CA"/>
      </w:rPr>
    </w:pPr>
    <w:r w:rsidRPr="00377430">
      <w:rPr>
        <w:noProof/>
        <w:lang w:eastAsia="en-GB"/>
      </w:rPr>
      <mc:AlternateContent>
        <mc:Choice Requires="wps">
          <w:drawing>
            <wp:anchor distT="0" distB="0" distL="114300" distR="114300" simplePos="0" relativeHeight="251656192" behindDoc="0" locked="0" layoutInCell="1" allowOverlap="1" wp14:anchorId="1FD2791C" wp14:editId="687CEA4E">
              <wp:simplePos x="0" y="0"/>
              <wp:positionH relativeFrom="column">
                <wp:posOffset>8484870</wp:posOffset>
              </wp:positionH>
              <wp:positionV relativeFrom="paragraph">
                <wp:posOffset>-224790</wp:posOffset>
              </wp:positionV>
              <wp:extent cx="2374265" cy="581025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10250"/>
                      </a:xfrm>
                      <a:prstGeom prst="rect">
                        <a:avLst/>
                      </a:prstGeom>
                      <a:solidFill>
                        <a:srgbClr val="FFFFFF"/>
                      </a:solidFill>
                      <a:ln w="9525">
                        <a:solidFill>
                          <a:sysClr val="window" lastClr="FFFFFF"/>
                        </a:solidFill>
                        <a:miter lim="800000"/>
                        <a:headEnd/>
                        <a:tailEnd/>
                      </a:ln>
                    </wps:spPr>
                    <wps:txbx>
                      <w:txbxContent>
                        <w:p w:rsidR="00E056AB" w:rsidRPr="00377430" w:rsidRDefault="00E056AB" w:rsidP="00E056AB">
                          <w:pPr>
                            <w:pBdr>
                              <w:bottom w:val="single" w:sz="4" w:space="1" w:color="auto"/>
                            </w:pBdr>
                            <w:rPr>
                              <w:b/>
                            </w:rPr>
                          </w:pPr>
                          <w:r w:rsidRPr="00377430">
                            <w:rPr>
                              <w:b/>
                            </w:rPr>
                            <w:t>UN/SCETDG/52/INF.20</w:t>
                          </w:r>
                          <w:r w:rsidRPr="00377430">
                            <w:rPr>
                              <w:b/>
                            </w:rPr>
                            <w:br/>
                            <w:t>UN/SCEGHS/34/INF.10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D2791C" id="_x0000_t202" coordsize="21600,21600" o:spt="202" path="m,l,21600r21600,l21600,xe">
              <v:stroke joinstyle="miter"/>
              <v:path gradientshapeok="t" o:connecttype="rect"/>
            </v:shapetype>
            <v:shape id="Text Box 2" o:spid="_x0000_s1026" type="#_x0000_t202" style="position:absolute;margin-left:668.1pt;margin-top:-17.7pt;width:186.95pt;height:457.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" strokecolor="window">
              <v:textbox style="layout-flow:vertical;mso-fit-shape-to-text:t">
                <w:txbxContent>
                  <w:p w:rsidR="00E056AB" w:rsidRPr="00377430" w:rsidRDefault="00E056AB" w:rsidP="00E056AB">
                    <w:pPr>
                      <w:pBdr>
                        <w:bottom w:val="single" w:sz="4" w:space="1" w:color="auto"/>
                      </w:pBdr>
                      <w:rPr>
                        <w:b/>
                      </w:rPr>
                    </w:pPr>
                    <w:r w:rsidRPr="00377430">
                      <w:rPr>
                        <w:b/>
                      </w:rPr>
                      <w:t>UN/SCETDG/52/INF.20</w:t>
                    </w:r>
                    <w:r w:rsidRPr="00377430">
                      <w:rPr>
                        <w:b/>
                      </w:rPr>
                      <w:br/>
                      <w:t>UN/SCEGHS/34/INF.10</w:t>
                    </w:r>
                  </w:p>
                </w:txbxContent>
              </v:textbox>
            </v:shape>
          </w:pict>
        </mc:Fallback>
      </mc:AlternateContent>
    </w:r>
    <w:r w:rsidR="00E056AB" w:rsidRPr="00E056AB">
      <w:rPr>
        <w:noProof/>
        <w:lang w:eastAsia="en-GB"/>
      </w:rPr>
      <mc:AlternateContent>
        <mc:Choice Requires="wps">
          <w:drawing>
            <wp:anchor distT="0" distB="0" distL="114300" distR="114300" simplePos="0" relativeHeight="251658240" behindDoc="0" locked="0" layoutInCell="1" allowOverlap="1" wp14:anchorId="742C3F11" wp14:editId="607C68EF">
              <wp:simplePos x="0" y="0"/>
              <wp:positionH relativeFrom="column">
                <wp:posOffset>-857250</wp:posOffset>
              </wp:positionH>
              <wp:positionV relativeFrom="paragraph">
                <wp:posOffset>234950</wp:posOffset>
              </wp:positionV>
              <wp:extent cx="2374265" cy="355600"/>
              <wp:effectExtent l="0" t="0" r="1778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5600"/>
                      </a:xfrm>
                      <a:prstGeom prst="rect">
                        <a:avLst/>
                      </a:prstGeom>
                      <a:solidFill>
                        <a:srgbClr val="FFFFFF"/>
                      </a:solidFill>
                      <a:ln w="9525">
                        <a:solidFill>
                          <a:schemeClr val="bg1"/>
                        </a:solidFill>
                        <a:miter lim="800000"/>
                        <a:headEnd/>
                        <a:tailEnd/>
                      </a:ln>
                    </wps:spPr>
                    <wps:txbx>
                      <w:txbxContent>
                        <w:p w:rsidR="00E056AB" w:rsidRDefault="00E056AB">
                          <w:r>
                            <w:t>6</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2C3F11" id="_x0000_s1027" type="#_x0000_t202" style="position:absolute;margin-left:-67.5pt;margin-top:18.5pt;width:186.95pt;height:28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" strokecolor="white [3212]">
              <v:textbox style="layout-flow:vertical;mso-fit-shape-to-text:t">
                <w:txbxContent>
                  <w:p w:rsidR="00E056AB" w:rsidRDefault="00E056AB">
                    <w:r>
                      <w:t>6</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440E44" w:rsidRDefault="00E056AB" w:rsidP="00E056AB">
    <w:pPr>
      <w:pStyle w:val="Header"/>
      <w:jc w:val="center"/>
      <w:rPr>
        <w:lang w:val="fr-CA"/>
      </w:rPr>
    </w:pPr>
    <w:r w:rsidRPr="00E056AB">
      <w:rPr>
        <w:noProof/>
        <w:lang w:eastAsia="en-GB"/>
      </w:rPr>
      <mc:AlternateContent>
        <mc:Choice Requires="wps">
          <w:drawing>
            <wp:anchor distT="0" distB="0" distL="114300" distR="114300" simplePos="0" relativeHeight="251660288" behindDoc="0" locked="0" layoutInCell="1" allowOverlap="1" wp14:anchorId="0E45375A" wp14:editId="10693A29">
              <wp:simplePos x="0" y="0"/>
              <wp:positionH relativeFrom="column">
                <wp:posOffset>8446770</wp:posOffset>
              </wp:positionH>
              <wp:positionV relativeFrom="paragraph">
                <wp:posOffset>54610</wp:posOffset>
              </wp:positionV>
              <wp:extent cx="2374265" cy="5334000"/>
              <wp:effectExtent l="0" t="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0"/>
                      </a:xfrm>
                      <a:prstGeom prst="rect">
                        <a:avLst/>
                      </a:prstGeom>
                      <a:solidFill>
                        <a:srgbClr val="FFFFFF"/>
                      </a:solidFill>
                      <a:ln w="9525">
                        <a:solidFill>
                          <a:schemeClr val="bg1"/>
                        </a:solidFill>
                        <a:miter lim="800000"/>
                        <a:headEnd/>
                        <a:tailEnd/>
                      </a:ln>
                    </wps:spPr>
                    <wps:txbx>
                      <w:txbxContent>
                        <w:p w:rsidR="00E056AB" w:rsidRPr="00E056AB" w:rsidRDefault="00E056AB" w:rsidP="00E056AB">
                          <w:pPr>
                            <w:pBdr>
                              <w:bottom w:val="single" w:sz="4" w:space="1" w:color="auto"/>
                            </w:pBdr>
                            <w:jc w:val="right"/>
                            <w:rPr>
                              <w:b/>
                            </w:rPr>
                          </w:pPr>
                          <w:r w:rsidRPr="00E056AB">
                            <w:rPr>
                              <w:b/>
                            </w:rPr>
                            <w:t>UN/SCETDG/52/INF.20</w:t>
                          </w:r>
                          <w:r w:rsidRPr="00E056AB">
                            <w:rPr>
                              <w:b/>
                            </w:rPr>
                            <w:br/>
                            <w:t>UN/SCEGHS/34/INF.10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45375A" id="_x0000_t202" coordsize="21600,21600" o:spt="202" path="m,l,21600r21600,l21600,xe">
              <v:stroke joinstyle="miter"/>
              <v:path gradientshapeok="t" o:connecttype="rect"/>
            </v:shapetype>
            <v:shape id="_x0000_s1028" type="#_x0000_t202" style="position:absolute;left:0;text-align:left;margin-left:665.1pt;margin-top:4.3pt;width:186.95pt;height:420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" strokecolor="white [3212]">
              <v:textbox style="layout-flow:vertical;mso-fit-shape-to-text:t">
                <w:txbxContent>
                  <w:p w:rsidR="00E056AB" w:rsidRPr="00E056AB" w:rsidRDefault="00E056AB" w:rsidP="00E056AB">
                    <w:pPr>
                      <w:pBdr>
                        <w:bottom w:val="single" w:sz="4" w:space="1" w:color="auto"/>
                      </w:pBdr>
                      <w:jc w:val="right"/>
                      <w:rPr>
                        <w:b/>
                      </w:rPr>
                    </w:pPr>
                    <w:r w:rsidRPr="00E056AB">
                      <w:rPr>
                        <w:b/>
                      </w:rPr>
                      <w:t>UN/SCETDG/52/INF.20</w:t>
                    </w:r>
                    <w:r w:rsidRPr="00E056AB">
                      <w:rPr>
                        <w:b/>
                      </w:rPr>
                      <w:br/>
                      <w:t>UN/SCEGHS/34/INF.10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30" w:rsidRDefault="00377430" w:rsidP="00476481">
    <w:pPr>
      <w:pStyle w:val="Header"/>
      <w:pBdr>
        <w:bottom w:val="single" w:sz="4" w:space="1" w:color="auto"/>
      </w:pBdr>
      <w:jc w:val="right"/>
    </w:pPr>
    <w:r w:rsidRPr="00377430">
      <w:rPr>
        <w:noProof/>
        <w:lang w:eastAsia="en-GB"/>
      </w:rPr>
      <mc:AlternateContent>
        <mc:Choice Requires="wps">
          <w:drawing>
            <wp:anchor distT="0" distB="0" distL="114300" distR="114300" simplePos="0" relativeHeight="251652096" behindDoc="0" locked="0" layoutInCell="1" allowOverlap="1" wp14:anchorId="4FECC321" wp14:editId="49069E42">
              <wp:simplePos x="0" y="0"/>
              <wp:positionH relativeFrom="column">
                <wp:posOffset>8618220</wp:posOffset>
              </wp:positionH>
              <wp:positionV relativeFrom="paragraph">
                <wp:posOffset>137160</wp:posOffset>
              </wp:positionV>
              <wp:extent cx="2374265" cy="5232400"/>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32400"/>
                      </a:xfrm>
                      <a:prstGeom prst="rect">
                        <a:avLst/>
                      </a:prstGeom>
                      <a:solidFill>
                        <a:srgbClr val="FFFFFF"/>
                      </a:solidFill>
                      <a:ln w="9525">
                        <a:solidFill>
                          <a:schemeClr val="bg1"/>
                        </a:solidFill>
                        <a:miter lim="800000"/>
                        <a:headEnd/>
                        <a:tailEnd/>
                      </a:ln>
                    </wps:spPr>
                    <wps:txbx>
                      <w:txbxContent>
                        <w:p w:rsidR="00377430" w:rsidRPr="00377430" w:rsidRDefault="00377430" w:rsidP="00377430">
                          <w:pPr>
                            <w:pBdr>
                              <w:bottom w:val="single" w:sz="4" w:space="1" w:color="auto"/>
                            </w:pBdr>
                            <w:jc w:val="right"/>
                            <w:rPr>
                              <w:b/>
                            </w:rPr>
                          </w:pPr>
                          <w:r w:rsidRPr="00377430">
                            <w:rPr>
                              <w:b/>
                            </w:rPr>
                            <w:t>UN/SCETDG/52/INF.</w:t>
                          </w:r>
                          <w:r w:rsidR="00ED687A">
                            <w:rPr>
                              <w:b/>
                            </w:rPr>
                            <w:t>57</w:t>
                          </w:r>
                          <w:r w:rsidRPr="00377430">
                            <w:rPr>
                              <w:b/>
                            </w:rPr>
                            <w:br/>
                            <w:t>UN/SCEGHS/34/INF.</w:t>
                          </w:r>
                          <w:r w:rsidR="00ED687A">
                            <w:rPr>
                              <w:b/>
                            </w:rPr>
                            <w:t>2</w:t>
                          </w:r>
                          <w:r w:rsidRPr="00377430">
                            <w:rPr>
                              <w:b/>
                            </w:rPr>
                            <w:t>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678.6pt;margin-top:10.8pt;width:186.95pt;height:41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" strokecolor="white [3212]">
              <v:textbox style="layout-flow:vertical;mso-fit-shape-to-text:t">
                <w:txbxContent>
                  <w:p w:rsidR="00377430" w:rsidRPr="00377430" w:rsidRDefault="00377430" w:rsidP="00377430">
                    <w:pPr>
                      <w:pBdr>
                        <w:bottom w:val="single" w:sz="4" w:space="1" w:color="auto"/>
                      </w:pBdr>
                      <w:jc w:val="right"/>
                      <w:rPr>
                        <w:b/>
                      </w:rPr>
                    </w:pPr>
                    <w:r w:rsidRPr="00377430">
                      <w:rPr>
                        <w:b/>
                      </w:rPr>
                      <w:t>UN/SCETDG/52/INF.</w:t>
                    </w:r>
                    <w:r w:rsidR="00ED687A">
                      <w:rPr>
                        <w:b/>
                      </w:rPr>
                      <w:t>57</w:t>
                    </w:r>
                    <w:r w:rsidRPr="00377430">
                      <w:rPr>
                        <w:b/>
                      </w:rPr>
                      <w:br/>
                      <w:t>UN/SCEGHS/34/INF.</w:t>
                    </w:r>
                    <w:r w:rsidR="00ED687A">
                      <w:rPr>
                        <w:b/>
                      </w:rPr>
                      <w:t>2</w:t>
                    </w:r>
                    <w:r w:rsidRPr="00377430">
                      <w:rPr>
                        <w:b/>
                      </w:rPr>
                      <w:t>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AA399B"/>
    <w:multiLevelType w:val="hybridMultilevel"/>
    <w:tmpl w:val="1AE657D4"/>
    <w:lvl w:ilvl="0" w:tplc="AD3E928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523FC0"/>
    <w:multiLevelType w:val="hybridMultilevel"/>
    <w:tmpl w:val="C436EFA0"/>
    <w:lvl w:ilvl="0" w:tplc="F1028C3E">
      <w:start w:val="6"/>
      <w:numFmt w:val="bullet"/>
      <w:lvlText w:val="-"/>
      <w:lvlJc w:val="left"/>
      <w:pPr>
        <w:ind w:left="1003" w:hanging="360"/>
      </w:pPr>
      <w:rPr>
        <w:rFonts w:ascii="Times New Roman" w:eastAsia="Times New Roman" w:hAnsi="Times New Roman" w:cs="Times New Roman"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6">
    <w:nsid w:val="289926ED"/>
    <w:multiLevelType w:val="hybridMultilevel"/>
    <w:tmpl w:val="5F967B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E16D42"/>
    <w:multiLevelType w:val="hybridMultilevel"/>
    <w:tmpl w:val="818C384C"/>
    <w:lvl w:ilvl="0" w:tplc="592C443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9"/>
  </w:num>
  <w:num w:numId="15">
    <w:abstractNumId w:val="13"/>
  </w:num>
  <w:num w:numId="16">
    <w:abstractNumId w:val="11"/>
  </w:num>
  <w:num w:numId="17">
    <w:abstractNumId w:val="18"/>
  </w:num>
  <w:num w:numId="18">
    <w:abstractNumId w:val="16"/>
  </w:num>
  <w:num w:numId="19">
    <w:abstractNumId w:val="15"/>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D57"/>
    <w:rsid w:val="00050F6B"/>
    <w:rsid w:val="0005111B"/>
    <w:rsid w:val="0005570C"/>
    <w:rsid w:val="0006281D"/>
    <w:rsid w:val="00064F24"/>
    <w:rsid w:val="00067C1A"/>
    <w:rsid w:val="000719CE"/>
    <w:rsid w:val="00071BC5"/>
    <w:rsid w:val="000726F2"/>
    <w:rsid w:val="00072C8C"/>
    <w:rsid w:val="000732CC"/>
    <w:rsid w:val="00073E97"/>
    <w:rsid w:val="00074073"/>
    <w:rsid w:val="0007718E"/>
    <w:rsid w:val="000814A8"/>
    <w:rsid w:val="000869B4"/>
    <w:rsid w:val="00086BA4"/>
    <w:rsid w:val="00090255"/>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9ED"/>
    <w:rsid w:val="000B4BFA"/>
    <w:rsid w:val="000B4E5A"/>
    <w:rsid w:val="000B5114"/>
    <w:rsid w:val="000B5ECB"/>
    <w:rsid w:val="000B7325"/>
    <w:rsid w:val="000D1CF1"/>
    <w:rsid w:val="000D43C8"/>
    <w:rsid w:val="000E0415"/>
    <w:rsid w:val="000E572A"/>
    <w:rsid w:val="000E6D5E"/>
    <w:rsid w:val="000F0909"/>
    <w:rsid w:val="000F143A"/>
    <w:rsid w:val="000F5FF7"/>
    <w:rsid w:val="00103C0E"/>
    <w:rsid w:val="00106B97"/>
    <w:rsid w:val="00107AD9"/>
    <w:rsid w:val="00114E72"/>
    <w:rsid w:val="00117787"/>
    <w:rsid w:val="00120F5D"/>
    <w:rsid w:val="00121A52"/>
    <w:rsid w:val="00125758"/>
    <w:rsid w:val="00125775"/>
    <w:rsid w:val="00125DD6"/>
    <w:rsid w:val="001266BA"/>
    <w:rsid w:val="00131D42"/>
    <w:rsid w:val="0013640C"/>
    <w:rsid w:val="0014496C"/>
    <w:rsid w:val="00144FC4"/>
    <w:rsid w:val="00147759"/>
    <w:rsid w:val="00153C09"/>
    <w:rsid w:val="0015653A"/>
    <w:rsid w:val="0016063F"/>
    <w:rsid w:val="00160BC1"/>
    <w:rsid w:val="001633FB"/>
    <w:rsid w:val="00166B07"/>
    <w:rsid w:val="001771E6"/>
    <w:rsid w:val="00177434"/>
    <w:rsid w:val="00177CE3"/>
    <w:rsid w:val="00187869"/>
    <w:rsid w:val="00190361"/>
    <w:rsid w:val="00191BE2"/>
    <w:rsid w:val="001967AB"/>
    <w:rsid w:val="001A4720"/>
    <w:rsid w:val="001A6691"/>
    <w:rsid w:val="001B0DDE"/>
    <w:rsid w:val="001B10FC"/>
    <w:rsid w:val="001B4B04"/>
    <w:rsid w:val="001B574E"/>
    <w:rsid w:val="001B596E"/>
    <w:rsid w:val="001C4441"/>
    <w:rsid w:val="001C4C4C"/>
    <w:rsid w:val="001C6663"/>
    <w:rsid w:val="001C7895"/>
    <w:rsid w:val="001D08C6"/>
    <w:rsid w:val="001D0C12"/>
    <w:rsid w:val="001D26DF"/>
    <w:rsid w:val="001D2FDC"/>
    <w:rsid w:val="001D2FE8"/>
    <w:rsid w:val="001E0DCB"/>
    <w:rsid w:val="001E18F2"/>
    <w:rsid w:val="001E3023"/>
    <w:rsid w:val="001F1227"/>
    <w:rsid w:val="001F37ED"/>
    <w:rsid w:val="001F57B4"/>
    <w:rsid w:val="00211CD6"/>
    <w:rsid w:val="00211E0B"/>
    <w:rsid w:val="002165B6"/>
    <w:rsid w:val="002264E0"/>
    <w:rsid w:val="002309A7"/>
    <w:rsid w:val="002323E4"/>
    <w:rsid w:val="00233CFA"/>
    <w:rsid w:val="002350D2"/>
    <w:rsid w:val="002370D0"/>
    <w:rsid w:val="00237785"/>
    <w:rsid w:val="00241466"/>
    <w:rsid w:val="00247A0C"/>
    <w:rsid w:val="0025432C"/>
    <w:rsid w:val="00256795"/>
    <w:rsid w:val="00266C11"/>
    <w:rsid w:val="002722E5"/>
    <w:rsid w:val="002725CA"/>
    <w:rsid w:val="00274700"/>
    <w:rsid w:val="00274896"/>
    <w:rsid w:val="00274F33"/>
    <w:rsid w:val="00280D2B"/>
    <w:rsid w:val="00280EB7"/>
    <w:rsid w:val="002817F4"/>
    <w:rsid w:val="00281BE2"/>
    <w:rsid w:val="002833F2"/>
    <w:rsid w:val="00295971"/>
    <w:rsid w:val="002A19E6"/>
    <w:rsid w:val="002A2560"/>
    <w:rsid w:val="002A7532"/>
    <w:rsid w:val="002B082F"/>
    <w:rsid w:val="002B1CDA"/>
    <w:rsid w:val="002B2EA7"/>
    <w:rsid w:val="002B521D"/>
    <w:rsid w:val="002B5778"/>
    <w:rsid w:val="002B6E10"/>
    <w:rsid w:val="002B79CF"/>
    <w:rsid w:val="002B7D6F"/>
    <w:rsid w:val="002C42D3"/>
    <w:rsid w:val="002C54A4"/>
    <w:rsid w:val="002C7649"/>
    <w:rsid w:val="002D7530"/>
    <w:rsid w:val="002D7FD3"/>
    <w:rsid w:val="002E040D"/>
    <w:rsid w:val="002E4E12"/>
    <w:rsid w:val="002E69A5"/>
    <w:rsid w:val="002E7C35"/>
    <w:rsid w:val="002F0918"/>
    <w:rsid w:val="002F1234"/>
    <w:rsid w:val="002F440C"/>
    <w:rsid w:val="002F5640"/>
    <w:rsid w:val="00302963"/>
    <w:rsid w:val="00303816"/>
    <w:rsid w:val="003107FA"/>
    <w:rsid w:val="00310B32"/>
    <w:rsid w:val="00314ECD"/>
    <w:rsid w:val="00316C13"/>
    <w:rsid w:val="00320A76"/>
    <w:rsid w:val="003229D8"/>
    <w:rsid w:val="00322F52"/>
    <w:rsid w:val="00323BE7"/>
    <w:rsid w:val="003262BE"/>
    <w:rsid w:val="003311AD"/>
    <w:rsid w:val="003323B3"/>
    <w:rsid w:val="00333732"/>
    <w:rsid w:val="0034522A"/>
    <w:rsid w:val="003460C7"/>
    <w:rsid w:val="00347184"/>
    <w:rsid w:val="00354A78"/>
    <w:rsid w:val="003611C0"/>
    <w:rsid w:val="00371ABC"/>
    <w:rsid w:val="00372BDC"/>
    <w:rsid w:val="00373815"/>
    <w:rsid w:val="00374763"/>
    <w:rsid w:val="00377430"/>
    <w:rsid w:val="00381262"/>
    <w:rsid w:val="003877A8"/>
    <w:rsid w:val="00390C04"/>
    <w:rsid w:val="0039277A"/>
    <w:rsid w:val="00396C00"/>
    <w:rsid w:val="003972E0"/>
    <w:rsid w:val="003A358E"/>
    <w:rsid w:val="003B4359"/>
    <w:rsid w:val="003B47CC"/>
    <w:rsid w:val="003B4A74"/>
    <w:rsid w:val="003C2CC4"/>
    <w:rsid w:val="003C3E74"/>
    <w:rsid w:val="003C6BA6"/>
    <w:rsid w:val="003D4B23"/>
    <w:rsid w:val="003E1C5A"/>
    <w:rsid w:val="003E37E9"/>
    <w:rsid w:val="003E5413"/>
    <w:rsid w:val="003F0697"/>
    <w:rsid w:val="003F3F40"/>
    <w:rsid w:val="003F40C8"/>
    <w:rsid w:val="0040291E"/>
    <w:rsid w:val="0040320D"/>
    <w:rsid w:val="00404FD4"/>
    <w:rsid w:val="00410EA7"/>
    <w:rsid w:val="0041741B"/>
    <w:rsid w:val="004179D7"/>
    <w:rsid w:val="004224E1"/>
    <w:rsid w:val="004325CB"/>
    <w:rsid w:val="00433F50"/>
    <w:rsid w:val="00434B5A"/>
    <w:rsid w:val="00437F3F"/>
    <w:rsid w:val="0044017E"/>
    <w:rsid w:val="00440E44"/>
    <w:rsid w:val="00442686"/>
    <w:rsid w:val="0044679E"/>
    <w:rsid w:val="00446C28"/>
    <w:rsid w:val="00446DE4"/>
    <w:rsid w:val="004479B5"/>
    <w:rsid w:val="0045002A"/>
    <w:rsid w:val="00450B3A"/>
    <w:rsid w:val="00451CCB"/>
    <w:rsid w:val="004522E0"/>
    <w:rsid w:val="004624AF"/>
    <w:rsid w:val="00464C2B"/>
    <w:rsid w:val="00467384"/>
    <w:rsid w:val="0047319B"/>
    <w:rsid w:val="004735FB"/>
    <w:rsid w:val="004737DC"/>
    <w:rsid w:val="00475444"/>
    <w:rsid w:val="00476481"/>
    <w:rsid w:val="004779AE"/>
    <w:rsid w:val="00485BF6"/>
    <w:rsid w:val="0049223B"/>
    <w:rsid w:val="0049309D"/>
    <w:rsid w:val="00494D24"/>
    <w:rsid w:val="004969ED"/>
    <w:rsid w:val="00497FF3"/>
    <w:rsid w:val="004A2BD1"/>
    <w:rsid w:val="004B0FC5"/>
    <w:rsid w:val="004B163A"/>
    <w:rsid w:val="004B2C9D"/>
    <w:rsid w:val="004B49FD"/>
    <w:rsid w:val="004B6475"/>
    <w:rsid w:val="004C6E3D"/>
    <w:rsid w:val="004E1150"/>
    <w:rsid w:val="004E2924"/>
    <w:rsid w:val="004E329B"/>
    <w:rsid w:val="004E4DCE"/>
    <w:rsid w:val="00500DCD"/>
    <w:rsid w:val="0050143D"/>
    <w:rsid w:val="0050605C"/>
    <w:rsid w:val="00506E8C"/>
    <w:rsid w:val="00512574"/>
    <w:rsid w:val="005149A9"/>
    <w:rsid w:val="00515763"/>
    <w:rsid w:val="0051609A"/>
    <w:rsid w:val="00517C8A"/>
    <w:rsid w:val="005206A2"/>
    <w:rsid w:val="005248FF"/>
    <w:rsid w:val="00527910"/>
    <w:rsid w:val="00530B4A"/>
    <w:rsid w:val="00532A62"/>
    <w:rsid w:val="005335B1"/>
    <w:rsid w:val="0053786F"/>
    <w:rsid w:val="005414F5"/>
    <w:rsid w:val="005420F2"/>
    <w:rsid w:val="00543B03"/>
    <w:rsid w:val="00544456"/>
    <w:rsid w:val="00552C5F"/>
    <w:rsid w:val="005553A2"/>
    <w:rsid w:val="005557E8"/>
    <w:rsid w:val="005627FA"/>
    <w:rsid w:val="00566392"/>
    <w:rsid w:val="00566B77"/>
    <w:rsid w:val="005676D5"/>
    <w:rsid w:val="005702E7"/>
    <w:rsid w:val="00571C38"/>
    <w:rsid w:val="0057509F"/>
    <w:rsid w:val="00581B62"/>
    <w:rsid w:val="00581C11"/>
    <w:rsid w:val="00584E6A"/>
    <w:rsid w:val="00590144"/>
    <w:rsid w:val="0059109C"/>
    <w:rsid w:val="0059227E"/>
    <w:rsid w:val="00596D03"/>
    <w:rsid w:val="005A1FEB"/>
    <w:rsid w:val="005A37A2"/>
    <w:rsid w:val="005A77C6"/>
    <w:rsid w:val="005B2C26"/>
    <w:rsid w:val="005B3614"/>
    <w:rsid w:val="005B3DB3"/>
    <w:rsid w:val="005B6EC0"/>
    <w:rsid w:val="005B6FA9"/>
    <w:rsid w:val="005C4C1A"/>
    <w:rsid w:val="005D1C0C"/>
    <w:rsid w:val="005D407C"/>
    <w:rsid w:val="005D48C8"/>
    <w:rsid w:val="005E29AE"/>
    <w:rsid w:val="005E36EF"/>
    <w:rsid w:val="005E6C20"/>
    <w:rsid w:val="00611FC4"/>
    <w:rsid w:val="006138CE"/>
    <w:rsid w:val="0061401C"/>
    <w:rsid w:val="006176FB"/>
    <w:rsid w:val="00623312"/>
    <w:rsid w:val="0063330C"/>
    <w:rsid w:val="00633C10"/>
    <w:rsid w:val="0063419C"/>
    <w:rsid w:val="00634398"/>
    <w:rsid w:val="00640B26"/>
    <w:rsid w:val="00641876"/>
    <w:rsid w:val="00643AC8"/>
    <w:rsid w:val="00647621"/>
    <w:rsid w:val="00650267"/>
    <w:rsid w:val="0065605C"/>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45A6"/>
    <w:rsid w:val="006E564B"/>
    <w:rsid w:val="006E6365"/>
    <w:rsid w:val="006E7B3F"/>
    <w:rsid w:val="006F47DE"/>
    <w:rsid w:val="0070416A"/>
    <w:rsid w:val="00707A67"/>
    <w:rsid w:val="0071233A"/>
    <w:rsid w:val="00715170"/>
    <w:rsid w:val="00716D0F"/>
    <w:rsid w:val="00723B8F"/>
    <w:rsid w:val="00724988"/>
    <w:rsid w:val="00725764"/>
    <w:rsid w:val="0072632A"/>
    <w:rsid w:val="007273E4"/>
    <w:rsid w:val="007428A0"/>
    <w:rsid w:val="00743F34"/>
    <w:rsid w:val="0075177E"/>
    <w:rsid w:val="00757A17"/>
    <w:rsid w:val="0077383A"/>
    <w:rsid w:val="00776830"/>
    <w:rsid w:val="0078022A"/>
    <w:rsid w:val="00781902"/>
    <w:rsid w:val="00784FFC"/>
    <w:rsid w:val="00787056"/>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07D8"/>
    <w:rsid w:val="007D3266"/>
    <w:rsid w:val="007E3F55"/>
    <w:rsid w:val="007E52D7"/>
    <w:rsid w:val="007F13B3"/>
    <w:rsid w:val="007F3C74"/>
    <w:rsid w:val="007F42B1"/>
    <w:rsid w:val="007F52A6"/>
    <w:rsid w:val="007F6611"/>
    <w:rsid w:val="00803636"/>
    <w:rsid w:val="008138E4"/>
    <w:rsid w:val="008175E9"/>
    <w:rsid w:val="00820DBE"/>
    <w:rsid w:val="008242D7"/>
    <w:rsid w:val="00832764"/>
    <w:rsid w:val="00832905"/>
    <w:rsid w:val="00842FAF"/>
    <w:rsid w:val="00844A23"/>
    <w:rsid w:val="008553AE"/>
    <w:rsid w:val="008566E6"/>
    <w:rsid w:val="008616E6"/>
    <w:rsid w:val="00871FD5"/>
    <w:rsid w:val="0087202A"/>
    <w:rsid w:val="008749E1"/>
    <w:rsid w:val="008828BD"/>
    <w:rsid w:val="008900F3"/>
    <w:rsid w:val="00893C16"/>
    <w:rsid w:val="0089467C"/>
    <w:rsid w:val="008979B1"/>
    <w:rsid w:val="008A2299"/>
    <w:rsid w:val="008A5A78"/>
    <w:rsid w:val="008A6B25"/>
    <w:rsid w:val="008A6C4F"/>
    <w:rsid w:val="008A7362"/>
    <w:rsid w:val="008B0C07"/>
    <w:rsid w:val="008B2777"/>
    <w:rsid w:val="008B2E94"/>
    <w:rsid w:val="008C1535"/>
    <w:rsid w:val="008C48A9"/>
    <w:rsid w:val="008D1C3A"/>
    <w:rsid w:val="008D44E2"/>
    <w:rsid w:val="008E0E46"/>
    <w:rsid w:val="008E1D4C"/>
    <w:rsid w:val="008E5389"/>
    <w:rsid w:val="008F36A7"/>
    <w:rsid w:val="008F37F1"/>
    <w:rsid w:val="008F42F2"/>
    <w:rsid w:val="008F65D0"/>
    <w:rsid w:val="00905AEA"/>
    <w:rsid w:val="00910229"/>
    <w:rsid w:val="00910E37"/>
    <w:rsid w:val="009115C1"/>
    <w:rsid w:val="009145E5"/>
    <w:rsid w:val="00915E24"/>
    <w:rsid w:val="009174F9"/>
    <w:rsid w:val="009178F6"/>
    <w:rsid w:val="00920726"/>
    <w:rsid w:val="00924330"/>
    <w:rsid w:val="0092549E"/>
    <w:rsid w:val="009337E3"/>
    <w:rsid w:val="0093457E"/>
    <w:rsid w:val="0094085C"/>
    <w:rsid w:val="00944CFA"/>
    <w:rsid w:val="00945A5D"/>
    <w:rsid w:val="0094761C"/>
    <w:rsid w:val="00947A9D"/>
    <w:rsid w:val="009561ED"/>
    <w:rsid w:val="00963CBA"/>
    <w:rsid w:val="00965ACC"/>
    <w:rsid w:val="00970D90"/>
    <w:rsid w:val="0097150D"/>
    <w:rsid w:val="00971B0B"/>
    <w:rsid w:val="00972131"/>
    <w:rsid w:val="00972910"/>
    <w:rsid w:val="00977813"/>
    <w:rsid w:val="00977C08"/>
    <w:rsid w:val="009863A7"/>
    <w:rsid w:val="00986BF1"/>
    <w:rsid w:val="0099124E"/>
    <w:rsid w:val="00991261"/>
    <w:rsid w:val="00994010"/>
    <w:rsid w:val="00994014"/>
    <w:rsid w:val="009A37C7"/>
    <w:rsid w:val="009B1829"/>
    <w:rsid w:val="009B2FB7"/>
    <w:rsid w:val="009B3CC1"/>
    <w:rsid w:val="009B4EB2"/>
    <w:rsid w:val="009B6F46"/>
    <w:rsid w:val="009D7741"/>
    <w:rsid w:val="009E2874"/>
    <w:rsid w:val="009E35FF"/>
    <w:rsid w:val="009E587B"/>
    <w:rsid w:val="009E7B0D"/>
    <w:rsid w:val="00A02580"/>
    <w:rsid w:val="00A10E52"/>
    <w:rsid w:val="00A12045"/>
    <w:rsid w:val="00A12267"/>
    <w:rsid w:val="00A1427D"/>
    <w:rsid w:val="00A15DCA"/>
    <w:rsid w:val="00A22441"/>
    <w:rsid w:val="00A24E0D"/>
    <w:rsid w:val="00A25434"/>
    <w:rsid w:val="00A27584"/>
    <w:rsid w:val="00A3317D"/>
    <w:rsid w:val="00A33866"/>
    <w:rsid w:val="00A3734E"/>
    <w:rsid w:val="00A40281"/>
    <w:rsid w:val="00A42636"/>
    <w:rsid w:val="00A4449F"/>
    <w:rsid w:val="00A475B8"/>
    <w:rsid w:val="00A52017"/>
    <w:rsid w:val="00A549AB"/>
    <w:rsid w:val="00A6043B"/>
    <w:rsid w:val="00A6301B"/>
    <w:rsid w:val="00A64ED3"/>
    <w:rsid w:val="00A66610"/>
    <w:rsid w:val="00A679F9"/>
    <w:rsid w:val="00A67DC2"/>
    <w:rsid w:val="00A72F22"/>
    <w:rsid w:val="00A748A6"/>
    <w:rsid w:val="00A7523F"/>
    <w:rsid w:val="00A75EC9"/>
    <w:rsid w:val="00A76B37"/>
    <w:rsid w:val="00A80FD5"/>
    <w:rsid w:val="00A81CD3"/>
    <w:rsid w:val="00A879A4"/>
    <w:rsid w:val="00AA022C"/>
    <w:rsid w:val="00AA2221"/>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068B3"/>
    <w:rsid w:val="00B0758D"/>
    <w:rsid w:val="00B10153"/>
    <w:rsid w:val="00B2292E"/>
    <w:rsid w:val="00B275BD"/>
    <w:rsid w:val="00B30179"/>
    <w:rsid w:val="00B32399"/>
    <w:rsid w:val="00B3317B"/>
    <w:rsid w:val="00B34A94"/>
    <w:rsid w:val="00B35770"/>
    <w:rsid w:val="00B45379"/>
    <w:rsid w:val="00B62799"/>
    <w:rsid w:val="00B658C0"/>
    <w:rsid w:val="00B65BD4"/>
    <w:rsid w:val="00B742AE"/>
    <w:rsid w:val="00B7575E"/>
    <w:rsid w:val="00B75B87"/>
    <w:rsid w:val="00B76D98"/>
    <w:rsid w:val="00B80DD3"/>
    <w:rsid w:val="00B81E12"/>
    <w:rsid w:val="00B8308C"/>
    <w:rsid w:val="00B84410"/>
    <w:rsid w:val="00B87A6B"/>
    <w:rsid w:val="00B90984"/>
    <w:rsid w:val="00B910C6"/>
    <w:rsid w:val="00B93068"/>
    <w:rsid w:val="00B930B2"/>
    <w:rsid w:val="00B96106"/>
    <w:rsid w:val="00BA4AAC"/>
    <w:rsid w:val="00BA611E"/>
    <w:rsid w:val="00BB0C58"/>
    <w:rsid w:val="00BB6685"/>
    <w:rsid w:val="00BB6C43"/>
    <w:rsid w:val="00BC224B"/>
    <w:rsid w:val="00BC4804"/>
    <w:rsid w:val="00BC553A"/>
    <w:rsid w:val="00BC5CF4"/>
    <w:rsid w:val="00BC74E9"/>
    <w:rsid w:val="00BD2E76"/>
    <w:rsid w:val="00BD4242"/>
    <w:rsid w:val="00BD42B2"/>
    <w:rsid w:val="00BD6492"/>
    <w:rsid w:val="00BE618E"/>
    <w:rsid w:val="00C00C4E"/>
    <w:rsid w:val="00C01730"/>
    <w:rsid w:val="00C12FE8"/>
    <w:rsid w:val="00C14FB3"/>
    <w:rsid w:val="00C17582"/>
    <w:rsid w:val="00C20E3D"/>
    <w:rsid w:val="00C23226"/>
    <w:rsid w:val="00C306D3"/>
    <w:rsid w:val="00C3461F"/>
    <w:rsid w:val="00C34A5E"/>
    <w:rsid w:val="00C4186E"/>
    <w:rsid w:val="00C463DD"/>
    <w:rsid w:val="00C46E2A"/>
    <w:rsid w:val="00C51B6C"/>
    <w:rsid w:val="00C60D9F"/>
    <w:rsid w:val="00C60DCD"/>
    <w:rsid w:val="00C61112"/>
    <w:rsid w:val="00C626EA"/>
    <w:rsid w:val="00C62F76"/>
    <w:rsid w:val="00C64CF9"/>
    <w:rsid w:val="00C67F22"/>
    <w:rsid w:val="00C72209"/>
    <w:rsid w:val="00C745C3"/>
    <w:rsid w:val="00C8046D"/>
    <w:rsid w:val="00C835F0"/>
    <w:rsid w:val="00C92213"/>
    <w:rsid w:val="00CA1406"/>
    <w:rsid w:val="00CA1CBE"/>
    <w:rsid w:val="00CA5C02"/>
    <w:rsid w:val="00CB4C9D"/>
    <w:rsid w:val="00CC18B3"/>
    <w:rsid w:val="00CC23F0"/>
    <w:rsid w:val="00CC71E2"/>
    <w:rsid w:val="00CC7F16"/>
    <w:rsid w:val="00CD42C3"/>
    <w:rsid w:val="00CD68B3"/>
    <w:rsid w:val="00CE361A"/>
    <w:rsid w:val="00CE4A8F"/>
    <w:rsid w:val="00CE58B6"/>
    <w:rsid w:val="00CE5C4D"/>
    <w:rsid w:val="00CE7E5D"/>
    <w:rsid w:val="00CF3B9C"/>
    <w:rsid w:val="00CF4639"/>
    <w:rsid w:val="00CF4BDC"/>
    <w:rsid w:val="00CF6553"/>
    <w:rsid w:val="00CF7C69"/>
    <w:rsid w:val="00CF7FCE"/>
    <w:rsid w:val="00D00E69"/>
    <w:rsid w:val="00D01A50"/>
    <w:rsid w:val="00D01ACC"/>
    <w:rsid w:val="00D02365"/>
    <w:rsid w:val="00D04934"/>
    <w:rsid w:val="00D0609D"/>
    <w:rsid w:val="00D078BF"/>
    <w:rsid w:val="00D11828"/>
    <w:rsid w:val="00D13382"/>
    <w:rsid w:val="00D2031B"/>
    <w:rsid w:val="00D2387E"/>
    <w:rsid w:val="00D25921"/>
    <w:rsid w:val="00D25FE2"/>
    <w:rsid w:val="00D2697D"/>
    <w:rsid w:val="00D37949"/>
    <w:rsid w:val="00D41099"/>
    <w:rsid w:val="00D42146"/>
    <w:rsid w:val="00D43252"/>
    <w:rsid w:val="00D44AE0"/>
    <w:rsid w:val="00D44EFC"/>
    <w:rsid w:val="00D5171D"/>
    <w:rsid w:val="00D606BB"/>
    <w:rsid w:val="00D625F5"/>
    <w:rsid w:val="00D668CA"/>
    <w:rsid w:val="00D72869"/>
    <w:rsid w:val="00D753D8"/>
    <w:rsid w:val="00D77FB6"/>
    <w:rsid w:val="00D81FDF"/>
    <w:rsid w:val="00D84DB1"/>
    <w:rsid w:val="00D87D82"/>
    <w:rsid w:val="00D9208C"/>
    <w:rsid w:val="00D95849"/>
    <w:rsid w:val="00D96CC5"/>
    <w:rsid w:val="00D978C6"/>
    <w:rsid w:val="00DA01AD"/>
    <w:rsid w:val="00DA5A3D"/>
    <w:rsid w:val="00DA67AD"/>
    <w:rsid w:val="00DA71EC"/>
    <w:rsid w:val="00DB0284"/>
    <w:rsid w:val="00DB281B"/>
    <w:rsid w:val="00DB4C88"/>
    <w:rsid w:val="00DC16B9"/>
    <w:rsid w:val="00DC1797"/>
    <w:rsid w:val="00DC2539"/>
    <w:rsid w:val="00DD41E5"/>
    <w:rsid w:val="00DD70B8"/>
    <w:rsid w:val="00DE19A0"/>
    <w:rsid w:val="00DE4184"/>
    <w:rsid w:val="00DF0081"/>
    <w:rsid w:val="00DF2D86"/>
    <w:rsid w:val="00DF48B9"/>
    <w:rsid w:val="00DF7129"/>
    <w:rsid w:val="00E00B7A"/>
    <w:rsid w:val="00E011D0"/>
    <w:rsid w:val="00E040BE"/>
    <w:rsid w:val="00E049CA"/>
    <w:rsid w:val="00E056AB"/>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A12"/>
    <w:rsid w:val="00E62EE3"/>
    <w:rsid w:val="00E66AF1"/>
    <w:rsid w:val="00E67039"/>
    <w:rsid w:val="00E7260F"/>
    <w:rsid w:val="00E8535A"/>
    <w:rsid w:val="00E92301"/>
    <w:rsid w:val="00E96630"/>
    <w:rsid w:val="00EA1959"/>
    <w:rsid w:val="00EA5271"/>
    <w:rsid w:val="00EB0D77"/>
    <w:rsid w:val="00EB308F"/>
    <w:rsid w:val="00EB4381"/>
    <w:rsid w:val="00EB6541"/>
    <w:rsid w:val="00EB6832"/>
    <w:rsid w:val="00EB775E"/>
    <w:rsid w:val="00EC42EA"/>
    <w:rsid w:val="00EC5D78"/>
    <w:rsid w:val="00ED4EB3"/>
    <w:rsid w:val="00ED67DB"/>
    <w:rsid w:val="00ED687A"/>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0794B"/>
    <w:rsid w:val="00F11A87"/>
    <w:rsid w:val="00F14001"/>
    <w:rsid w:val="00F14936"/>
    <w:rsid w:val="00F23702"/>
    <w:rsid w:val="00F23940"/>
    <w:rsid w:val="00F40E75"/>
    <w:rsid w:val="00F416AA"/>
    <w:rsid w:val="00F44894"/>
    <w:rsid w:val="00F45C14"/>
    <w:rsid w:val="00F45D1A"/>
    <w:rsid w:val="00F475EB"/>
    <w:rsid w:val="00F5272A"/>
    <w:rsid w:val="00F54674"/>
    <w:rsid w:val="00F54DDA"/>
    <w:rsid w:val="00F57710"/>
    <w:rsid w:val="00F6331D"/>
    <w:rsid w:val="00F660F2"/>
    <w:rsid w:val="00F7003D"/>
    <w:rsid w:val="00F72912"/>
    <w:rsid w:val="00F73E3B"/>
    <w:rsid w:val="00F74124"/>
    <w:rsid w:val="00F84B97"/>
    <w:rsid w:val="00F85D7A"/>
    <w:rsid w:val="00F873E7"/>
    <w:rsid w:val="00F93B34"/>
    <w:rsid w:val="00F957FD"/>
    <w:rsid w:val="00F95EEE"/>
    <w:rsid w:val="00FA0503"/>
    <w:rsid w:val="00FA54B1"/>
    <w:rsid w:val="00FB2F47"/>
    <w:rsid w:val="00FB4658"/>
    <w:rsid w:val="00FB6DCF"/>
    <w:rsid w:val="00FB7905"/>
    <w:rsid w:val="00FB7D53"/>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table" w:customStyle="1" w:styleId="Tabellrutnt1">
    <w:name w:val="Tabellrutnät1"/>
    <w:basedOn w:val="TableNormal"/>
    <w:next w:val="TableGrid"/>
    <w:uiPriority w:val="39"/>
    <w:rsid w:val="00D87D82"/>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table" w:customStyle="1" w:styleId="Tabellrutnt1">
    <w:name w:val="Tabellrutnät1"/>
    <w:basedOn w:val="TableNormal"/>
    <w:next w:val="TableGrid"/>
    <w:uiPriority w:val="39"/>
    <w:rsid w:val="00D87D82"/>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8110">
      <w:bodyDiv w:val="1"/>
      <w:marLeft w:val="0"/>
      <w:marRight w:val="0"/>
      <w:marTop w:val="0"/>
      <w:marBottom w:val="0"/>
      <w:divBdr>
        <w:top w:val="none" w:sz="0" w:space="0" w:color="auto"/>
        <w:left w:val="none" w:sz="0" w:space="0" w:color="auto"/>
        <w:bottom w:val="none" w:sz="0" w:space="0" w:color="auto"/>
        <w:right w:val="none" w:sz="0" w:space="0" w:color="auto"/>
      </w:divBdr>
    </w:div>
    <w:div w:id="200477706">
      <w:bodyDiv w:val="1"/>
      <w:marLeft w:val="0"/>
      <w:marRight w:val="0"/>
      <w:marTop w:val="0"/>
      <w:marBottom w:val="0"/>
      <w:divBdr>
        <w:top w:val="none" w:sz="0" w:space="0" w:color="auto"/>
        <w:left w:val="none" w:sz="0" w:space="0" w:color="auto"/>
        <w:bottom w:val="none" w:sz="0" w:space="0" w:color="auto"/>
        <w:right w:val="none" w:sz="0" w:space="0" w:color="auto"/>
      </w:divBdr>
    </w:div>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341052087">
      <w:bodyDiv w:val="1"/>
      <w:marLeft w:val="0"/>
      <w:marRight w:val="0"/>
      <w:marTop w:val="0"/>
      <w:marBottom w:val="0"/>
      <w:divBdr>
        <w:top w:val="none" w:sz="0" w:space="0" w:color="auto"/>
        <w:left w:val="none" w:sz="0" w:space="0" w:color="auto"/>
        <w:bottom w:val="none" w:sz="0" w:space="0" w:color="auto"/>
        <w:right w:val="none" w:sz="0" w:space="0" w:color="auto"/>
      </w:divBdr>
    </w:div>
    <w:div w:id="346175686">
      <w:bodyDiv w:val="1"/>
      <w:marLeft w:val="0"/>
      <w:marRight w:val="0"/>
      <w:marTop w:val="0"/>
      <w:marBottom w:val="0"/>
      <w:divBdr>
        <w:top w:val="none" w:sz="0" w:space="0" w:color="auto"/>
        <w:left w:val="none" w:sz="0" w:space="0" w:color="auto"/>
        <w:bottom w:val="none" w:sz="0" w:space="0" w:color="auto"/>
        <w:right w:val="none" w:sz="0" w:space="0" w:color="auto"/>
      </w:divBdr>
    </w:div>
    <w:div w:id="571545547">
      <w:bodyDiv w:val="1"/>
      <w:marLeft w:val="0"/>
      <w:marRight w:val="0"/>
      <w:marTop w:val="0"/>
      <w:marBottom w:val="0"/>
      <w:divBdr>
        <w:top w:val="none" w:sz="0" w:space="0" w:color="auto"/>
        <w:left w:val="none" w:sz="0" w:space="0" w:color="auto"/>
        <w:bottom w:val="none" w:sz="0" w:space="0" w:color="auto"/>
        <w:right w:val="none" w:sz="0" w:space="0" w:color="auto"/>
      </w:divBdr>
    </w:div>
    <w:div w:id="686441792">
      <w:bodyDiv w:val="1"/>
      <w:marLeft w:val="0"/>
      <w:marRight w:val="0"/>
      <w:marTop w:val="0"/>
      <w:marBottom w:val="0"/>
      <w:divBdr>
        <w:top w:val="none" w:sz="0" w:space="0" w:color="auto"/>
        <w:left w:val="none" w:sz="0" w:space="0" w:color="auto"/>
        <w:bottom w:val="none" w:sz="0" w:space="0" w:color="auto"/>
        <w:right w:val="none" w:sz="0" w:space="0" w:color="auto"/>
      </w:divBdr>
    </w:div>
    <w:div w:id="889879775">
      <w:bodyDiv w:val="1"/>
      <w:marLeft w:val="0"/>
      <w:marRight w:val="0"/>
      <w:marTop w:val="0"/>
      <w:marBottom w:val="0"/>
      <w:divBdr>
        <w:top w:val="none" w:sz="0" w:space="0" w:color="auto"/>
        <w:left w:val="none" w:sz="0" w:space="0" w:color="auto"/>
        <w:bottom w:val="none" w:sz="0" w:space="0" w:color="auto"/>
        <w:right w:val="none" w:sz="0" w:space="0" w:color="auto"/>
      </w:divBdr>
    </w:div>
    <w:div w:id="899631301">
      <w:bodyDiv w:val="1"/>
      <w:marLeft w:val="0"/>
      <w:marRight w:val="0"/>
      <w:marTop w:val="0"/>
      <w:marBottom w:val="0"/>
      <w:divBdr>
        <w:top w:val="none" w:sz="0" w:space="0" w:color="auto"/>
        <w:left w:val="none" w:sz="0" w:space="0" w:color="auto"/>
        <w:bottom w:val="none" w:sz="0" w:space="0" w:color="auto"/>
        <w:right w:val="none" w:sz="0" w:space="0" w:color="auto"/>
      </w:divBdr>
    </w:div>
    <w:div w:id="984285363">
      <w:bodyDiv w:val="1"/>
      <w:marLeft w:val="0"/>
      <w:marRight w:val="0"/>
      <w:marTop w:val="0"/>
      <w:marBottom w:val="0"/>
      <w:divBdr>
        <w:top w:val="none" w:sz="0" w:space="0" w:color="auto"/>
        <w:left w:val="none" w:sz="0" w:space="0" w:color="auto"/>
        <w:bottom w:val="none" w:sz="0" w:space="0" w:color="auto"/>
        <w:right w:val="none" w:sz="0" w:space="0" w:color="auto"/>
      </w:divBdr>
    </w:div>
    <w:div w:id="1178275909">
      <w:bodyDiv w:val="1"/>
      <w:marLeft w:val="0"/>
      <w:marRight w:val="0"/>
      <w:marTop w:val="0"/>
      <w:marBottom w:val="0"/>
      <w:divBdr>
        <w:top w:val="none" w:sz="0" w:space="0" w:color="auto"/>
        <w:left w:val="none" w:sz="0" w:space="0" w:color="auto"/>
        <w:bottom w:val="none" w:sz="0" w:space="0" w:color="auto"/>
        <w:right w:val="none" w:sz="0" w:space="0" w:color="auto"/>
      </w:divBdr>
    </w:div>
    <w:div w:id="1207646151">
      <w:bodyDiv w:val="1"/>
      <w:marLeft w:val="0"/>
      <w:marRight w:val="0"/>
      <w:marTop w:val="0"/>
      <w:marBottom w:val="0"/>
      <w:divBdr>
        <w:top w:val="none" w:sz="0" w:space="0" w:color="auto"/>
        <w:left w:val="none" w:sz="0" w:space="0" w:color="auto"/>
        <w:bottom w:val="none" w:sz="0" w:space="0" w:color="auto"/>
        <w:right w:val="none" w:sz="0" w:space="0" w:color="auto"/>
      </w:divBdr>
    </w:div>
    <w:div w:id="1239438738">
      <w:bodyDiv w:val="1"/>
      <w:marLeft w:val="0"/>
      <w:marRight w:val="0"/>
      <w:marTop w:val="0"/>
      <w:marBottom w:val="0"/>
      <w:divBdr>
        <w:top w:val="none" w:sz="0" w:space="0" w:color="auto"/>
        <w:left w:val="none" w:sz="0" w:space="0" w:color="auto"/>
        <w:bottom w:val="none" w:sz="0" w:space="0" w:color="auto"/>
        <w:right w:val="none" w:sz="0" w:space="0" w:color="auto"/>
      </w:divBdr>
    </w:div>
    <w:div w:id="1338457705">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27476217">
      <w:bodyDiv w:val="1"/>
      <w:marLeft w:val="0"/>
      <w:marRight w:val="0"/>
      <w:marTop w:val="0"/>
      <w:marBottom w:val="0"/>
      <w:divBdr>
        <w:top w:val="none" w:sz="0" w:space="0" w:color="auto"/>
        <w:left w:val="none" w:sz="0" w:space="0" w:color="auto"/>
        <w:bottom w:val="none" w:sz="0" w:space="0" w:color="auto"/>
        <w:right w:val="none" w:sz="0" w:space="0" w:color="auto"/>
      </w:divBdr>
    </w:div>
    <w:div w:id="1854496545">
      <w:bodyDiv w:val="1"/>
      <w:marLeft w:val="0"/>
      <w:marRight w:val="0"/>
      <w:marTop w:val="0"/>
      <w:marBottom w:val="0"/>
      <w:divBdr>
        <w:top w:val="none" w:sz="0" w:space="0" w:color="auto"/>
        <w:left w:val="none" w:sz="0" w:space="0" w:color="auto"/>
        <w:bottom w:val="none" w:sz="0" w:space="0" w:color="auto"/>
        <w:right w:val="none" w:sz="0" w:space="0" w:color="auto"/>
      </w:divBdr>
    </w:div>
    <w:div w:id="1910262130">
      <w:bodyDiv w:val="1"/>
      <w:marLeft w:val="0"/>
      <w:marRight w:val="0"/>
      <w:marTop w:val="0"/>
      <w:marBottom w:val="0"/>
      <w:divBdr>
        <w:top w:val="none" w:sz="0" w:space="0" w:color="auto"/>
        <w:left w:val="none" w:sz="0" w:space="0" w:color="auto"/>
        <w:bottom w:val="none" w:sz="0" w:space="0" w:color="auto"/>
        <w:right w:val="none" w:sz="0" w:space="0" w:color="auto"/>
      </w:divBdr>
    </w:div>
    <w:div w:id="20311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D21D8-FA64-4D37-AD64-EB51DAD3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599</Words>
  <Characters>3140</Characters>
  <Application>Microsoft Office Word</Application>
  <DocSecurity>0</DocSecurity>
  <Lines>26</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5</cp:revision>
  <cp:lastPrinted>2017-12-01T07:58:00Z</cp:lastPrinted>
  <dcterms:created xsi:type="dcterms:W3CDTF">2017-11-30T16:17:00Z</dcterms:created>
  <dcterms:modified xsi:type="dcterms:W3CDTF">2017-12-01T08:05:00Z</dcterms:modified>
</cp:coreProperties>
</file>