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64541A" w14:paraId="3B8F07DC" w14:textId="77777777" w:rsidTr="000216CC">
        <w:trPr>
          <w:trHeight w:val="851"/>
        </w:trPr>
        <w:tc>
          <w:tcPr>
            <w:tcW w:w="1259" w:type="dxa"/>
            <w:tcBorders>
              <w:top w:val="nil"/>
              <w:left w:val="nil"/>
              <w:bottom w:val="single" w:sz="4" w:space="0" w:color="auto"/>
              <w:right w:val="nil"/>
            </w:tcBorders>
            <w:shd w:val="clear" w:color="auto" w:fill="auto"/>
          </w:tcPr>
          <w:p w14:paraId="1E323097" w14:textId="77777777" w:rsidR="00446DE4" w:rsidRPr="0064541A"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067EC9BB" w14:textId="77777777" w:rsidR="00446DE4" w:rsidRPr="0064541A"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490DB93D" w14:textId="13A8C757" w:rsidR="00FC215C" w:rsidRPr="0064541A" w:rsidRDefault="00FC215C" w:rsidP="00FC215C">
            <w:pPr>
              <w:jc w:val="right"/>
              <w:rPr>
                <w:b/>
                <w:sz w:val="40"/>
                <w:szCs w:val="40"/>
                <w:lang w:val="en-US"/>
              </w:rPr>
            </w:pPr>
            <w:r w:rsidRPr="0064541A">
              <w:rPr>
                <w:b/>
                <w:sz w:val="40"/>
                <w:szCs w:val="40"/>
                <w:lang w:val="en-US"/>
              </w:rPr>
              <w:t>UN/SCETDG/</w:t>
            </w:r>
            <w:r w:rsidR="00733FA4" w:rsidRPr="0064541A">
              <w:rPr>
                <w:b/>
                <w:sz w:val="40"/>
                <w:szCs w:val="40"/>
                <w:lang w:val="en-US"/>
              </w:rPr>
              <w:t>5</w:t>
            </w:r>
            <w:r w:rsidR="000E23BE" w:rsidRPr="0064541A">
              <w:rPr>
                <w:b/>
                <w:sz w:val="40"/>
                <w:szCs w:val="40"/>
                <w:lang w:val="en-US"/>
              </w:rPr>
              <w:t>2</w:t>
            </w:r>
            <w:r w:rsidRPr="0064541A">
              <w:rPr>
                <w:b/>
                <w:sz w:val="40"/>
                <w:szCs w:val="40"/>
                <w:lang w:val="en-US"/>
              </w:rPr>
              <w:t>/INF.</w:t>
            </w:r>
            <w:r w:rsidR="003C79AF">
              <w:rPr>
                <w:b/>
                <w:sz w:val="40"/>
                <w:szCs w:val="40"/>
                <w:lang w:val="en-US"/>
              </w:rPr>
              <w:t>12</w:t>
            </w:r>
          </w:p>
          <w:p w14:paraId="2E883CBE" w14:textId="77777777" w:rsidR="000216CC" w:rsidRPr="0064541A" w:rsidRDefault="000216CC" w:rsidP="00497711">
            <w:pPr>
              <w:jc w:val="right"/>
              <w:rPr>
                <w:highlight w:val="yellow"/>
                <w:lang w:val="en-US"/>
              </w:rPr>
            </w:pPr>
          </w:p>
        </w:tc>
      </w:tr>
    </w:tbl>
    <w:tbl>
      <w:tblPr>
        <w:tblW w:w="9645" w:type="dxa"/>
        <w:tblInd w:w="108" w:type="dxa"/>
        <w:tblLayout w:type="fixed"/>
        <w:tblLook w:val="04A0" w:firstRow="1" w:lastRow="0" w:firstColumn="1" w:lastColumn="0" w:noHBand="0" w:noVBand="1"/>
      </w:tblPr>
      <w:tblGrid>
        <w:gridCol w:w="9645"/>
      </w:tblGrid>
      <w:tr w:rsidR="00645A0B" w:rsidRPr="0064541A" w14:paraId="5C6EF4F5" w14:textId="77777777" w:rsidTr="00165735">
        <w:tc>
          <w:tcPr>
            <w:tcW w:w="9645" w:type="dxa"/>
            <w:tcMar>
              <w:top w:w="142" w:type="dxa"/>
              <w:left w:w="108" w:type="dxa"/>
              <w:bottom w:w="142" w:type="dxa"/>
              <w:right w:w="108" w:type="dxa"/>
            </w:tcMar>
          </w:tcPr>
          <w:p w14:paraId="792D5DA8" w14:textId="0B9C8DD6" w:rsidR="00645A0B" w:rsidRPr="0064541A" w:rsidRDefault="00645A0B" w:rsidP="003A1DE7">
            <w:pPr>
              <w:tabs>
                <w:tab w:val="right" w:pos="9214"/>
              </w:tabs>
              <w:rPr>
                <w:lang w:val="en-US"/>
              </w:rPr>
            </w:pPr>
            <w:r w:rsidRPr="0064541A">
              <w:rPr>
                <w:b/>
                <w:sz w:val="24"/>
                <w:szCs w:val="24"/>
                <w:lang w:val="en-US"/>
              </w:rPr>
              <w:t>Committee of Experts on the Transport of Dangerous Goods</w:t>
            </w:r>
            <w:r w:rsidRPr="0064541A">
              <w:rPr>
                <w:b/>
                <w:sz w:val="24"/>
                <w:szCs w:val="24"/>
                <w:lang w:val="en-US"/>
              </w:rPr>
              <w:tab/>
            </w:r>
            <w:r w:rsidRPr="0064541A">
              <w:rPr>
                <w:b/>
                <w:sz w:val="24"/>
                <w:szCs w:val="24"/>
                <w:lang w:val="en-US"/>
              </w:rPr>
              <w:br/>
              <w:t>and on the Globally Harmonized System of Classification</w:t>
            </w:r>
            <w:r w:rsidRPr="0064541A">
              <w:rPr>
                <w:b/>
                <w:sz w:val="24"/>
                <w:szCs w:val="24"/>
                <w:lang w:val="en-US"/>
              </w:rPr>
              <w:br/>
              <w:t>and Labelling of Chemicals</w:t>
            </w:r>
            <w:r w:rsidRPr="0064541A">
              <w:rPr>
                <w:b/>
                <w:lang w:val="en-US"/>
              </w:rPr>
              <w:tab/>
            </w:r>
            <w:r w:rsidR="003A1DE7">
              <w:rPr>
                <w:b/>
                <w:lang w:val="en-US"/>
              </w:rPr>
              <w:t>6</w:t>
            </w:r>
            <w:r w:rsidR="0090305A" w:rsidRPr="0064541A">
              <w:rPr>
                <w:b/>
                <w:lang w:val="en-US"/>
              </w:rPr>
              <w:t xml:space="preserve"> </w:t>
            </w:r>
            <w:r w:rsidR="00B02815" w:rsidRPr="0064541A">
              <w:rPr>
                <w:b/>
                <w:lang w:val="en-US"/>
              </w:rPr>
              <w:t>Novem</w:t>
            </w:r>
            <w:r w:rsidR="0090305A" w:rsidRPr="0064541A">
              <w:rPr>
                <w:b/>
                <w:lang w:val="en-US"/>
              </w:rPr>
              <w:t>ber</w:t>
            </w:r>
            <w:r w:rsidR="000E23BE" w:rsidRPr="0064541A">
              <w:rPr>
                <w:b/>
                <w:lang w:val="en-US"/>
              </w:rPr>
              <w:t xml:space="preserve"> 2017</w:t>
            </w:r>
          </w:p>
        </w:tc>
      </w:tr>
      <w:tr w:rsidR="00DF4533" w:rsidRPr="0064541A" w14:paraId="7C51974A" w14:textId="77777777" w:rsidTr="003C79AF">
        <w:trPr>
          <w:trHeight w:val="1379"/>
        </w:trPr>
        <w:tc>
          <w:tcPr>
            <w:tcW w:w="9645" w:type="dxa"/>
            <w:tcMar>
              <w:top w:w="57" w:type="dxa"/>
              <w:left w:w="108" w:type="dxa"/>
              <w:bottom w:w="0" w:type="dxa"/>
              <w:right w:w="108" w:type="dxa"/>
            </w:tcMar>
            <w:vAlign w:val="center"/>
          </w:tcPr>
          <w:p w14:paraId="27B84FD2" w14:textId="4CF40456" w:rsidR="00DF4533" w:rsidRPr="00850F40" w:rsidRDefault="00DF4533" w:rsidP="003C79AF">
            <w:pPr>
              <w:spacing w:before="120" w:after="240"/>
              <w:rPr>
                <w:b/>
                <w:lang w:val="en-US"/>
              </w:rPr>
            </w:pPr>
            <w:r w:rsidRPr="00850F40">
              <w:rPr>
                <w:b/>
                <w:lang w:val="en-US"/>
              </w:rPr>
              <w:t xml:space="preserve">Sub-Committee of Experts on the Transport of Dangerous Goods </w:t>
            </w:r>
          </w:p>
          <w:p w14:paraId="64DAE595" w14:textId="77777777" w:rsidR="00DF4533" w:rsidRPr="00850F40" w:rsidRDefault="00DF4533" w:rsidP="003C79AF">
            <w:pPr>
              <w:ind w:left="34" w:hanging="34"/>
              <w:rPr>
                <w:b/>
                <w:lang w:val="en-US"/>
              </w:rPr>
            </w:pPr>
            <w:r w:rsidRPr="00850F40">
              <w:rPr>
                <w:b/>
                <w:lang w:val="en-US"/>
              </w:rPr>
              <w:t>Fifty-second session</w:t>
            </w:r>
          </w:p>
          <w:p w14:paraId="3CA66B1B" w14:textId="662FB0DA" w:rsidR="00DF4533" w:rsidRPr="00850F40" w:rsidRDefault="00F203A8" w:rsidP="003C79AF">
            <w:pPr>
              <w:tabs>
                <w:tab w:val="left" w:pos="-10"/>
                <w:tab w:val="left" w:pos="6361"/>
                <w:tab w:val="left" w:pos="6939"/>
              </w:tabs>
              <w:ind w:left="34" w:hanging="34"/>
              <w:outlineLvl w:val="0"/>
              <w:rPr>
                <w:bCs/>
                <w:lang w:val="en-US"/>
              </w:rPr>
            </w:pPr>
            <w:r w:rsidRPr="00850F40">
              <w:rPr>
                <w:bCs/>
                <w:lang w:val="en-US"/>
              </w:rPr>
              <w:t>Geneva, 27</w:t>
            </w:r>
            <w:r w:rsidR="00DF4533" w:rsidRPr="00850F40">
              <w:rPr>
                <w:bCs/>
                <w:lang w:val="en-US"/>
              </w:rPr>
              <w:t xml:space="preserve"> November-6</w:t>
            </w:r>
            <w:r w:rsidR="00AA1BCA" w:rsidRPr="00850F40">
              <w:rPr>
                <w:bCs/>
                <w:lang w:val="en-US"/>
              </w:rPr>
              <w:t xml:space="preserve"> </w:t>
            </w:r>
            <w:r w:rsidR="00DF4533" w:rsidRPr="00850F40">
              <w:rPr>
                <w:bCs/>
                <w:lang w:val="en-US"/>
              </w:rPr>
              <w:t>December 2017</w:t>
            </w:r>
          </w:p>
          <w:p w14:paraId="5767CCD0" w14:textId="6644D296" w:rsidR="00DF4533" w:rsidRPr="00850F40" w:rsidRDefault="00DF4533" w:rsidP="003C79AF">
            <w:pPr>
              <w:tabs>
                <w:tab w:val="left" w:pos="-10"/>
              </w:tabs>
              <w:ind w:left="34" w:hanging="34"/>
              <w:rPr>
                <w:lang w:val="en-US"/>
              </w:rPr>
            </w:pPr>
            <w:r w:rsidRPr="00850F40">
              <w:rPr>
                <w:lang w:val="en-US"/>
              </w:rPr>
              <w:t xml:space="preserve">Item </w:t>
            </w:r>
            <w:r w:rsidR="004F7E10" w:rsidRPr="00850F40">
              <w:rPr>
                <w:lang w:val="en-US"/>
              </w:rPr>
              <w:t>2</w:t>
            </w:r>
            <w:r w:rsidR="00850F40" w:rsidRPr="00850F40">
              <w:rPr>
                <w:lang w:val="en-US"/>
              </w:rPr>
              <w:t xml:space="preserve"> (j)</w:t>
            </w:r>
            <w:r w:rsidRPr="00850F40">
              <w:rPr>
                <w:lang w:val="en-US"/>
              </w:rPr>
              <w:t xml:space="preserve"> of the provisional agenda</w:t>
            </w:r>
          </w:p>
          <w:p w14:paraId="442937E1" w14:textId="7C857A64" w:rsidR="00DF4533" w:rsidRPr="0064541A" w:rsidRDefault="0090305A" w:rsidP="00850F40">
            <w:pPr>
              <w:spacing w:after="120"/>
              <w:rPr>
                <w:b/>
                <w:lang w:val="en-US"/>
              </w:rPr>
            </w:pPr>
            <w:r w:rsidRPr="00850F40">
              <w:rPr>
                <w:b/>
                <w:lang w:val="en-US"/>
              </w:rPr>
              <w:t>Explosives and related matters</w:t>
            </w:r>
            <w:r w:rsidR="00850F40">
              <w:rPr>
                <w:b/>
                <w:lang w:val="en-US"/>
              </w:rPr>
              <w:t>: miscellaneous</w:t>
            </w:r>
            <w:bookmarkStart w:id="0" w:name="_GoBack"/>
            <w:bookmarkEnd w:id="0"/>
          </w:p>
        </w:tc>
      </w:tr>
    </w:tbl>
    <w:p w14:paraId="6125E8F1" w14:textId="77777777" w:rsidR="0090305A" w:rsidRPr="0064541A" w:rsidRDefault="00DF4533" w:rsidP="0090305A">
      <w:pPr>
        <w:pStyle w:val="HChG"/>
        <w:rPr>
          <w:lang w:val="en-US"/>
        </w:rPr>
      </w:pPr>
      <w:r w:rsidRPr="0064541A">
        <w:rPr>
          <w:lang w:val="en-US"/>
        </w:rPr>
        <w:tab/>
      </w:r>
      <w:r w:rsidRPr="0064541A">
        <w:rPr>
          <w:lang w:val="en-US"/>
        </w:rPr>
        <w:tab/>
      </w:r>
      <w:r w:rsidR="0090305A" w:rsidRPr="0064541A">
        <w:rPr>
          <w:lang w:val="en-US"/>
        </w:rPr>
        <w:t>Transport of energetic samples for further testing</w:t>
      </w:r>
    </w:p>
    <w:p w14:paraId="06665785" w14:textId="77777777" w:rsidR="0090305A" w:rsidRPr="0064541A" w:rsidRDefault="0090305A" w:rsidP="0090305A">
      <w:pPr>
        <w:pStyle w:val="H1G"/>
        <w:rPr>
          <w:lang w:val="en-US"/>
        </w:rPr>
      </w:pPr>
      <w:r w:rsidRPr="0064541A">
        <w:rPr>
          <w:lang w:val="en-US"/>
        </w:rPr>
        <w:tab/>
      </w:r>
      <w:r w:rsidRPr="0064541A">
        <w:rPr>
          <w:lang w:val="en-US"/>
        </w:rPr>
        <w:tab/>
        <w:t>Transmitted by the European Chemical Industry Council (CEFIC)</w:t>
      </w:r>
    </w:p>
    <w:p w14:paraId="4D16572F" w14:textId="77777777" w:rsidR="0090305A" w:rsidRPr="0064541A" w:rsidRDefault="0090305A" w:rsidP="0090305A">
      <w:pPr>
        <w:pStyle w:val="HChG"/>
        <w:rPr>
          <w:lang w:val="en-US"/>
        </w:rPr>
      </w:pPr>
      <w:r w:rsidRPr="0064541A">
        <w:rPr>
          <w:lang w:val="en-US"/>
        </w:rPr>
        <w:tab/>
      </w:r>
      <w:r w:rsidRPr="0064541A">
        <w:rPr>
          <w:lang w:val="en-US"/>
        </w:rPr>
        <w:tab/>
        <w:t>Introduction</w:t>
      </w:r>
    </w:p>
    <w:p w14:paraId="6D1B79D7" w14:textId="77777777" w:rsidR="0090305A" w:rsidRPr="0064541A" w:rsidRDefault="0090305A" w:rsidP="0090305A">
      <w:pPr>
        <w:pStyle w:val="SingleTxtG"/>
        <w:numPr>
          <w:ilvl w:val="0"/>
          <w:numId w:val="45"/>
        </w:numPr>
        <w:tabs>
          <w:tab w:val="left" w:pos="1701"/>
        </w:tabs>
        <w:ind w:left="1134" w:firstLine="0"/>
        <w:rPr>
          <w:lang w:val="en-US"/>
        </w:rPr>
      </w:pPr>
      <w:r w:rsidRPr="0064541A">
        <w:rPr>
          <w:lang w:val="en-US"/>
        </w:rPr>
        <w:t>Research and development in industry, public institutes</w:t>
      </w:r>
      <w:r w:rsidR="00E46745" w:rsidRPr="00AC236C">
        <w:rPr>
          <w:lang w:val="en-US"/>
        </w:rPr>
        <w:t>,</w:t>
      </w:r>
      <w:r w:rsidRPr="0064541A">
        <w:rPr>
          <w:lang w:val="en-US"/>
        </w:rPr>
        <w:t xml:space="preserve"> and universities frequently need to transport substances for the purpose of testing, i.e. the determination of physical, chemical, biological, toxicological or ecotoxicological properties and behavior, fitness for use or application.</w:t>
      </w:r>
    </w:p>
    <w:p w14:paraId="521E3027" w14:textId="77777777" w:rsidR="0090305A" w:rsidRPr="0064541A" w:rsidRDefault="0090305A" w:rsidP="0090305A">
      <w:pPr>
        <w:pStyle w:val="SingleTxtG"/>
        <w:numPr>
          <w:ilvl w:val="0"/>
          <w:numId w:val="45"/>
        </w:numPr>
        <w:tabs>
          <w:tab w:val="left" w:pos="1701"/>
        </w:tabs>
        <w:ind w:left="1134" w:firstLine="0"/>
        <w:rPr>
          <w:lang w:val="en-US"/>
        </w:rPr>
      </w:pPr>
      <w:r w:rsidRPr="0064541A">
        <w:rPr>
          <w:lang w:val="en-US"/>
        </w:rPr>
        <w:t>The</w:t>
      </w:r>
      <w:r w:rsidR="00DF2D91" w:rsidRPr="0064541A">
        <w:rPr>
          <w:lang w:val="en-US"/>
        </w:rPr>
        <w:t>se</w:t>
      </w:r>
      <w:r w:rsidRPr="0064541A">
        <w:rPr>
          <w:lang w:val="en-US"/>
        </w:rPr>
        <w:t xml:space="preserve"> substances usually consist of organic molecules</w:t>
      </w:r>
      <w:r w:rsidR="0064541A">
        <w:rPr>
          <w:lang w:val="en-US"/>
        </w:rPr>
        <w:t>,</w:t>
      </w:r>
      <w:r w:rsidRPr="0064541A">
        <w:rPr>
          <w:lang w:val="en-US"/>
        </w:rPr>
        <w:t xml:space="preserve"> which are active ingredients, building blocks or intermediates for pharmaceutical or agricultural chemicals.</w:t>
      </w:r>
    </w:p>
    <w:p w14:paraId="6B2A3C87" w14:textId="77777777" w:rsidR="0090305A" w:rsidRPr="0064541A" w:rsidRDefault="0090305A" w:rsidP="0090305A">
      <w:pPr>
        <w:pStyle w:val="SingleTxtG"/>
        <w:numPr>
          <w:ilvl w:val="0"/>
          <w:numId w:val="45"/>
        </w:numPr>
        <w:tabs>
          <w:tab w:val="left" w:pos="1701"/>
        </w:tabs>
        <w:ind w:left="1134" w:firstLine="0"/>
        <w:rPr>
          <w:lang w:val="en-US"/>
        </w:rPr>
      </w:pPr>
      <w:r w:rsidRPr="0064541A">
        <w:rPr>
          <w:lang w:val="en-US"/>
        </w:rPr>
        <w:t xml:space="preserve">Generally, the amounts </w:t>
      </w:r>
      <w:r w:rsidR="0064541A">
        <w:rPr>
          <w:lang w:val="en-US"/>
        </w:rPr>
        <w:t>of</w:t>
      </w:r>
      <w:r w:rsidR="0064541A" w:rsidRPr="0064541A">
        <w:rPr>
          <w:lang w:val="en-US"/>
        </w:rPr>
        <w:t xml:space="preserve"> </w:t>
      </w:r>
      <w:r w:rsidRPr="0064541A">
        <w:rPr>
          <w:lang w:val="en-US"/>
        </w:rPr>
        <w:t>substance are small, and reliable information about the proper classification is not available due to the lack of test data.</w:t>
      </w:r>
    </w:p>
    <w:p w14:paraId="4E610A9E" w14:textId="2772DA7D" w:rsidR="0090305A" w:rsidRPr="00AC236C" w:rsidRDefault="00935224" w:rsidP="0090305A">
      <w:pPr>
        <w:pStyle w:val="SingleTxtG"/>
        <w:numPr>
          <w:ilvl w:val="0"/>
          <w:numId w:val="45"/>
        </w:numPr>
        <w:tabs>
          <w:tab w:val="left" w:pos="1701"/>
        </w:tabs>
        <w:ind w:left="1134" w:firstLine="0"/>
        <w:rPr>
          <w:lang w:val="en-US"/>
        </w:rPr>
      </w:pPr>
      <w:r w:rsidRPr="00AC236C">
        <w:rPr>
          <w:lang w:val="en-US"/>
        </w:rPr>
        <w:t xml:space="preserve">Although not designed to be explosives of Class </w:t>
      </w:r>
      <w:r w:rsidR="00917A99" w:rsidRPr="00AC236C">
        <w:rPr>
          <w:lang w:val="en-US"/>
        </w:rPr>
        <w:t xml:space="preserve">1, </w:t>
      </w:r>
      <w:r w:rsidR="0090305A" w:rsidRPr="00AC236C">
        <w:rPr>
          <w:lang w:val="en-US"/>
        </w:rPr>
        <w:t xml:space="preserve">many </w:t>
      </w:r>
      <w:r w:rsidR="00917A99" w:rsidRPr="00AC236C">
        <w:rPr>
          <w:lang w:val="en-US"/>
        </w:rPr>
        <w:t xml:space="preserve">of these substances </w:t>
      </w:r>
      <w:r w:rsidR="0090305A" w:rsidRPr="00AC236C">
        <w:rPr>
          <w:lang w:val="en-US"/>
        </w:rPr>
        <w:t xml:space="preserve">carry functional groups listed in tables A6.1 and/or A6.3 in Annex 6 (Screening Procedures) of the Manual of Tests and Criteria, indicating </w:t>
      </w:r>
      <w:r w:rsidR="00DB3EDA" w:rsidRPr="00AC236C">
        <w:rPr>
          <w:lang w:val="en-US"/>
        </w:rPr>
        <w:t xml:space="preserve">potential </w:t>
      </w:r>
      <w:r w:rsidR="0090305A" w:rsidRPr="00AC236C">
        <w:rPr>
          <w:lang w:val="en-US"/>
        </w:rPr>
        <w:t>explosive or self-reacti</w:t>
      </w:r>
      <w:r w:rsidR="00917A99" w:rsidRPr="00AC236C">
        <w:rPr>
          <w:lang w:val="en-US"/>
        </w:rPr>
        <w:t>ve properties.</w:t>
      </w:r>
    </w:p>
    <w:p w14:paraId="7BE127BC" w14:textId="77777777" w:rsidR="0090305A" w:rsidRPr="0064541A" w:rsidRDefault="0090305A" w:rsidP="0090305A">
      <w:pPr>
        <w:pStyle w:val="SingleTxtG"/>
        <w:numPr>
          <w:ilvl w:val="0"/>
          <w:numId w:val="45"/>
        </w:numPr>
        <w:tabs>
          <w:tab w:val="left" w:pos="1701"/>
        </w:tabs>
        <w:ind w:left="1134" w:firstLine="0"/>
        <w:rPr>
          <w:lang w:val="en-US"/>
        </w:rPr>
      </w:pPr>
      <w:r w:rsidRPr="0064541A">
        <w:rPr>
          <w:lang w:val="en-US"/>
        </w:rPr>
        <w:t>Whereas the transport of samples of self-reactive substances and organic peroxides is permitted under the provisions of 2.4.2.3.2.4 (b) and 2.5.3.2.5.1, respectively, substances considered to meet the criteria for Class 1 are prohibited for transport by 2.0.4.2 (b).</w:t>
      </w:r>
    </w:p>
    <w:p w14:paraId="07BE5D6C" w14:textId="77777777" w:rsidR="0090305A" w:rsidRPr="0064541A" w:rsidRDefault="0090305A" w:rsidP="0090305A">
      <w:pPr>
        <w:pStyle w:val="SingleTxtG"/>
        <w:numPr>
          <w:ilvl w:val="0"/>
          <w:numId w:val="45"/>
        </w:numPr>
        <w:tabs>
          <w:tab w:val="left" w:pos="1701"/>
        </w:tabs>
        <w:ind w:left="1134" w:firstLine="0"/>
        <w:rPr>
          <w:lang w:val="en-US"/>
        </w:rPr>
      </w:pPr>
      <w:r w:rsidRPr="0064541A">
        <w:rPr>
          <w:lang w:val="en-US"/>
        </w:rPr>
        <w:t xml:space="preserve">However, at this early stage of development, test data are </w:t>
      </w:r>
      <w:r w:rsidR="00313CC6" w:rsidRPr="0064541A">
        <w:rPr>
          <w:lang w:val="en-US"/>
        </w:rPr>
        <w:t xml:space="preserve">usually </w:t>
      </w:r>
      <w:r w:rsidRPr="0064541A">
        <w:rPr>
          <w:lang w:val="en-US"/>
        </w:rPr>
        <w:t>not available to distinguish candidates for Class 1 and self-reactive substance of Division 4.1. Thus, there is a need to find a proper solution for the transport of energetic samples for the purpose of testing in small amounts, to define appropriate criteria for classification in cases of limited test data, and to specify the required packaging.</w:t>
      </w:r>
    </w:p>
    <w:p w14:paraId="2D12B11B" w14:textId="77777777" w:rsidR="0090305A" w:rsidRPr="0064541A" w:rsidRDefault="0090305A" w:rsidP="00313CC6">
      <w:pPr>
        <w:pStyle w:val="SingleTxtG"/>
        <w:numPr>
          <w:ilvl w:val="0"/>
          <w:numId w:val="45"/>
        </w:numPr>
        <w:tabs>
          <w:tab w:val="left" w:pos="1701"/>
        </w:tabs>
        <w:ind w:left="1134" w:firstLine="0"/>
        <w:rPr>
          <w:lang w:val="en-US"/>
        </w:rPr>
      </w:pPr>
      <w:r w:rsidRPr="0064541A">
        <w:rPr>
          <w:lang w:val="en-US"/>
        </w:rPr>
        <w:t>CEFIC</w:t>
      </w:r>
      <w:r w:rsidR="00313CC6" w:rsidRPr="0064541A">
        <w:rPr>
          <w:lang w:val="en-US"/>
        </w:rPr>
        <w:t>’s proposal ST/SG/AC.10/C.3/2016/61</w:t>
      </w:r>
      <w:r w:rsidRPr="0064541A">
        <w:rPr>
          <w:lang w:val="en-US"/>
        </w:rPr>
        <w:t xml:space="preserve"> </w:t>
      </w:r>
      <w:r w:rsidR="00313CC6" w:rsidRPr="0064541A">
        <w:rPr>
          <w:lang w:val="en-US"/>
        </w:rPr>
        <w:t>was adopted</w:t>
      </w:r>
      <w:r w:rsidR="0064541A" w:rsidRPr="0064541A">
        <w:rPr>
          <w:lang w:val="en-US"/>
        </w:rPr>
        <w:t xml:space="preserve"> </w:t>
      </w:r>
      <w:r w:rsidR="0064541A">
        <w:rPr>
          <w:lang w:val="en-US"/>
        </w:rPr>
        <w:t>i</w:t>
      </w:r>
      <w:r w:rsidR="0064541A" w:rsidRPr="0064541A">
        <w:rPr>
          <w:lang w:val="en-US"/>
        </w:rPr>
        <w:t>n the last biennium</w:t>
      </w:r>
      <w:r w:rsidR="00313CC6" w:rsidRPr="0064541A">
        <w:rPr>
          <w:lang w:val="en-US"/>
        </w:rPr>
        <w:t>. The new provisions in section 2.0.4.3 allow for the transport of small amounts of samples (up to 1 g / 1 ml) as self-reactive substances</w:t>
      </w:r>
      <w:r w:rsidR="00E34031" w:rsidRPr="0064541A">
        <w:rPr>
          <w:lang w:val="en-US"/>
        </w:rPr>
        <w:t xml:space="preserve"> type C</w:t>
      </w:r>
      <w:r w:rsidR="00313CC6" w:rsidRPr="0064541A">
        <w:rPr>
          <w:lang w:val="en-US"/>
        </w:rPr>
        <w:t xml:space="preserve"> under certain restrictions in a very specific</w:t>
      </w:r>
      <w:r w:rsidR="00E34031" w:rsidRPr="0064541A">
        <w:rPr>
          <w:lang w:val="en-US"/>
        </w:rPr>
        <w:t xml:space="preserve"> package.</w:t>
      </w:r>
      <w:r w:rsidRPr="0064541A">
        <w:rPr>
          <w:lang w:val="en-US"/>
        </w:rPr>
        <w:t xml:space="preserve"> </w:t>
      </w:r>
    </w:p>
    <w:p w14:paraId="41212D7A" w14:textId="77777777" w:rsidR="00E34031" w:rsidRPr="0064541A" w:rsidRDefault="00E34031" w:rsidP="0090305A">
      <w:pPr>
        <w:pStyle w:val="SingleTxtG"/>
        <w:numPr>
          <w:ilvl w:val="0"/>
          <w:numId w:val="45"/>
        </w:numPr>
        <w:tabs>
          <w:tab w:val="left" w:pos="1701"/>
        </w:tabs>
        <w:ind w:left="1134" w:firstLine="0"/>
        <w:rPr>
          <w:lang w:val="en-US"/>
        </w:rPr>
      </w:pPr>
      <w:r w:rsidRPr="0064541A">
        <w:rPr>
          <w:lang w:val="en-US"/>
        </w:rPr>
        <w:t>As a next step</w:t>
      </w:r>
      <w:r w:rsidR="006627FE" w:rsidRPr="0064541A">
        <w:rPr>
          <w:lang w:val="en-US"/>
        </w:rPr>
        <w:t xml:space="preserve"> towards a comprehensive solution</w:t>
      </w:r>
      <w:r w:rsidRPr="0064541A">
        <w:rPr>
          <w:lang w:val="en-US"/>
        </w:rPr>
        <w:t xml:space="preserve">, CEFIC gave an informal presentation in the Explosives Working Group </w:t>
      </w:r>
      <w:r w:rsidR="006627FE" w:rsidRPr="0064541A">
        <w:rPr>
          <w:lang w:val="en-US"/>
        </w:rPr>
        <w:t xml:space="preserve">meeting </w:t>
      </w:r>
      <w:r w:rsidRPr="0064541A">
        <w:rPr>
          <w:lang w:val="en-US"/>
        </w:rPr>
        <w:t xml:space="preserve">during the summer 2017 session of the TDG Subcommittee, introducing their concept </w:t>
      </w:r>
      <w:r w:rsidR="0064541A">
        <w:rPr>
          <w:lang w:val="en-US"/>
        </w:rPr>
        <w:t xml:space="preserve">on </w:t>
      </w:r>
      <w:r w:rsidRPr="0064541A">
        <w:rPr>
          <w:lang w:val="en-US"/>
        </w:rPr>
        <w:t xml:space="preserve">how to proceed for samples in </w:t>
      </w:r>
      <w:r w:rsidR="00FA2C63" w:rsidRPr="0064541A">
        <w:rPr>
          <w:lang w:val="en-US"/>
        </w:rPr>
        <w:t xml:space="preserve">larger </w:t>
      </w:r>
      <w:r w:rsidRPr="0064541A">
        <w:rPr>
          <w:lang w:val="en-US"/>
        </w:rPr>
        <w:t xml:space="preserve">amounts. There was general support for the ideas brought forward, and CEFIC was encouraged to submit a flow </w:t>
      </w:r>
      <w:r w:rsidR="00D75619" w:rsidRPr="0064541A">
        <w:rPr>
          <w:lang w:val="en-US"/>
        </w:rPr>
        <w:t>c</w:t>
      </w:r>
      <w:r w:rsidRPr="0064541A">
        <w:rPr>
          <w:lang w:val="en-US"/>
        </w:rPr>
        <w:t>hart for further discussions in the group.</w:t>
      </w:r>
    </w:p>
    <w:p w14:paraId="30DA84E7" w14:textId="77777777" w:rsidR="00FA2C63" w:rsidRPr="0064541A" w:rsidRDefault="00DF1E54" w:rsidP="00640963">
      <w:pPr>
        <w:pStyle w:val="SingleTxtG"/>
        <w:numPr>
          <w:ilvl w:val="0"/>
          <w:numId w:val="45"/>
        </w:numPr>
        <w:tabs>
          <w:tab w:val="left" w:pos="1701"/>
        </w:tabs>
        <w:ind w:left="1134" w:firstLine="0"/>
        <w:rPr>
          <w:lang w:val="en-US"/>
        </w:rPr>
      </w:pPr>
      <w:r w:rsidRPr="0064541A">
        <w:rPr>
          <w:lang w:val="en-US"/>
        </w:rPr>
        <w:t xml:space="preserve">Accordingly, CEFIC submits this informal paper for further discussions. </w:t>
      </w:r>
      <w:r w:rsidR="00DF2D91" w:rsidRPr="0064541A">
        <w:rPr>
          <w:lang w:val="en-US"/>
        </w:rPr>
        <w:t xml:space="preserve">Both the Subcommittee and the Explosives Working Group are </w:t>
      </w:r>
      <w:r w:rsidR="00FA2C63" w:rsidRPr="0064541A">
        <w:rPr>
          <w:lang w:val="en-US"/>
        </w:rPr>
        <w:t xml:space="preserve">invited to comment and are </w:t>
      </w:r>
      <w:r w:rsidR="00DF2D91" w:rsidRPr="0064541A">
        <w:rPr>
          <w:lang w:val="en-US"/>
        </w:rPr>
        <w:t>asked for guidance how to proceed further in this matter.</w:t>
      </w:r>
      <w:r w:rsidR="00253082" w:rsidRPr="0064541A">
        <w:rPr>
          <w:lang w:val="en-US"/>
        </w:rPr>
        <w:t xml:space="preserve"> </w:t>
      </w:r>
    </w:p>
    <w:p w14:paraId="4A2954C1" w14:textId="77777777" w:rsidR="00FA2C63" w:rsidRPr="0064541A" w:rsidRDefault="00FA2C63" w:rsidP="00FA2C63">
      <w:pPr>
        <w:pStyle w:val="HChG"/>
        <w:spacing w:before="240" w:after="120"/>
        <w:rPr>
          <w:lang w:val="en-US"/>
        </w:rPr>
      </w:pPr>
      <w:r w:rsidRPr="0064541A">
        <w:rPr>
          <w:lang w:val="en-US"/>
        </w:rPr>
        <w:lastRenderedPageBreak/>
        <w:tab/>
      </w:r>
      <w:r w:rsidRPr="0064541A">
        <w:rPr>
          <w:lang w:val="en-US"/>
        </w:rPr>
        <w:tab/>
        <w:t>Discussion</w:t>
      </w:r>
    </w:p>
    <w:p w14:paraId="2EA54ADA" w14:textId="77777777" w:rsidR="00FA2C63" w:rsidRPr="0064541A" w:rsidRDefault="00DF4533" w:rsidP="003C79AF">
      <w:pPr>
        <w:pStyle w:val="H1G"/>
        <w:rPr>
          <w:lang w:val="en-US"/>
        </w:rPr>
      </w:pPr>
      <w:r w:rsidRPr="0064541A">
        <w:rPr>
          <w:lang w:val="en-US"/>
        </w:rPr>
        <w:tab/>
      </w:r>
      <w:r w:rsidRPr="0064541A">
        <w:rPr>
          <w:lang w:val="en-US"/>
        </w:rPr>
        <w:tab/>
      </w:r>
      <w:r w:rsidR="00FA2C63" w:rsidRPr="0064541A">
        <w:rPr>
          <w:lang w:val="en-US"/>
        </w:rPr>
        <w:t>Initial considerations</w:t>
      </w:r>
    </w:p>
    <w:p w14:paraId="163565C3" w14:textId="77777777" w:rsidR="00FA2C63" w:rsidRPr="0064541A" w:rsidRDefault="00FA2C63" w:rsidP="00D156C1">
      <w:pPr>
        <w:pStyle w:val="SingleTxtG"/>
        <w:numPr>
          <w:ilvl w:val="0"/>
          <w:numId w:val="45"/>
        </w:numPr>
        <w:tabs>
          <w:tab w:val="left" w:pos="1701"/>
        </w:tabs>
        <w:ind w:left="1134" w:firstLine="0"/>
        <w:rPr>
          <w:lang w:val="en-US"/>
        </w:rPr>
      </w:pPr>
      <w:r w:rsidRPr="0064541A">
        <w:rPr>
          <w:lang w:val="en-US"/>
        </w:rPr>
        <w:t>The adopted solution in section 2.4.0.3 for small samples (up to 1 g scale) is built on a safe design:</w:t>
      </w:r>
    </w:p>
    <w:p w14:paraId="198DB825" w14:textId="77777777" w:rsidR="00FA2C63" w:rsidRPr="0064541A" w:rsidRDefault="00FA2C63" w:rsidP="003C79AF">
      <w:pPr>
        <w:pStyle w:val="Bullet1G"/>
        <w:rPr>
          <w:lang w:val="en-US"/>
        </w:rPr>
      </w:pPr>
      <w:r w:rsidRPr="0064541A">
        <w:rPr>
          <w:lang w:val="en-US"/>
        </w:rPr>
        <w:t>The package is sufficiently strong to survive the detonation e</w:t>
      </w:r>
      <w:r w:rsidR="00D156C1" w:rsidRPr="0064541A">
        <w:rPr>
          <w:lang w:val="en-US"/>
        </w:rPr>
        <w:t>ven of an intentional explosive (see proposal 2016/61), and</w:t>
      </w:r>
    </w:p>
    <w:p w14:paraId="6CDE0FCC" w14:textId="77777777" w:rsidR="00D156C1" w:rsidRPr="0064541A" w:rsidRDefault="00D156C1" w:rsidP="003C79AF">
      <w:pPr>
        <w:pStyle w:val="Bullet1G"/>
        <w:rPr>
          <w:lang w:val="en-US"/>
        </w:rPr>
      </w:pPr>
      <w:r w:rsidRPr="0064541A">
        <w:rPr>
          <w:lang w:val="en-US"/>
        </w:rPr>
        <w:t>The inner design prevents a propagation of detonation from one sample to another.</w:t>
      </w:r>
    </w:p>
    <w:p w14:paraId="1E10F355" w14:textId="77777777" w:rsidR="004C0BB5" w:rsidRPr="0064541A" w:rsidRDefault="00D156C1" w:rsidP="00D156C1">
      <w:pPr>
        <w:pStyle w:val="SingleTxtG"/>
        <w:numPr>
          <w:ilvl w:val="0"/>
          <w:numId w:val="45"/>
        </w:numPr>
        <w:tabs>
          <w:tab w:val="left" w:pos="1701"/>
        </w:tabs>
        <w:ind w:left="1134" w:firstLine="0"/>
        <w:rPr>
          <w:lang w:val="en-US"/>
        </w:rPr>
      </w:pPr>
      <w:r w:rsidRPr="0064541A">
        <w:rPr>
          <w:lang w:val="en-US"/>
        </w:rPr>
        <w:t>For larger amounts of samples, this concept is obviously not applicable. Therefore, further proceedings have to be based on increased knowledge</w:t>
      </w:r>
      <w:r w:rsidR="00D24F5F" w:rsidRPr="0064541A">
        <w:rPr>
          <w:lang w:val="en-US"/>
        </w:rPr>
        <w:t xml:space="preserve"> about safety-relevant properties of the sample</w:t>
      </w:r>
      <w:r w:rsidRPr="0064541A">
        <w:rPr>
          <w:lang w:val="en-US"/>
        </w:rPr>
        <w:t>.</w:t>
      </w:r>
    </w:p>
    <w:p w14:paraId="0B53BEDA" w14:textId="25BB6A61" w:rsidR="00D156C1" w:rsidRPr="0064541A" w:rsidRDefault="00D156C1" w:rsidP="00D156C1">
      <w:pPr>
        <w:pStyle w:val="SingleTxtG"/>
        <w:numPr>
          <w:ilvl w:val="0"/>
          <w:numId w:val="45"/>
        </w:numPr>
        <w:tabs>
          <w:tab w:val="left" w:pos="1701"/>
        </w:tabs>
        <w:ind w:left="1134" w:firstLine="0"/>
        <w:rPr>
          <w:lang w:val="en-US"/>
        </w:rPr>
      </w:pPr>
      <w:r w:rsidRPr="0064541A">
        <w:rPr>
          <w:lang w:val="en-US"/>
        </w:rPr>
        <w:t xml:space="preserve">Generally, the decomposition energy and the onset of decomposition can be easily determined by DSC methods (see UN Test Manual, section 20.3.3.3). </w:t>
      </w:r>
      <w:r w:rsidR="00A70422" w:rsidRPr="00AC236C">
        <w:rPr>
          <w:lang w:val="en-US"/>
        </w:rPr>
        <w:t>This</w:t>
      </w:r>
      <w:r w:rsidRPr="00AC236C">
        <w:rPr>
          <w:lang w:val="en-US"/>
        </w:rPr>
        <w:t xml:space="preserve"> paper </w:t>
      </w:r>
      <w:r w:rsidR="00A70422" w:rsidRPr="00AC236C">
        <w:rPr>
          <w:lang w:val="en-US"/>
        </w:rPr>
        <w:t>describes</w:t>
      </w:r>
      <w:r w:rsidR="00A70422">
        <w:rPr>
          <w:lang w:val="en-US"/>
        </w:rPr>
        <w:t xml:space="preserve"> </w:t>
      </w:r>
      <w:r w:rsidRPr="0064541A">
        <w:rPr>
          <w:lang w:val="en-US"/>
        </w:rPr>
        <w:t xml:space="preserve">how this information may be used as the basis for a </w:t>
      </w:r>
      <w:r w:rsidR="004C0BB5" w:rsidRPr="0064541A">
        <w:rPr>
          <w:lang w:val="en-US"/>
        </w:rPr>
        <w:t>preliminary assessment of the samples.</w:t>
      </w:r>
    </w:p>
    <w:p w14:paraId="30540F64" w14:textId="2A6E6E60" w:rsidR="00D156C1" w:rsidRPr="0064541A" w:rsidRDefault="003C79AF" w:rsidP="003C79AF">
      <w:pPr>
        <w:pStyle w:val="H1G"/>
        <w:rPr>
          <w:lang w:val="en-US"/>
        </w:rPr>
      </w:pPr>
      <w:r>
        <w:rPr>
          <w:lang w:val="en-US"/>
        </w:rPr>
        <w:tab/>
      </w:r>
      <w:r>
        <w:rPr>
          <w:lang w:val="en-US"/>
        </w:rPr>
        <w:tab/>
      </w:r>
      <w:r w:rsidR="007F2B84" w:rsidRPr="0064541A">
        <w:rPr>
          <w:lang w:val="en-US"/>
        </w:rPr>
        <w:t>Decomposition energy</w:t>
      </w:r>
    </w:p>
    <w:p w14:paraId="23DF3CA8" w14:textId="3380A4AB" w:rsidR="00D156C1" w:rsidRPr="0064541A" w:rsidRDefault="004C0BB5" w:rsidP="004C0BB5">
      <w:pPr>
        <w:pStyle w:val="SingleTxtG"/>
        <w:numPr>
          <w:ilvl w:val="0"/>
          <w:numId w:val="45"/>
        </w:numPr>
        <w:tabs>
          <w:tab w:val="left" w:pos="1701"/>
        </w:tabs>
        <w:ind w:left="1134" w:firstLine="0"/>
        <w:rPr>
          <w:lang w:val="en-US"/>
        </w:rPr>
      </w:pPr>
      <w:r w:rsidRPr="0064541A">
        <w:rPr>
          <w:lang w:val="en-US"/>
        </w:rPr>
        <w:t xml:space="preserve">A representative set of samples </w:t>
      </w:r>
      <w:r w:rsidR="004651DA" w:rsidRPr="0064541A">
        <w:rPr>
          <w:lang w:val="en-US"/>
        </w:rPr>
        <w:t xml:space="preserve">(369 substances) </w:t>
      </w:r>
      <w:r w:rsidRPr="0064541A">
        <w:rPr>
          <w:lang w:val="en-US"/>
        </w:rPr>
        <w:t xml:space="preserve">was investigated with respect to their </w:t>
      </w:r>
      <w:r w:rsidR="007F2B84" w:rsidRPr="0064541A">
        <w:rPr>
          <w:lang w:val="en-US"/>
        </w:rPr>
        <w:t>decomposition energy</w:t>
      </w:r>
      <w:r w:rsidRPr="0064541A">
        <w:rPr>
          <w:lang w:val="en-US"/>
        </w:rPr>
        <w:t xml:space="preserve">. For this purpose, screening DSCs were measured at heating rates of 3-5 K/min in agreement with the </w:t>
      </w:r>
      <w:r w:rsidR="003C79AF">
        <w:rPr>
          <w:lang w:val="en-US"/>
        </w:rPr>
        <w:t>requirements lined out in the</w:t>
      </w:r>
      <w:r w:rsidRPr="0064541A">
        <w:rPr>
          <w:lang w:val="en-US"/>
        </w:rPr>
        <w:t xml:space="preserve"> Manual of Tests and Criteria, section 20.3.3.3. </w:t>
      </w:r>
    </w:p>
    <w:p w14:paraId="4626BDE4" w14:textId="77777777" w:rsidR="00D156C1" w:rsidRPr="0064541A" w:rsidRDefault="004651DA" w:rsidP="004C0BB5">
      <w:pPr>
        <w:pStyle w:val="SingleTxtG"/>
        <w:numPr>
          <w:ilvl w:val="0"/>
          <w:numId w:val="45"/>
        </w:numPr>
        <w:tabs>
          <w:tab w:val="left" w:pos="1701"/>
        </w:tabs>
        <w:ind w:left="1134" w:firstLine="0"/>
        <w:rPr>
          <w:lang w:val="en-US"/>
        </w:rPr>
      </w:pPr>
      <w:r w:rsidRPr="0064541A">
        <w:rPr>
          <w:lang w:val="en-US"/>
        </w:rPr>
        <w:t xml:space="preserve">For comparison, literature data for known explosives were compiled (J. Köhler, R. Meyer, Explosivstoffe, </w:t>
      </w:r>
      <w:r w:rsidR="004E56B5" w:rsidRPr="0064541A">
        <w:rPr>
          <w:lang w:val="en-US"/>
        </w:rPr>
        <w:t>Wiley-VCH)</w:t>
      </w:r>
      <w:r w:rsidR="006226AC" w:rsidRPr="0064541A">
        <w:rPr>
          <w:lang w:val="en-US"/>
        </w:rPr>
        <w:t>. The results are shown in figure 1:</w:t>
      </w:r>
    </w:p>
    <w:p w14:paraId="574FAAE5" w14:textId="77777777" w:rsidR="006226AC" w:rsidRPr="0064541A" w:rsidRDefault="00F96C1D" w:rsidP="006226AC">
      <w:pPr>
        <w:pStyle w:val="SingleTxtG"/>
        <w:keepNext/>
        <w:tabs>
          <w:tab w:val="left" w:pos="1701"/>
        </w:tabs>
        <w:rPr>
          <w:lang w:val="en-US"/>
        </w:rPr>
      </w:pPr>
      <w:r>
        <w:rPr>
          <w:noProof/>
          <w:lang w:val="en-US"/>
        </w:rPr>
        <w:drawing>
          <wp:inline distT="0" distB="0" distL="0" distR="0" wp14:anchorId="6E78D727" wp14:editId="2CE2F791">
            <wp:extent cx="4717324" cy="2726075"/>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4214" cy="2741614"/>
                    </a:xfrm>
                    <a:prstGeom prst="rect">
                      <a:avLst/>
                    </a:prstGeom>
                    <a:noFill/>
                  </pic:spPr>
                </pic:pic>
              </a:graphicData>
            </a:graphic>
          </wp:inline>
        </w:drawing>
      </w:r>
    </w:p>
    <w:p w14:paraId="265BEF94" w14:textId="77777777" w:rsidR="006226AC" w:rsidRPr="003C79AF" w:rsidRDefault="006226AC" w:rsidP="006226AC">
      <w:pPr>
        <w:pStyle w:val="Caption"/>
        <w:ind w:left="567" w:firstLine="1134"/>
        <w:jc w:val="both"/>
        <w:rPr>
          <w:color w:val="auto"/>
          <w:sz w:val="20"/>
          <w:szCs w:val="20"/>
          <w:lang w:val="en-US"/>
        </w:rPr>
      </w:pPr>
      <w:r w:rsidRPr="003C79AF">
        <w:rPr>
          <w:color w:val="auto"/>
          <w:sz w:val="20"/>
          <w:szCs w:val="20"/>
          <w:lang w:val="en-US"/>
        </w:rPr>
        <w:t xml:space="preserve">Figure </w:t>
      </w:r>
      <w:r w:rsidR="00640963" w:rsidRPr="003C79AF">
        <w:rPr>
          <w:color w:val="auto"/>
          <w:sz w:val="20"/>
          <w:szCs w:val="20"/>
          <w:lang w:val="en-US"/>
        </w:rPr>
        <w:fldChar w:fldCharType="begin"/>
      </w:r>
      <w:r w:rsidR="00640963" w:rsidRPr="003C79AF">
        <w:rPr>
          <w:color w:val="auto"/>
          <w:sz w:val="20"/>
          <w:szCs w:val="20"/>
          <w:lang w:val="en-US"/>
        </w:rPr>
        <w:instrText xml:space="preserve"> SEQ Figure \* ARABIC </w:instrText>
      </w:r>
      <w:r w:rsidR="00640963" w:rsidRPr="003C79AF">
        <w:rPr>
          <w:color w:val="auto"/>
          <w:sz w:val="20"/>
          <w:szCs w:val="20"/>
          <w:lang w:val="en-US"/>
        </w:rPr>
        <w:fldChar w:fldCharType="separate"/>
      </w:r>
      <w:r w:rsidR="00F203A8">
        <w:rPr>
          <w:noProof/>
          <w:color w:val="auto"/>
          <w:sz w:val="20"/>
          <w:szCs w:val="20"/>
          <w:lang w:val="en-US"/>
        </w:rPr>
        <w:t>1</w:t>
      </w:r>
      <w:r w:rsidR="00640963" w:rsidRPr="003C79AF">
        <w:rPr>
          <w:color w:val="auto"/>
          <w:sz w:val="20"/>
          <w:szCs w:val="20"/>
          <w:lang w:val="en-US"/>
        </w:rPr>
        <w:fldChar w:fldCharType="end"/>
      </w:r>
      <w:r w:rsidRPr="003C79AF">
        <w:rPr>
          <w:color w:val="auto"/>
          <w:sz w:val="20"/>
          <w:szCs w:val="20"/>
          <w:lang w:val="en-US"/>
        </w:rPr>
        <w:t>: Decomposition of energetic samples vs. known explosives</w:t>
      </w:r>
    </w:p>
    <w:p w14:paraId="3002D92F" w14:textId="7C34A9B9" w:rsidR="006226AC" w:rsidRPr="0064541A" w:rsidRDefault="006226AC" w:rsidP="004C0BB5">
      <w:pPr>
        <w:pStyle w:val="SingleTxtG"/>
        <w:numPr>
          <w:ilvl w:val="0"/>
          <w:numId w:val="45"/>
        </w:numPr>
        <w:tabs>
          <w:tab w:val="left" w:pos="1701"/>
        </w:tabs>
        <w:ind w:left="1134" w:firstLine="0"/>
        <w:rPr>
          <w:lang w:val="en-US"/>
        </w:rPr>
      </w:pPr>
      <w:r w:rsidRPr="0064541A">
        <w:rPr>
          <w:lang w:val="en-US"/>
        </w:rPr>
        <w:t>Evidently, the energetic samples form a group of lower decomposition energ</w:t>
      </w:r>
      <w:r w:rsidR="007F2B84" w:rsidRPr="0064541A">
        <w:rPr>
          <w:lang w:val="en-US"/>
        </w:rPr>
        <w:t>ies</w:t>
      </w:r>
      <w:r w:rsidRPr="0064541A">
        <w:rPr>
          <w:lang w:val="en-US"/>
        </w:rPr>
        <w:t xml:space="preserve"> clearly separated from the explosives with much higher energies. Their energy distribution is well coherent with the re</w:t>
      </w:r>
      <w:r w:rsidR="004A207B">
        <w:rPr>
          <w:lang w:val="en-US"/>
        </w:rPr>
        <w:t xml:space="preserve">alm of self-reactive </w:t>
      </w:r>
      <w:r w:rsidR="004A207B" w:rsidRPr="00AC236C">
        <w:rPr>
          <w:lang w:val="en-US"/>
        </w:rPr>
        <w:t>substance</w:t>
      </w:r>
      <w:r w:rsidR="00AC236C" w:rsidRPr="00AC236C">
        <w:rPr>
          <w:lang w:val="en-US"/>
        </w:rPr>
        <w:t>s</w:t>
      </w:r>
      <w:r w:rsidR="00700730" w:rsidRPr="00AC236C">
        <w:rPr>
          <w:lang w:val="en-US"/>
        </w:rPr>
        <w:t xml:space="preserve">, </w:t>
      </w:r>
      <w:r w:rsidRPr="00AC236C">
        <w:rPr>
          <w:lang w:val="en-US"/>
        </w:rPr>
        <w:t>which</w:t>
      </w:r>
      <w:r w:rsidRPr="0064541A">
        <w:rPr>
          <w:lang w:val="en-US"/>
        </w:rPr>
        <w:t xml:space="preserve"> justifies their treatment under this entry.</w:t>
      </w:r>
      <w:r w:rsidR="00F96C1D">
        <w:rPr>
          <w:lang w:val="en-US"/>
        </w:rPr>
        <w:t xml:space="preserve"> Except for one substance (lead azide, 1480 J/g), no known explosive could be identified with a decomposition energy </w:t>
      </w:r>
      <w:r w:rsidR="005624AA">
        <w:rPr>
          <w:lang w:val="en-US"/>
        </w:rPr>
        <w:t>&lt;</w:t>
      </w:r>
      <w:r w:rsidR="00F96C1D">
        <w:rPr>
          <w:lang w:val="en-US"/>
        </w:rPr>
        <w:t>1500 J/g.</w:t>
      </w:r>
    </w:p>
    <w:p w14:paraId="7852A06F" w14:textId="77777777" w:rsidR="001D6BE5" w:rsidRPr="0064541A" w:rsidRDefault="00AC759B" w:rsidP="004C0BB5">
      <w:pPr>
        <w:pStyle w:val="SingleTxtG"/>
        <w:numPr>
          <w:ilvl w:val="0"/>
          <w:numId w:val="45"/>
        </w:numPr>
        <w:tabs>
          <w:tab w:val="left" w:pos="1701"/>
        </w:tabs>
        <w:ind w:left="1134" w:firstLine="0"/>
        <w:rPr>
          <w:lang w:val="en-US"/>
        </w:rPr>
      </w:pPr>
      <w:r w:rsidRPr="00C45AA8">
        <w:rPr>
          <w:lang w:val="en-US"/>
        </w:rPr>
        <w:t>The large majority of</w:t>
      </w:r>
      <w:r w:rsidR="00910348">
        <w:rPr>
          <w:lang w:val="en-US"/>
        </w:rPr>
        <w:t xml:space="preserve"> </w:t>
      </w:r>
      <w:r>
        <w:rPr>
          <w:lang w:val="en-US"/>
        </w:rPr>
        <w:t xml:space="preserve">known </w:t>
      </w:r>
      <w:r w:rsidR="00910348">
        <w:rPr>
          <w:lang w:val="en-US"/>
        </w:rPr>
        <w:t xml:space="preserve">explosives have a decomposition energy of 2500 J/g or more. Samples </w:t>
      </w:r>
      <w:r w:rsidR="00C45AA8">
        <w:rPr>
          <w:lang w:val="en-US"/>
        </w:rPr>
        <w:t xml:space="preserve">exhibiting such </w:t>
      </w:r>
      <w:r w:rsidR="00910348">
        <w:rPr>
          <w:lang w:val="en-US"/>
        </w:rPr>
        <w:t>energ</w:t>
      </w:r>
      <w:r w:rsidR="00C45AA8">
        <w:rPr>
          <w:lang w:val="en-US"/>
        </w:rPr>
        <w:t>ies</w:t>
      </w:r>
      <w:r w:rsidR="00910348">
        <w:rPr>
          <w:lang w:val="en-US"/>
        </w:rPr>
        <w:t xml:space="preserve"> have a</w:t>
      </w:r>
      <w:r w:rsidR="00C45AA8">
        <w:rPr>
          <w:lang w:val="en-US"/>
        </w:rPr>
        <w:t>n increased</w:t>
      </w:r>
      <w:r w:rsidR="00910348">
        <w:rPr>
          <w:lang w:val="en-US"/>
        </w:rPr>
        <w:t xml:space="preserve"> chance of being</w:t>
      </w:r>
      <w:r w:rsidR="00C45AA8">
        <w:rPr>
          <w:lang w:val="en-US"/>
        </w:rPr>
        <w:t xml:space="preserve"> </w:t>
      </w:r>
      <w:r w:rsidR="00910348">
        <w:rPr>
          <w:lang w:val="en-US"/>
        </w:rPr>
        <w:t>an explosive substance, and would need closer inspection</w:t>
      </w:r>
      <w:r w:rsidR="00C45AA8">
        <w:rPr>
          <w:lang w:val="en-US"/>
        </w:rPr>
        <w:t xml:space="preserve"> </w:t>
      </w:r>
      <w:r w:rsidR="00910348">
        <w:rPr>
          <w:lang w:val="en-US"/>
        </w:rPr>
        <w:t xml:space="preserve">before transport. </w:t>
      </w:r>
    </w:p>
    <w:p w14:paraId="14E1C3A7" w14:textId="3DC432D4" w:rsidR="001D6BE5" w:rsidRPr="0064541A" w:rsidRDefault="001D6BE5" w:rsidP="003C79AF">
      <w:pPr>
        <w:pStyle w:val="SingleTxtG"/>
        <w:numPr>
          <w:ilvl w:val="0"/>
          <w:numId w:val="45"/>
        </w:numPr>
        <w:tabs>
          <w:tab w:val="left" w:pos="1701"/>
        </w:tabs>
        <w:spacing w:before="240"/>
        <w:ind w:left="1134" w:firstLine="0"/>
        <w:rPr>
          <w:lang w:val="en-US"/>
        </w:rPr>
      </w:pPr>
      <w:r w:rsidRPr="0064541A">
        <w:rPr>
          <w:lang w:val="en-US"/>
        </w:rPr>
        <w:lastRenderedPageBreak/>
        <w:t xml:space="preserve">The intermediate range of </w:t>
      </w:r>
      <w:r w:rsidR="005624AA">
        <w:rPr>
          <w:lang w:val="en-US"/>
        </w:rPr>
        <w:t xml:space="preserve">(roughly) </w:t>
      </w:r>
      <w:r w:rsidRPr="0064541A">
        <w:rPr>
          <w:lang w:val="en-US"/>
        </w:rPr>
        <w:t xml:space="preserve">1500 to 2500 J/g contains </w:t>
      </w:r>
      <w:r w:rsidR="00C45AA8" w:rsidRPr="0064541A">
        <w:rPr>
          <w:lang w:val="en-US"/>
        </w:rPr>
        <w:t xml:space="preserve">salts of </w:t>
      </w:r>
      <w:r w:rsidR="00C45AA8" w:rsidRPr="00AC236C">
        <w:rPr>
          <w:lang w:val="en-US"/>
        </w:rPr>
        <w:t>oxidizers</w:t>
      </w:r>
      <w:r w:rsidR="001B7DFB" w:rsidRPr="00AC236C">
        <w:rPr>
          <w:lang w:val="en-US"/>
        </w:rPr>
        <w:t>,</w:t>
      </w:r>
      <w:r w:rsidR="00C45AA8" w:rsidRPr="00AC236C">
        <w:rPr>
          <w:lang w:val="en-US"/>
        </w:rPr>
        <w:t xml:space="preserve"> such as ammonium perchlorate</w:t>
      </w:r>
      <w:r w:rsidR="001B7DFB" w:rsidRPr="00AC236C">
        <w:rPr>
          <w:lang w:val="en-US"/>
        </w:rPr>
        <w:t>,</w:t>
      </w:r>
      <w:r w:rsidR="00C45AA8" w:rsidRPr="0064541A">
        <w:rPr>
          <w:lang w:val="en-US"/>
        </w:rPr>
        <w:t xml:space="preserve"> </w:t>
      </w:r>
      <w:r w:rsidR="00C45AA8">
        <w:rPr>
          <w:lang w:val="en-US"/>
        </w:rPr>
        <w:t xml:space="preserve">and </w:t>
      </w:r>
      <w:r w:rsidRPr="0064541A">
        <w:rPr>
          <w:lang w:val="en-US"/>
        </w:rPr>
        <w:t>initiators like lead azide</w:t>
      </w:r>
      <w:r w:rsidR="00C45AA8">
        <w:rPr>
          <w:lang w:val="en-US"/>
        </w:rPr>
        <w:t xml:space="preserve"> and</w:t>
      </w:r>
      <w:r w:rsidR="00AC759B">
        <w:rPr>
          <w:lang w:val="en-US"/>
        </w:rPr>
        <w:t xml:space="preserve"> </w:t>
      </w:r>
      <w:r w:rsidRPr="0064541A">
        <w:rPr>
          <w:lang w:val="en-US"/>
        </w:rPr>
        <w:t xml:space="preserve">lead trinitroresorcinate. The first group of substances </w:t>
      </w:r>
      <w:r w:rsidR="00C45AA8" w:rsidRPr="0064541A">
        <w:rPr>
          <w:lang w:val="en-US"/>
        </w:rPr>
        <w:t>has been already excluded from the energetic samples by 2.0.4.3.1 (b)</w:t>
      </w:r>
      <w:r w:rsidR="00C45AA8">
        <w:rPr>
          <w:lang w:val="en-US"/>
        </w:rPr>
        <w:t xml:space="preserve"> </w:t>
      </w:r>
      <w:r w:rsidR="00C45AA8" w:rsidRPr="00C45AA8">
        <w:rPr>
          <w:lang w:val="en-US"/>
        </w:rPr>
        <w:t xml:space="preserve">whereas the second type of substances </w:t>
      </w:r>
      <w:r w:rsidRPr="0064541A">
        <w:rPr>
          <w:lang w:val="en-US"/>
        </w:rPr>
        <w:t>can be easily identified by their mechanical sensitivity (tests UN 3(a) and 3 (b) of the UN Manual</w:t>
      </w:r>
      <w:r w:rsidR="00E77244" w:rsidRPr="0064541A">
        <w:rPr>
          <w:lang w:val="en-US"/>
        </w:rPr>
        <w:t xml:space="preserve"> of Tests and Criteria</w:t>
      </w:r>
      <w:r w:rsidRPr="0064541A">
        <w:rPr>
          <w:lang w:val="en-US"/>
        </w:rPr>
        <w:t>).</w:t>
      </w:r>
    </w:p>
    <w:p w14:paraId="341BA4ED" w14:textId="77777777" w:rsidR="00E77244" w:rsidRPr="0064541A" w:rsidRDefault="00E77244" w:rsidP="004C0BB5">
      <w:pPr>
        <w:pStyle w:val="SingleTxtG"/>
        <w:numPr>
          <w:ilvl w:val="0"/>
          <w:numId w:val="45"/>
        </w:numPr>
        <w:tabs>
          <w:tab w:val="left" w:pos="1701"/>
        </w:tabs>
        <w:ind w:left="1134" w:firstLine="0"/>
        <w:rPr>
          <w:lang w:val="en-US"/>
        </w:rPr>
      </w:pPr>
      <w:r w:rsidRPr="0064541A">
        <w:rPr>
          <w:lang w:val="en-US"/>
        </w:rPr>
        <w:t xml:space="preserve">Therefore, it </w:t>
      </w:r>
      <w:r w:rsidR="007F2B84" w:rsidRPr="0064541A">
        <w:rPr>
          <w:lang w:val="en-US"/>
        </w:rPr>
        <w:t>appears</w:t>
      </w:r>
      <w:r w:rsidRPr="0064541A">
        <w:rPr>
          <w:lang w:val="en-US"/>
        </w:rPr>
        <w:t xml:space="preserve"> justified to allow the transport of energetic samples as self-reactive substances Type C under the provisions of 2.4.2.3.2.4 (b) depending on their energy content as follows:</w:t>
      </w:r>
    </w:p>
    <w:p w14:paraId="2392E7F9" w14:textId="77777777" w:rsidR="00E77244" w:rsidRPr="0064541A" w:rsidRDefault="005E6DAB" w:rsidP="005E6DAB">
      <w:pPr>
        <w:pStyle w:val="SingleTxtG"/>
        <w:tabs>
          <w:tab w:val="right" w:pos="2835"/>
          <w:tab w:val="left" w:pos="2977"/>
        </w:tabs>
        <w:rPr>
          <w:lang w:val="en-US"/>
        </w:rPr>
      </w:pPr>
      <w:r w:rsidRPr="0064541A">
        <w:rPr>
          <w:lang w:val="en-US"/>
        </w:rPr>
        <w:tab/>
      </w:r>
      <w:r w:rsidR="00E77244" w:rsidRPr="0064541A">
        <w:rPr>
          <w:lang w:val="en-US"/>
        </w:rPr>
        <w:t xml:space="preserve">&lt; 1500 J/g: </w:t>
      </w:r>
      <w:r w:rsidR="00E77244" w:rsidRPr="0064541A">
        <w:rPr>
          <w:lang w:val="en-US"/>
        </w:rPr>
        <w:tab/>
        <w:t>No further testing required</w:t>
      </w:r>
    </w:p>
    <w:p w14:paraId="55DA070F" w14:textId="77777777" w:rsidR="00E77244" w:rsidRPr="0064541A" w:rsidRDefault="005E6DAB" w:rsidP="005E6DAB">
      <w:pPr>
        <w:pStyle w:val="SingleTxtG"/>
        <w:tabs>
          <w:tab w:val="right" w:pos="2835"/>
          <w:tab w:val="left" w:pos="2977"/>
        </w:tabs>
        <w:rPr>
          <w:lang w:val="en-US"/>
        </w:rPr>
      </w:pPr>
      <w:r w:rsidRPr="0064541A">
        <w:rPr>
          <w:lang w:val="en-US"/>
        </w:rPr>
        <w:tab/>
        <w:t xml:space="preserve">≥ </w:t>
      </w:r>
      <w:r w:rsidR="00E77244" w:rsidRPr="0064541A">
        <w:rPr>
          <w:lang w:val="en-US"/>
        </w:rPr>
        <w:t xml:space="preserve">1500 … &lt; 2500 J/g: </w:t>
      </w:r>
      <w:r w:rsidR="00E77244" w:rsidRPr="0064541A">
        <w:rPr>
          <w:lang w:val="en-US"/>
        </w:rPr>
        <w:tab/>
        <w:t xml:space="preserve">Tests for mechanical sensitivity (UN 3 (a) + 3 (b), </w:t>
      </w:r>
      <w:r w:rsidRPr="0064541A">
        <w:rPr>
          <w:lang w:val="en-US"/>
        </w:rPr>
        <w:t xml:space="preserve">outcome </w:t>
      </w:r>
      <w:r w:rsidR="00E77244" w:rsidRPr="0064541A">
        <w:rPr>
          <w:lang w:val="en-US"/>
        </w:rPr>
        <w:t>both</w:t>
      </w:r>
      <w:r w:rsidRPr="0064541A">
        <w:rPr>
          <w:lang w:val="en-US"/>
        </w:rPr>
        <w:t xml:space="preserve"> “-“</w:t>
      </w:r>
      <w:r w:rsidR="00E77244" w:rsidRPr="0064541A">
        <w:rPr>
          <w:lang w:val="en-US"/>
        </w:rPr>
        <w:t>)</w:t>
      </w:r>
    </w:p>
    <w:p w14:paraId="284DAEDB" w14:textId="77777777" w:rsidR="00E77244" w:rsidRPr="0064541A" w:rsidRDefault="005E6DAB" w:rsidP="005E6DAB">
      <w:pPr>
        <w:pStyle w:val="SingleTxtG"/>
        <w:tabs>
          <w:tab w:val="right" w:pos="2835"/>
          <w:tab w:val="left" w:pos="2977"/>
        </w:tabs>
        <w:rPr>
          <w:lang w:val="en-US"/>
        </w:rPr>
      </w:pPr>
      <w:r w:rsidRPr="0064541A">
        <w:rPr>
          <w:lang w:val="en-US"/>
        </w:rPr>
        <w:tab/>
      </w:r>
      <w:r w:rsidR="00E77244" w:rsidRPr="0064541A">
        <w:rPr>
          <w:lang w:val="en-US"/>
        </w:rPr>
        <w:t xml:space="preserve">≥ 2500 J/g: </w:t>
      </w:r>
      <w:r w:rsidR="00E77244" w:rsidRPr="0064541A">
        <w:rPr>
          <w:lang w:val="en-US"/>
        </w:rPr>
        <w:tab/>
        <w:t xml:space="preserve">Additional testing required; suggested: </w:t>
      </w:r>
      <w:r w:rsidR="00741DCE" w:rsidRPr="0064541A">
        <w:rPr>
          <w:lang w:val="en-US"/>
        </w:rPr>
        <w:t xml:space="preserve">1 </w:t>
      </w:r>
      <w:r w:rsidR="00E77244" w:rsidRPr="0064541A">
        <w:rPr>
          <w:lang w:val="en-US"/>
        </w:rPr>
        <w:t xml:space="preserve">Koenen </w:t>
      </w:r>
      <w:r w:rsidR="00741DCE" w:rsidRPr="0064541A">
        <w:rPr>
          <w:lang w:val="en-US"/>
        </w:rPr>
        <w:t xml:space="preserve">test </w:t>
      </w:r>
      <w:r w:rsidR="00E77244" w:rsidRPr="0064541A">
        <w:rPr>
          <w:lang w:val="en-US"/>
        </w:rPr>
        <w:t xml:space="preserve">(UN E.1, not </w:t>
      </w:r>
      <w:r w:rsidRPr="0064541A">
        <w:rPr>
          <w:lang w:val="en-US"/>
        </w:rPr>
        <w:tab/>
      </w:r>
      <w:r w:rsidRPr="0064541A">
        <w:rPr>
          <w:lang w:val="en-US"/>
        </w:rPr>
        <w:tab/>
      </w:r>
      <w:r w:rsidR="00E77244" w:rsidRPr="0064541A">
        <w:rPr>
          <w:lang w:val="en-US"/>
        </w:rPr>
        <w:t xml:space="preserve">violent) AND </w:t>
      </w:r>
      <w:r w:rsidR="00741DCE" w:rsidRPr="0064541A">
        <w:rPr>
          <w:lang w:val="en-US"/>
        </w:rPr>
        <w:t xml:space="preserve">1 </w:t>
      </w:r>
      <w:r w:rsidR="00E77244" w:rsidRPr="0064541A">
        <w:rPr>
          <w:lang w:val="en-US"/>
        </w:rPr>
        <w:t xml:space="preserve">Trauzl </w:t>
      </w:r>
      <w:r w:rsidR="00741DCE" w:rsidRPr="0064541A">
        <w:rPr>
          <w:lang w:val="en-US"/>
        </w:rPr>
        <w:t xml:space="preserve">test </w:t>
      </w:r>
      <w:r w:rsidR="00E77244" w:rsidRPr="0064541A">
        <w:rPr>
          <w:lang w:val="en-US"/>
        </w:rPr>
        <w:t>(UN F.3, outcome “no” or “low”).</w:t>
      </w:r>
    </w:p>
    <w:p w14:paraId="4739CA52" w14:textId="77777777" w:rsidR="00E77244" w:rsidRPr="0064541A" w:rsidRDefault="000764E5" w:rsidP="004C0BB5">
      <w:pPr>
        <w:pStyle w:val="SingleTxtG"/>
        <w:numPr>
          <w:ilvl w:val="0"/>
          <w:numId w:val="45"/>
        </w:numPr>
        <w:tabs>
          <w:tab w:val="left" w:pos="1701"/>
        </w:tabs>
        <w:ind w:left="1134" w:firstLine="0"/>
        <w:rPr>
          <w:lang w:val="en-US"/>
        </w:rPr>
      </w:pPr>
      <w:r w:rsidRPr="0064541A">
        <w:rPr>
          <w:lang w:val="en-US"/>
        </w:rPr>
        <w:t>Based on these considerations, a tentative flowchart incorporating already existing provisions has been drafted (see figure 2).</w:t>
      </w:r>
    </w:p>
    <w:p w14:paraId="0F137F90" w14:textId="77777777" w:rsidR="00E85016" w:rsidRPr="0064541A" w:rsidRDefault="00E85016" w:rsidP="004C0BB5">
      <w:pPr>
        <w:pStyle w:val="SingleTxtG"/>
        <w:numPr>
          <w:ilvl w:val="0"/>
          <w:numId w:val="45"/>
        </w:numPr>
        <w:tabs>
          <w:tab w:val="left" w:pos="1701"/>
        </w:tabs>
        <w:ind w:left="1134" w:firstLine="0"/>
        <w:rPr>
          <w:lang w:val="en-US"/>
        </w:rPr>
      </w:pPr>
      <w:r w:rsidRPr="0064541A">
        <w:rPr>
          <w:lang w:val="en-US"/>
        </w:rPr>
        <w:t>Boxes 1 through 9, 11 and 12 refer to already existing provisions.</w:t>
      </w:r>
    </w:p>
    <w:p w14:paraId="7A116DA2" w14:textId="77777777" w:rsidR="002D75AB" w:rsidRPr="0064541A" w:rsidRDefault="002D75AB" w:rsidP="004C0BB5">
      <w:pPr>
        <w:pStyle w:val="SingleTxtG"/>
        <w:numPr>
          <w:ilvl w:val="0"/>
          <w:numId w:val="45"/>
        </w:numPr>
        <w:tabs>
          <w:tab w:val="left" w:pos="1701"/>
        </w:tabs>
        <w:ind w:left="1134" w:firstLine="0"/>
        <w:rPr>
          <w:lang w:val="en-US"/>
        </w:rPr>
      </w:pPr>
      <w:r w:rsidRPr="0064541A">
        <w:rPr>
          <w:lang w:val="en-US"/>
        </w:rPr>
        <w:t xml:space="preserve">Box 10 would be </w:t>
      </w:r>
      <w:r w:rsidR="00635DFD" w:rsidRPr="0064541A">
        <w:rPr>
          <w:lang w:val="en-US"/>
        </w:rPr>
        <w:t xml:space="preserve">new </w:t>
      </w:r>
      <w:r w:rsidR="00236EFA" w:rsidRPr="0064541A">
        <w:rPr>
          <w:lang w:val="en-US"/>
        </w:rPr>
        <w:t>text</w:t>
      </w:r>
      <w:r w:rsidRPr="0064541A">
        <w:rPr>
          <w:lang w:val="en-US"/>
        </w:rPr>
        <w:t xml:space="preserve"> requiring </w:t>
      </w:r>
      <w:r w:rsidR="00FB520A">
        <w:rPr>
          <w:lang w:val="en-US"/>
        </w:rPr>
        <w:t>the determination of</w:t>
      </w:r>
      <w:r w:rsidRPr="0064541A">
        <w:rPr>
          <w:lang w:val="en-US"/>
        </w:rPr>
        <w:t xml:space="preserve"> the decomposition behavior (energy and onset) of the sample.</w:t>
      </w:r>
    </w:p>
    <w:p w14:paraId="09A7D425" w14:textId="77777777" w:rsidR="002D75AB" w:rsidRPr="0064541A" w:rsidRDefault="002D75AB" w:rsidP="003C79AF">
      <w:pPr>
        <w:pStyle w:val="SingleTxtG"/>
        <w:numPr>
          <w:ilvl w:val="0"/>
          <w:numId w:val="45"/>
        </w:numPr>
        <w:tabs>
          <w:tab w:val="left" w:pos="1843"/>
        </w:tabs>
        <w:ind w:left="1701" w:hanging="567"/>
        <w:rPr>
          <w:lang w:val="en-US"/>
        </w:rPr>
      </w:pPr>
      <w:r w:rsidRPr="0064541A">
        <w:rPr>
          <w:lang w:val="en-US"/>
        </w:rPr>
        <w:t xml:space="preserve">Box 11 identifies low-energy samples </w:t>
      </w:r>
      <w:r w:rsidR="00FB520A">
        <w:rPr>
          <w:lang w:val="en-US"/>
        </w:rPr>
        <w:t>that</w:t>
      </w:r>
    </w:p>
    <w:p w14:paraId="06823F53" w14:textId="38FE4522" w:rsidR="002D75AB" w:rsidRPr="0064541A" w:rsidRDefault="003C79AF" w:rsidP="003C79AF">
      <w:pPr>
        <w:pStyle w:val="SingleTxtG"/>
        <w:ind w:firstLine="560"/>
        <w:rPr>
          <w:lang w:val="en-US"/>
        </w:rPr>
      </w:pPr>
      <w:r>
        <w:rPr>
          <w:lang w:val="en-US"/>
        </w:rPr>
        <w:t>(a)</w:t>
      </w:r>
      <w:r>
        <w:rPr>
          <w:lang w:val="en-US"/>
        </w:rPr>
        <w:tab/>
      </w:r>
      <w:r w:rsidR="00FB520A">
        <w:rPr>
          <w:lang w:val="en-US"/>
        </w:rPr>
        <w:t>a</w:t>
      </w:r>
      <w:r w:rsidR="002D75AB" w:rsidRPr="0064541A">
        <w:rPr>
          <w:lang w:val="en-US"/>
        </w:rPr>
        <w:t>re no</w:t>
      </w:r>
      <w:r w:rsidR="00FB520A">
        <w:rPr>
          <w:lang w:val="en-US"/>
        </w:rPr>
        <w:t>t</w:t>
      </w:r>
      <w:r w:rsidR="002D75AB" w:rsidRPr="0064541A">
        <w:rPr>
          <w:lang w:val="en-US"/>
        </w:rPr>
        <w:t xml:space="preserve"> candidates for self-reactive substances due to their thermal stability, </w:t>
      </w:r>
      <w:r>
        <w:rPr>
          <w:lang w:val="en-US"/>
        </w:rPr>
        <w:tab/>
      </w:r>
      <w:r>
        <w:rPr>
          <w:lang w:val="en-US"/>
        </w:rPr>
        <w:tab/>
      </w:r>
      <w:r w:rsidR="002D75AB" w:rsidRPr="0064541A">
        <w:rPr>
          <w:lang w:val="en-US"/>
        </w:rPr>
        <w:t>and</w:t>
      </w:r>
    </w:p>
    <w:p w14:paraId="4DC40940" w14:textId="77E6945C" w:rsidR="002D75AB" w:rsidRPr="0064541A" w:rsidRDefault="003C79AF" w:rsidP="003C79AF">
      <w:pPr>
        <w:pStyle w:val="SingleTxtG"/>
        <w:ind w:firstLine="560"/>
        <w:rPr>
          <w:lang w:val="en-US"/>
        </w:rPr>
      </w:pPr>
      <w:r>
        <w:rPr>
          <w:lang w:val="en-US"/>
        </w:rPr>
        <w:t>(b)</w:t>
      </w:r>
      <w:r>
        <w:rPr>
          <w:lang w:val="en-US"/>
        </w:rPr>
        <w:tab/>
      </w:r>
      <w:r w:rsidR="00FB520A">
        <w:rPr>
          <w:lang w:val="en-US"/>
        </w:rPr>
        <w:t>d</w:t>
      </w:r>
      <w:r w:rsidR="002D75AB" w:rsidRPr="0064541A">
        <w:rPr>
          <w:lang w:val="en-US"/>
        </w:rPr>
        <w:t xml:space="preserve">o not require the Class 1 acceptance procedure based on the criteria outlined </w:t>
      </w:r>
      <w:r>
        <w:rPr>
          <w:lang w:val="en-US"/>
        </w:rPr>
        <w:tab/>
      </w:r>
      <w:r>
        <w:rPr>
          <w:lang w:val="en-US"/>
        </w:rPr>
        <w:tab/>
      </w:r>
      <w:r w:rsidR="002D75AB" w:rsidRPr="0064541A">
        <w:rPr>
          <w:lang w:val="en-US"/>
        </w:rPr>
        <w:t xml:space="preserve">in table 6.2 of Annex 6 of the UN Manual of </w:t>
      </w:r>
      <w:r w:rsidR="00D24F5F" w:rsidRPr="0064541A">
        <w:rPr>
          <w:lang w:val="en-US"/>
        </w:rPr>
        <w:t>T</w:t>
      </w:r>
      <w:r w:rsidR="002D75AB" w:rsidRPr="0064541A">
        <w:rPr>
          <w:lang w:val="en-US"/>
        </w:rPr>
        <w:t>ests and Criteria.</w:t>
      </w:r>
    </w:p>
    <w:p w14:paraId="74A3BBA1" w14:textId="0DAEEB97" w:rsidR="00236EFA" w:rsidRPr="0064541A" w:rsidRDefault="003C79AF" w:rsidP="003C79AF">
      <w:pPr>
        <w:pStyle w:val="SingleTxtG"/>
        <w:rPr>
          <w:lang w:val="en-US"/>
        </w:rPr>
      </w:pPr>
      <w:r>
        <w:rPr>
          <w:lang w:val="en-US"/>
        </w:rPr>
        <w:t>23.</w:t>
      </w:r>
      <w:r>
        <w:rPr>
          <w:lang w:val="en-US"/>
        </w:rPr>
        <w:tab/>
      </w:r>
      <w:r w:rsidR="00236EFA" w:rsidRPr="0064541A">
        <w:rPr>
          <w:lang w:val="en-US"/>
        </w:rPr>
        <w:t xml:space="preserve">Boxes 14 to 21 establish </w:t>
      </w:r>
      <w:r w:rsidR="00236EFA" w:rsidRPr="003C79AF">
        <w:t>the</w:t>
      </w:r>
      <w:r w:rsidR="00236EFA" w:rsidRPr="0064541A">
        <w:rPr>
          <w:lang w:val="en-US"/>
        </w:rPr>
        <w:t xml:space="preserve"> criteria suggested in section 18 above.</w:t>
      </w:r>
    </w:p>
    <w:p w14:paraId="48621875" w14:textId="0A90C937" w:rsidR="00740324" w:rsidRPr="00752810" w:rsidRDefault="003C79AF" w:rsidP="00F841E1">
      <w:pPr>
        <w:pStyle w:val="SingleTxtG"/>
        <w:tabs>
          <w:tab w:val="left" w:pos="1843"/>
        </w:tabs>
        <w:ind w:left="1120"/>
        <w:rPr>
          <w:lang w:val="en-US"/>
        </w:rPr>
      </w:pPr>
      <w:r>
        <w:rPr>
          <w:lang w:val="en-US"/>
        </w:rPr>
        <w:t>24.</w:t>
      </w:r>
      <w:r>
        <w:rPr>
          <w:lang w:val="en-US"/>
        </w:rPr>
        <w:tab/>
      </w:r>
      <w:r w:rsidR="00741DCE" w:rsidRPr="00752810">
        <w:rPr>
          <w:lang w:val="en-US"/>
        </w:rPr>
        <w:t xml:space="preserve">The flowchart as presented would greatly contribute to a comprehensive solution for the transport of energetic samples; the provisions are clear, practical and </w:t>
      </w:r>
      <w:r w:rsidR="00FB520A" w:rsidRPr="00752810">
        <w:rPr>
          <w:lang w:val="en-US"/>
        </w:rPr>
        <w:t>generally applicable</w:t>
      </w:r>
      <w:r w:rsidR="00741DCE" w:rsidRPr="00752810">
        <w:rPr>
          <w:lang w:val="en-US"/>
        </w:rPr>
        <w:t>.</w:t>
      </w:r>
    </w:p>
    <w:p w14:paraId="76511BD7" w14:textId="77777777" w:rsidR="00E85016" w:rsidRPr="0064541A" w:rsidRDefault="00740324" w:rsidP="00F841E1">
      <w:pPr>
        <w:pStyle w:val="SingleTxtG"/>
        <w:keepNext/>
        <w:tabs>
          <w:tab w:val="left" w:pos="1701"/>
        </w:tabs>
        <w:jc w:val="center"/>
        <w:rPr>
          <w:lang w:val="en-US"/>
        </w:rPr>
      </w:pPr>
      <w:r w:rsidRPr="0064541A">
        <w:rPr>
          <w:noProof/>
          <w:lang w:val="en-US"/>
        </w:rPr>
        <w:drawing>
          <wp:inline distT="0" distB="0" distL="0" distR="0" wp14:anchorId="1A404E05" wp14:editId="2FFDCF36">
            <wp:extent cx="3289465" cy="2929278"/>
            <wp:effectExtent l="0" t="0" r="635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3336" cy="2932725"/>
                    </a:xfrm>
                    <a:prstGeom prst="rect">
                      <a:avLst/>
                    </a:prstGeom>
                    <a:noFill/>
                  </pic:spPr>
                </pic:pic>
              </a:graphicData>
            </a:graphic>
          </wp:inline>
        </w:drawing>
      </w:r>
    </w:p>
    <w:p w14:paraId="20A5F10E" w14:textId="77777777" w:rsidR="000764E5" w:rsidRPr="00F841E1" w:rsidRDefault="00E85016" w:rsidP="00F841E1">
      <w:pPr>
        <w:pStyle w:val="Caption"/>
        <w:ind w:left="567"/>
        <w:jc w:val="center"/>
        <w:rPr>
          <w:color w:val="auto"/>
          <w:sz w:val="20"/>
          <w:szCs w:val="20"/>
          <w:lang w:val="en-US"/>
        </w:rPr>
      </w:pPr>
      <w:r w:rsidRPr="00F841E1">
        <w:rPr>
          <w:color w:val="auto"/>
          <w:sz w:val="20"/>
          <w:szCs w:val="20"/>
          <w:lang w:val="en-US"/>
        </w:rPr>
        <w:t xml:space="preserve">Figure </w:t>
      </w:r>
      <w:r w:rsidR="00640963" w:rsidRPr="00F841E1">
        <w:rPr>
          <w:color w:val="auto"/>
          <w:sz w:val="20"/>
          <w:szCs w:val="20"/>
          <w:lang w:val="en-US"/>
        </w:rPr>
        <w:fldChar w:fldCharType="begin"/>
      </w:r>
      <w:r w:rsidR="00640963" w:rsidRPr="00F841E1">
        <w:rPr>
          <w:color w:val="auto"/>
          <w:sz w:val="20"/>
          <w:szCs w:val="20"/>
          <w:lang w:val="en-US"/>
        </w:rPr>
        <w:instrText xml:space="preserve"> SEQ Figure \* ARABIC </w:instrText>
      </w:r>
      <w:r w:rsidR="00640963" w:rsidRPr="00F841E1">
        <w:rPr>
          <w:color w:val="auto"/>
          <w:sz w:val="20"/>
          <w:szCs w:val="20"/>
          <w:lang w:val="en-US"/>
        </w:rPr>
        <w:fldChar w:fldCharType="separate"/>
      </w:r>
      <w:r w:rsidR="00F203A8">
        <w:rPr>
          <w:noProof/>
          <w:color w:val="auto"/>
          <w:sz w:val="20"/>
          <w:szCs w:val="20"/>
          <w:lang w:val="en-US"/>
        </w:rPr>
        <w:t>2</w:t>
      </w:r>
      <w:r w:rsidR="00640963" w:rsidRPr="00F841E1">
        <w:rPr>
          <w:color w:val="auto"/>
          <w:sz w:val="20"/>
          <w:szCs w:val="20"/>
          <w:lang w:val="en-US"/>
        </w:rPr>
        <w:fldChar w:fldCharType="end"/>
      </w:r>
      <w:r w:rsidRPr="00F841E1">
        <w:rPr>
          <w:color w:val="auto"/>
          <w:sz w:val="20"/>
          <w:szCs w:val="20"/>
          <w:lang w:val="en-US"/>
        </w:rPr>
        <w:t>: Tentative flowchart for energetic samples</w:t>
      </w:r>
    </w:p>
    <w:p w14:paraId="4963599B" w14:textId="77777777" w:rsidR="00F841E1" w:rsidRDefault="00F841E1" w:rsidP="00F841E1">
      <w:pPr>
        <w:pStyle w:val="SingleTxtG"/>
        <w:tabs>
          <w:tab w:val="left" w:pos="1701"/>
        </w:tabs>
        <w:ind w:firstLine="993"/>
        <w:jc w:val="left"/>
        <w:rPr>
          <w:noProof/>
          <w:lang w:val="en-US"/>
        </w:rPr>
      </w:pPr>
    </w:p>
    <w:p w14:paraId="1ADB831E" w14:textId="5E221263" w:rsidR="007F2B84" w:rsidRPr="0064541A" w:rsidRDefault="00B02815" w:rsidP="00F841E1">
      <w:pPr>
        <w:pStyle w:val="SingleTxtG"/>
        <w:tabs>
          <w:tab w:val="left" w:pos="1701"/>
        </w:tabs>
        <w:rPr>
          <w:sz w:val="22"/>
          <w:lang w:val="en-US"/>
        </w:rPr>
      </w:pPr>
      <w:r w:rsidRPr="0064541A">
        <w:rPr>
          <w:noProof/>
          <w:lang w:val="en-US"/>
        </w:rPr>
        <w:lastRenderedPageBreak/>
        <w:drawing>
          <wp:anchor distT="0" distB="0" distL="114300" distR="114300" simplePos="0" relativeHeight="251659264" behindDoc="1" locked="0" layoutInCell="1" allowOverlap="1" wp14:anchorId="370329B4" wp14:editId="3C961678">
            <wp:simplePos x="0" y="0"/>
            <wp:positionH relativeFrom="column">
              <wp:posOffset>1716405</wp:posOffset>
            </wp:positionH>
            <wp:positionV relativeFrom="paragraph">
              <wp:posOffset>9156700</wp:posOffset>
            </wp:positionV>
            <wp:extent cx="3336925" cy="195580"/>
            <wp:effectExtent l="0" t="0" r="0" b="0"/>
            <wp:wrapThrough wrapText="bothSides">
              <wp:wrapPolygon edited="0">
                <wp:start x="0" y="0"/>
                <wp:lineTo x="0" y="18935"/>
                <wp:lineTo x="21456" y="18935"/>
                <wp:lineTo x="2145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36925" cy="195580"/>
                    </a:xfrm>
                    <a:prstGeom prst="rect">
                      <a:avLst/>
                    </a:prstGeom>
                  </pic:spPr>
                </pic:pic>
              </a:graphicData>
            </a:graphic>
            <wp14:sizeRelH relativeFrom="page">
              <wp14:pctWidth>0</wp14:pctWidth>
            </wp14:sizeRelH>
            <wp14:sizeRelV relativeFrom="page">
              <wp14:pctHeight>0</wp14:pctHeight>
            </wp14:sizeRelV>
          </wp:anchor>
        </w:drawing>
      </w:r>
      <w:r w:rsidR="00F841E1" w:rsidRPr="0064541A">
        <w:rPr>
          <w:noProof/>
          <w:lang w:val="en-US"/>
        </w:rPr>
        <w:object w:dxaOrig="11296" w:dyaOrig="19379" w14:anchorId="7D969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05pt;height:716.05pt" o:ole="">
            <v:imagedata r:id="rId11" o:title=""/>
          </v:shape>
          <o:OLEObject Type="Embed" ProgID="Visio.Drawing.11" ShapeID="_x0000_i1025" DrawAspect="Content" ObjectID="_1572086228" r:id="rId12"/>
        </w:object>
      </w:r>
      <w:r w:rsidR="00640963" w:rsidRPr="00F841E1">
        <w:rPr>
          <w:rStyle w:val="H1GChar"/>
        </w:rPr>
        <w:t>T</w:t>
      </w:r>
      <w:r w:rsidR="007F2B84" w:rsidRPr="00F841E1">
        <w:rPr>
          <w:rStyle w:val="H1GChar"/>
        </w:rPr>
        <w:t>hermal stability</w:t>
      </w:r>
    </w:p>
    <w:p w14:paraId="7241DFB3" w14:textId="2EA8D559" w:rsidR="00236EFA" w:rsidRPr="0064541A" w:rsidRDefault="00F841E1" w:rsidP="00F841E1">
      <w:pPr>
        <w:pStyle w:val="SingleTxtG"/>
        <w:ind w:left="1120" w:firstLine="28"/>
        <w:rPr>
          <w:lang w:val="en-US"/>
        </w:rPr>
      </w:pPr>
      <w:r>
        <w:rPr>
          <w:lang w:val="en-US"/>
        </w:rPr>
        <w:t>25.</w:t>
      </w:r>
      <w:r>
        <w:rPr>
          <w:lang w:val="en-US"/>
        </w:rPr>
        <w:tab/>
      </w:r>
      <w:r w:rsidR="00236EFA" w:rsidRPr="0064541A">
        <w:rPr>
          <w:lang w:val="en-US"/>
        </w:rPr>
        <w:t>The remaining issue to be solved is thermal stability and</w:t>
      </w:r>
      <w:r w:rsidR="0040160B">
        <w:rPr>
          <w:lang w:val="en-US"/>
        </w:rPr>
        <w:t>,</w:t>
      </w:r>
      <w:r w:rsidR="00236EFA" w:rsidRPr="0064541A">
        <w:rPr>
          <w:lang w:val="en-US"/>
        </w:rPr>
        <w:t xml:space="preserve"> </w:t>
      </w:r>
      <w:r w:rsidR="00555F0F" w:rsidRPr="0064541A">
        <w:rPr>
          <w:lang w:val="en-US"/>
        </w:rPr>
        <w:t>in this context</w:t>
      </w:r>
      <w:r w:rsidR="0040160B">
        <w:rPr>
          <w:lang w:val="en-US"/>
        </w:rPr>
        <w:t>,</w:t>
      </w:r>
      <w:r w:rsidR="00555F0F" w:rsidRPr="0064541A">
        <w:rPr>
          <w:lang w:val="en-US"/>
        </w:rPr>
        <w:t xml:space="preserve"> </w:t>
      </w:r>
      <w:r w:rsidR="00236EFA" w:rsidRPr="0064541A">
        <w:rPr>
          <w:lang w:val="en-US"/>
        </w:rPr>
        <w:t>the determination of possible temperature control requirements (see box 13 of the flowchart).</w:t>
      </w:r>
    </w:p>
    <w:p w14:paraId="642FD301" w14:textId="1E0D90F3" w:rsidR="00303799" w:rsidRPr="0064541A" w:rsidRDefault="00F841E1" w:rsidP="00F12DE6">
      <w:pPr>
        <w:pStyle w:val="SingleTxtG"/>
        <w:ind w:left="1120" w:firstLine="28"/>
        <w:rPr>
          <w:lang w:val="en-US"/>
        </w:rPr>
      </w:pPr>
      <w:r>
        <w:rPr>
          <w:lang w:val="en-US"/>
        </w:rPr>
        <w:t>26.</w:t>
      </w:r>
      <w:r>
        <w:rPr>
          <w:lang w:val="en-US"/>
        </w:rPr>
        <w:tab/>
      </w:r>
      <w:r w:rsidR="00303799" w:rsidRPr="0064541A">
        <w:rPr>
          <w:lang w:val="en-US"/>
        </w:rPr>
        <w:t>According to 2.4.2.3.4, temperature control is not required if the substance is thermally stable, i.e. SADT ≥ 60 °C.</w:t>
      </w:r>
    </w:p>
    <w:p w14:paraId="19BECCAB" w14:textId="097E770C" w:rsidR="00303799" w:rsidRPr="0064541A" w:rsidRDefault="00F841E1" w:rsidP="00F12DE6">
      <w:pPr>
        <w:pStyle w:val="SingleTxtG"/>
        <w:ind w:left="1120" w:firstLine="28"/>
        <w:rPr>
          <w:lang w:val="en-US"/>
        </w:rPr>
      </w:pPr>
      <w:r>
        <w:rPr>
          <w:lang w:val="en-US"/>
        </w:rPr>
        <w:t>27.</w:t>
      </w:r>
      <w:r>
        <w:rPr>
          <w:lang w:val="en-US"/>
        </w:rPr>
        <w:tab/>
      </w:r>
      <w:r w:rsidR="00303799" w:rsidRPr="0064541A">
        <w:rPr>
          <w:lang w:val="en-US"/>
        </w:rPr>
        <w:t xml:space="preserve">Since SADT tests H.1 to H.4 are not designed for small sample amounts, a thermal stress test is suggested as alternative approach. </w:t>
      </w:r>
      <w:r w:rsidR="00C17F49" w:rsidRPr="00AC236C">
        <w:rPr>
          <w:lang w:val="en-US"/>
        </w:rPr>
        <w:t xml:space="preserve">One such test is described below, which </w:t>
      </w:r>
      <w:r w:rsidR="00303799" w:rsidRPr="00AC236C">
        <w:rPr>
          <w:lang w:val="en-US"/>
        </w:rPr>
        <w:t>can</w:t>
      </w:r>
      <w:r w:rsidR="00303799" w:rsidRPr="0064541A">
        <w:rPr>
          <w:lang w:val="en-US"/>
        </w:rPr>
        <w:t xml:space="preserve"> be </w:t>
      </w:r>
      <w:r w:rsidR="002F603E" w:rsidRPr="0064541A">
        <w:rPr>
          <w:lang w:val="en-US"/>
        </w:rPr>
        <w:t>easily</w:t>
      </w:r>
      <w:r w:rsidR="00303799" w:rsidRPr="0064541A">
        <w:rPr>
          <w:lang w:val="en-US"/>
        </w:rPr>
        <w:t xml:space="preserve"> performed by DSC measurements.</w:t>
      </w:r>
    </w:p>
    <w:p w14:paraId="47BE86E6" w14:textId="53A9C6BF" w:rsidR="002F603E" w:rsidRPr="0064541A" w:rsidRDefault="00F841E1" w:rsidP="00F12DE6">
      <w:pPr>
        <w:pStyle w:val="SingleTxtG"/>
        <w:ind w:left="1120" w:firstLine="28"/>
        <w:rPr>
          <w:lang w:val="en-US"/>
        </w:rPr>
      </w:pPr>
      <w:r>
        <w:rPr>
          <w:lang w:val="en-US"/>
        </w:rPr>
        <w:t>28.</w:t>
      </w:r>
      <w:r>
        <w:rPr>
          <w:lang w:val="en-US"/>
        </w:rPr>
        <w:tab/>
      </w:r>
      <w:r w:rsidR="002F603E" w:rsidRPr="0064541A">
        <w:rPr>
          <w:lang w:val="en-US"/>
        </w:rPr>
        <w:t xml:space="preserve">The concept is to determine whether the decomposition behavior changes </w:t>
      </w:r>
      <w:r w:rsidR="0040160B">
        <w:rPr>
          <w:lang w:val="en-US"/>
        </w:rPr>
        <w:t>after the application of</w:t>
      </w:r>
      <w:r w:rsidR="002F603E" w:rsidRPr="0064541A">
        <w:rPr>
          <w:lang w:val="en-US"/>
        </w:rPr>
        <w:t xml:space="preserve"> thermal stress for a defined period of time. For practical reasons, 24 hours are suggested.</w:t>
      </w:r>
    </w:p>
    <w:p w14:paraId="734A0A08" w14:textId="333A80DA" w:rsidR="002F603E" w:rsidRPr="0064541A" w:rsidRDefault="00F841E1" w:rsidP="00F12DE6">
      <w:pPr>
        <w:pStyle w:val="SingleTxtG"/>
        <w:ind w:left="1120" w:firstLine="28"/>
        <w:rPr>
          <w:lang w:val="en-US"/>
        </w:rPr>
      </w:pPr>
      <w:r>
        <w:rPr>
          <w:lang w:val="en-US"/>
        </w:rPr>
        <w:t>29.</w:t>
      </w:r>
      <w:r>
        <w:rPr>
          <w:lang w:val="en-US"/>
        </w:rPr>
        <w:tab/>
      </w:r>
      <w:r w:rsidR="002F603E" w:rsidRPr="0064541A">
        <w:rPr>
          <w:lang w:val="en-US"/>
        </w:rPr>
        <w:t>A screening DSC (heating rate 2-5 K/min in a closed crucible; see UN M</w:t>
      </w:r>
      <w:r w:rsidR="00B22E1D" w:rsidRPr="0064541A">
        <w:rPr>
          <w:lang w:val="en-US"/>
        </w:rPr>
        <w:t>anual of Tests and Criteria, section</w:t>
      </w:r>
      <w:r w:rsidR="002F603E" w:rsidRPr="0064541A">
        <w:rPr>
          <w:lang w:val="en-US"/>
        </w:rPr>
        <w:t xml:space="preserve"> 20.3.3.3) is measured for the sample as offered for transport. A second sample is taken, and thermal stress is applied (practically realized by tempering the sample in a DSC crucible at a defined </w:t>
      </w:r>
      <w:r w:rsidR="00B22E1D" w:rsidRPr="0064541A">
        <w:rPr>
          <w:lang w:val="en-US"/>
        </w:rPr>
        <w:t xml:space="preserve">constant </w:t>
      </w:r>
      <w:r w:rsidR="002F603E" w:rsidRPr="0064541A">
        <w:rPr>
          <w:lang w:val="en-US"/>
        </w:rPr>
        <w:t>temperature over a certain period of time</w:t>
      </w:r>
      <w:r w:rsidR="00A128D7" w:rsidRPr="0064541A">
        <w:rPr>
          <w:lang w:val="en-US"/>
        </w:rPr>
        <w:t xml:space="preserve">; </w:t>
      </w:r>
      <w:r w:rsidR="002F603E" w:rsidRPr="0064541A">
        <w:rPr>
          <w:lang w:val="en-US"/>
        </w:rPr>
        <w:t>see above).</w:t>
      </w:r>
    </w:p>
    <w:p w14:paraId="7A6FC4FF" w14:textId="666E0183" w:rsidR="004B3B95" w:rsidRPr="0064541A" w:rsidRDefault="00F841E1" w:rsidP="00F12DE6">
      <w:pPr>
        <w:pStyle w:val="SingleTxtG"/>
        <w:ind w:left="1120" w:firstLine="28"/>
        <w:rPr>
          <w:lang w:val="en-US"/>
        </w:rPr>
      </w:pPr>
      <w:r>
        <w:rPr>
          <w:lang w:val="en-US"/>
        </w:rPr>
        <w:t>30.</w:t>
      </w:r>
      <w:r>
        <w:rPr>
          <w:lang w:val="en-US"/>
        </w:rPr>
        <w:tab/>
      </w:r>
      <w:r w:rsidR="00FD3F04" w:rsidRPr="0064541A">
        <w:rPr>
          <w:lang w:val="en-US"/>
        </w:rPr>
        <w:t>If the decomposition behavior remains unchanged in terms of decomposition onset, shape of curve</w:t>
      </w:r>
      <w:r w:rsidR="00910348">
        <w:rPr>
          <w:lang w:val="en-US"/>
        </w:rPr>
        <w:t>,</w:t>
      </w:r>
      <w:r w:rsidR="00FD3F04" w:rsidRPr="0064541A">
        <w:rPr>
          <w:lang w:val="en-US"/>
        </w:rPr>
        <w:t xml:space="preserve"> and energy within a measurement uncertainty of 10%, </w:t>
      </w:r>
      <w:r w:rsidR="00910348">
        <w:rPr>
          <w:lang w:val="en-US"/>
        </w:rPr>
        <w:t xml:space="preserve">then </w:t>
      </w:r>
      <w:r w:rsidR="00FD3F04" w:rsidRPr="0064541A">
        <w:rPr>
          <w:lang w:val="en-US"/>
        </w:rPr>
        <w:t>the sample is stable at the stress temperature applied.</w:t>
      </w:r>
      <w:r w:rsidR="00E964B9" w:rsidRPr="0064541A">
        <w:rPr>
          <w:lang w:val="en-US"/>
        </w:rPr>
        <w:t xml:space="preserve"> If the stress test is passed at 60 °C, no temperature control is required.</w:t>
      </w:r>
      <w:r w:rsidR="004B3B95" w:rsidRPr="0064541A">
        <w:rPr>
          <w:lang w:val="en-US"/>
        </w:rPr>
        <w:t xml:space="preserve"> For a conservative approach, the decomposition onset should be taken as the temperature of the first noticeable exothermic effect (i.e. the heat production signal leaves the baseline).</w:t>
      </w:r>
    </w:p>
    <w:p w14:paraId="2CE560A6" w14:textId="253CE206" w:rsidR="00E964B9" w:rsidRPr="0064541A" w:rsidRDefault="00F841E1" w:rsidP="00F12DE6">
      <w:pPr>
        <w:pStyle w:val="SingleTxtG"/>
        <w:ind w:left="1120" w:firstLine="28"/>
        <w:rPr>
          <w:lang w:val="en-US"/>
        </w:rPr>
      </w:pPr>
      <w:r>
        <w:rPr>
          <w:lang w:val="en-US"/>
        </w:rPr>
        <w:t>31.</w:t>
      </w:r>
      <w:r>
        <w:rPr>
          <w:lang w:val="en-US"/>
        </w:rPr>
        <w:tab/>
      </w:r>
      <w:r w:rsidR="00B22E1D" w:rsidRPr="0064541A">
        <w:rPr>
          <w:lang w:val="en-US"/>
        </w:rPr>
        <w:t xml:space="preserve">In case the stress test at 60 °C is not passed, the same </w:t>
      </w:r>
      <w:r w:rsidR="00635DFD" w:rsidRPr="0064541A">
        <w:rPr>
          <w:lang w:val="en-US"/>
        </w:rPr>
        <w:t>procedure</w:t>
      </w:r>
      <w:r w:rsidR="00B22E1D" w:rsidRPr="0064541A">
        <w:rPr>
          <w:lang w:val="en-US"/>
        </w:rPr>
        <w:t xml:space="preserve"> should be applied at decreasing temperatures in steps of 10 K until the decomposition behavior remains unchanged. That temperature should be deemed the</w:t>
      </w:r>
      <w:r w:rsidR="00910348">
        <w:rPr>
          <w:lang w:val="en-US"/>
        </w:rPr>
        <w:t xml:space="preserve"> estimated</w:t>
      </w:r>
      <w:r w:rsidR="00B22E1D" w:rsidRPr="0064541A">
        <w:rPr>
          <w:lang w:val="en-US"/>
        </w:rPr>
        <w:t xml:space="preserve"> SADT of the sample, and the control and emergency temperatures may then </w:t>
      </w:r>
      <w:r w:rsidR="00635DFD" w:rsidRPr="0064541A">
        <w:rPr>
          <w:lang w:val="en-US"/>
        </w:rPr>
        <w:t xml:space="preserve">be </w:t>
      </w:r>
      <w:r w:rsidR="00B22E1D" w:rsidRPr="0064541A">
        <w:rPr>
          <w:lang w:val="en-US"/>
        </w:rPr>
        <w:t>derived in accordance with section 28.2.3 and table 28.2 of the UN Manual of Tests and Criteria.</w:t>
      </w:r>
    </w:p>
    <w:p w14:paraId="76B99D70" w14:textId="2BB7B515" w:rsidR="00A53E92" w:rsidRPr="0064541A" w:rsidRDefault="00F841E1" w:rsidP="00F12DE6">
      <w:pPr>
        <w:pStyle w:val="SingleTxtG"/>
        <w:ind w:left="1120" w:firstLine="28"/>
        <w:rPr>
          <w:lang w:val="en-US"/>
        </w:rPr>
      </w:pPr>
      <w:r>
        <w:rPr>
          <w:lang w:val="en-US"/>
        </w:rPr>
        <w:t>32.</w:t>
      </w:r>
      <w:r>
        <w:rPr>
          <w:lang w:val="en-US"/>
        </w:rPr>
        <w:tab/>
      </w:r>
      <w:r w:rsidR="00A53E92" w:rsidRPr="0064541A">
        <w:rPr>
          <w:lang w:val="en-US"/>
        </w:rPr>
        <w:t xml:space="preserve">An example of a sample passing the thermal stress test as described above is given in figure 3. It is obvious that the </w:t>
      </w:r>
      <w:r w:rsidR="00A53E92" w:rsidRPr="00AC236C">
        <w:rPr>
          <w:lang w:val="en-US"/>
        </w:rPr>
        <w:t>shape</w:t>
      </w:r>
      <w:r w:rsidR="00626F74" w:rsidRPr="00AC236C">
        <w:rPr>
          <w:lang w:val="en-US"/>
        </w:rPr>
        <w:t>,</w:t>
      </w:r>
      <w:r w:rsidR="00A53E92" w:rsidRPr="00AC236C">
        <w:rPr>
          <w:lang w:val="en-US"/>
        </w:rPr>
        <w:t xml:space="preserve"> the location of the curve</w:t>
      </w:r>
      <w:r w:rsidR="00626F74" w:rsidRPr="00AC236C">
        <w:rPr>
          <w:lang w:val="en-US"/>
        </w:rPr>
        <w:t>,</w:t>
      </w:r>
      <w:r w:rsidR="00A53E92" w:rsidRPr="00AC236C">
        <w:rPr>
          <w:lang w:val="en-US"/>
        </w:rPr>
        <w:t xml:space="preserve"> as</w:t>
      </w:r>
      <w:r w:rsidR="00A53E92" w:rsidRPr="0064541A">
        <w:rPr>
          <w:lang w:val="en-US"/>
        </w:rPr>
        <w:t xml:space="preserve"> well as the energy values remain unchanged within the tolerance of measurement. </w:t>
      </w:r>
      <w:r w:rsidR="00280544" w:rsidRPr="0064541A">
        <w:rPr>
          <w:lang w:val="en-US"/>
        </w:rPr>
        <w:t>Also, the endothermic melting peak has not changed.</w:t>
      </w:r>
    </w:p>
    <w:p w14:paraId="49D9C96C" w14:textId="5B4DC101" w:rsidR="00A53E92" w:rsidRPr="0064541A" w:rsidRDefault="00FF78A2" w:rsidP="00A53E92">
      <w:pPr>
        <w:pStyle w:val="SingleTxtG"/>
        <w:keepNext/>
        <w:tabs>
          <w:tab w:val="left" w:pos="1701"/>
        </w:tabs>
        <w:rPr>
          <w:lang w:val="en-US"/>
        </w:rPr>
      </w:pPr>
      <w:r>
        <w:rPr>
          <w:noProof/>
        </w:rPr>
        <w:object w:dxaOrig="22950" w:dyaOrig="14189" w14:anchorId="7B1AFC30">
          <v:shape id="_x0000_i1026" type="#_x0000_t75" style="width:363.75pt;height:226.3pt" o:ole="">
            <v:imagedata r:id="rId13" o:title=""/>
          </v:shape>
          <o:OLEObject Type="Embed" ProgID="Unknown" ShapeID="_x0000_i1026" DrawAspect="Content" ObjectID="_1572086229" r:id="rId14"/>
        </w:object>
      </w:r>
    </w:p>
    <w:p w14:paraId="43111844" w14:textId="77777777" w:rsidR="00B22E1D" w:rsidRPr="0064541A" w:rsidRDefault="00A53E92" w:rsidP="00E64843">
      <w:pPr>
        <w:pStyle w:val="Caption"/>
        <w:ind w:left="567"/>
        <w:jc w:val="center"/>
        <w:rPr>
          <w:color w:val="auto"/>
          <w:lang w:val="en-US"/>
        </w:rPr>
      </w:pPr>
      <w:r w:rsidRPr="0064541A">
        <w:rPr>
          <w:color w:val="auto"/>
          <w:lang w:val="en-US"/>
        </w:rPr>
        <w:t xml:space="preserve">Figure </w:t>
      </w:r>
      <w:r w:rsidR="00640963" w:rsidRPr="0064541A">
        <w:rPr>
          <w:color w:val="auto"/>
          <w:lang w:val="en-US"/>
        </w:rPr>
        <w:fldChar w:fldCharType="begin"/>
      </w:r>
      <w:r w:rsidR="00640963" w:rsidRPr="0064541A">
        <w:rPr>
          <w:color w:val="auto"/>
          <w:lang w:val="en-US"/>
        </w:rPr>
        <w:instrText xml:space="preserve"> SEQ Figure \* ARABIC </w:instrText>
      </w:r>
      <w:r w:rsidR="00640963" w:rsidRPr="0064541A">
        <w:rPr>
          <w:color w:val="auto"/>
          <w:lang w:val="en-US"/>
        </w:rPr>
        <w:fldChar w:fldCharType="separate"/>
      </w:r>
      <w:r w:rsidR="00F203A8">
        <w:rPr>
          <w:noProof/>
          <w:color w:val="auto"/>
          <w:lang w:val="en-US"/>
        </w:rPr>
        <w:t>3</w:t>
      </w:r>
      <w:r w:rsidR="00640963" w:rsidRPr="0064541A">
        <w:rPr>
          <w:color w:val="auto"/>
          <w:lang w:val="en-US"/>
        </w:rPr>
        <w:fldChar w:fldCharType="end"/>
      </w:r>
      <w:r w:rsidR="00DE7C9D">
        <w:rPr>
          <w:color w:val="auto"/>
          <w:lang w:val="en-US"/>
        </w:rPr>
        <w:t>:</w:t>
      </w:r>
      <w:r w:rsidRPr="0064541A">
        <w:rPr>
          <w:color w:val="auto"/>
          <w:lang w:val="en-US"/>
        </w:rPr>
        <w:t xml:space="preserve"> Example of a sample passing the thermal stress test</w:t>
      </w:r>
    </w:p>
    <w:p w14:paraId="01DCAEFD" w14:textId="63E72BAD" w:rsidR="00635DFD" w:rsidRPr="0064541A" w:rsidRDefault="00E64843" w:rsidP="00E64843">
      <w:pPr>
        <w:pStyle w:val="SingleTxtG"/>
        <w:rPr>
          <w:lang w:val="en-US"/>
        </w:rPr>
      </w:pPr>
      <w:r>
        <w:rPr>
          <w:lang w:val="en-US"/>
        </w:rPr>
        <w:lastRenderedPageBreak/>
        <w:t>33.</w:t>
      </w:r>
      <w:r>
        <w:rPr>
          <w:lang w:val="en-US"/>
        </w:rPr>
        <w:tab/>
      </w:r>
      <w:r w:rsidR="00D742AC" w:rsidRPr="0064541A">
        <w:rPr>
          <w:lang w:val="en-US"/>
        </w:rPr>
        <w:t>An example of a negative outcome of the thermal stress test is given in figure 4: Upon thermal stress, the shape of the curve has changed dramatically. The first peak at about 100 °C has completely disappeared, and the decomposition energy has decreased by about 20%. These findings are clear evidence that a reaction has taken place under the conditions of thermal stress applied, and thus temperature control would be necessary.</w:t>
      </w:r>
    </w:p>
    <w:p w14:paraId="0A31E1ED" w14:textId="77777777" w:rsidR="00635DFD" w:rsidRPr="0064541A" w:rsidRDefault="00DE7C9D" w:rsidP="00635DFD">
      <w:pPr>
        <w:pStyle w:val="SingleTxtG"/>
        <w:tabs>
          <w:tab w:val="left" w:pos="1701"/>
        </w:tabs>
        <w:rPr>
          <w:lang w:val="en-US"/>
        </w:rPr>
      </w:pPr>
      <w:r>
        <w:rPr>
          <w:noProof/>
          <w:lang w:val="en-US"/>
        </w:rPr>
        <w:drawing>
          <wp:inline distT="0" distB="0" distL="0" distR="0" wp14:anchorId="49C30644" wp14:editId="59D42F06">
            <wp:extent cx="4810562" cy="3119029"/>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38829" cy="3137356"/>
                    </a:xfrm>
                    <a:prstGeom prst="rect">
                      <a:avLst/>
                    </a:prstGeom>
                  </pic:spPr>
                </pic:pic>
              </a:graphicData>
            </a:graphic>
          </wp:inline>
        </w:drawing>
      </w:r>
    </w:p>
    <w:p w14:paraId="36B4F58D" w14:textId="77777777" w:rsidR="00DE7C9D" w:rsidRPr="0064541A" w:rsidRDefault="00DE7C9D" w:rsidP="008C2A40">
      <w:pPr>
        <w:pStyle w:val="Caption"/>
        <w:ind w:left="567"/>
        <w:jc w:val="center"/>
        <w:rPr>
          <w:color w:val="auto"/>
          <w:lang w:val="en-US"/>
        </w:rPr>
      </w:pPr>
      <w:r w:rsidRPr="0064541A">
        <w:rPr>
          <w:color w:val="auto"/>
          <w:lang w:val="en-US"/>
        </w:rPr>
        <w:t xml:space="preserve">Figure </w:t>
      </w:r>
      <w:r w:rsidRPr="0064541A">
        <w:rPr>
          <w:color w:val="auto"/>
          <w:lang w:val="en-US"/>
        </w:rPr>
        <w:fldChar w:fldCharType="begin"/>
      </w:r>
      <w:r w:rsidRPr="0064541A">
        <w:rPr>
          <w:color w:val="auto"/>
          <w:lang w:val="en-US"/>
        </w:rPr>
        <w:instrText xml:space="preserve"> SEQ Figure \* ARABIC </w:instrText>
      </w:r>
      <w:r w:rsidRPr="0064541A">
        <w:rPr>
          <w:color w:val="auto"/>
          <w:lang w:val="en-US"/>
        </w:rPr>
        <w:fldChar w:fldCharType="separate"/>
      </w:r>
      <w:r w:rsidR="00F203A8">
        <w:rPr>
          <w:noProof/>
          <w:color w:val="auto"/>
          <w:lang w:val="en-US"/>
        </w:rPr>
        <w:t>4</w:t>
      </w:r>
      <w:r w:rsidRPr="0064541A">
        <w:rPr>
          <w:color w:val="auto"/>
          <w:lang w:val="en-US"/>
        </w:rPr>
        <w:fldChar w:fldCharType="end"/>
      </w:r>
      <w:r>
        <w:rPr>
          <w:color w:val="auto"/>
          <w:lang w:val="en-US"/>
        </w:rPr>
        <w:t>:</w:t>
      </w:r>
      <w:r w:rsidRPr="0064541A">
        <w:rPr>
          <w:color w:val="auto"/>
          <w:lang w:val="en-US"/>
        </w:rPr>
        <w:t xml:space="preserve"> Example of a sample </w:t>
      </w:r>
      <w:r>
        <w:rPr>
          <w:color w:val="auto"/>
          <w:lang w:val="en-US"/>
        </w:rPr>
        <w:t>failing</w:t>
      </w:r>
      <w:r w:rsidRPr="0064541A">
        <w:rPr>
          <w:color w:val="auto"/>
          <w:lang w:val="en-US"/>
        </w:rPr>
        <w:t xml:space="preserve"> the thermal stress test</w:t>
      </w:r>
    </w:p>
    <w:p w14:paraId="582B9827" w14:textId="01A40CEE" w:rsidR="00FA2C63" w:rsidRPr="0064541A" w:rsidRDefault="008C2A40" w:rsidP="008C2A40">
      <w:pPr>
        <w:pStyle w:val="SingleTxtG"/>
        <w:rPr>
          <w:lang w:val="en-US"/>
        </w:rPr>
      </w:pPr>
      <w:r>
        <w:rPr>
          <w:lang w:val="en-US"/>
        </w:rPr>
        <w:t>34.</w:t>
      </w:r>
      <w:r>
        <w:rPr>
          <w:lang w:val="en-US"/>
        </w:rPr>
        <w:tab/>
      </w:r>
      <w:r w:rsidR="004B3B95" w:rsidRPr="0064541A">
        <w:rPr>
          <w:lang w:val="en-US"/>
        </w:rPr>
        <w:t>According to the so-called “100 K rule”, sufficient thermal stability may be assumed if the decomposition onset in the screening DSC is 160 °C or above, thus no</w:t>
      </w:r>
      <w:r w:rsidR="00253082" w:rsidRPr="0064541A">
        <w:rPr>
          <w:lang w:val="en-US"/>
        </w:rPr>
        <w:t>t</w:t>
      </w:r>
      <w:r w:rsidR="004B3B95" w:rsidRPr="0064541A">
        <w:rPr>
          <w:lang w:val="en-US"/>
        </w:rPr>
        <w:t xml:space="preserve"> requiring temperature control.</w:t>
      </w:r>
    </w:p>
    <w:p w14:paraId="1B79085B" w14:textId="0D90C075" w:rsidR="00640963" w:rsidRPr="0064541A" w:rsidRDefault="008C2A40" w:rsidP="008C2A40">
      <w:pPr>
        <w:pStyle w:val="SingleTxtG"/>
        <w:ind w:left="1701" w:hanging="581"/>
        <w:rPr>
          <w:lang w:val="en-US"/>
        </w:rPr>
      </w:pPr>
      <w:r>
        <w:rPr>
          <w:lang w:val="en-US"/>
        </w:rPr>
        <w:t>35.</w:t>
      </w:r>
      <w:r>
        <w:rPr>
          <w:lang w:val="en-US"/>
        </w:rPr>
        <w:tab/>
      </w:r>
      <w:r w:rsidR="00640963" w:rsidRPr="0064541A">
        <w:rPr>
          <w:lang w:val="en-US"/>
        </w:rPr>
        <w:t>A flowchart for the procedure described above i</w:t>
      </w:r>
      <w:r w:rsidR="000934D4">
        <w:rPr>
          <w:lang w:val="en-US"/>
        </w:rPr>
        <w:t>s</w:t>
      </w:r>
      <w:r w:rsidR="00640963" w:rsidRPr="0064541A">
        <w:rPr>
          <w:lang w:val="en-US"/>
        </w:rPr>
        <w:t xml:space="preserve"> shown in figure 5.</w:t>
      </w:r>
    </w:p>
    <w:p w14:paraId="0D424C06" w14:textId="77777777" w:rsidR="00741DCE" w:rsidRPr="0064541A" w:rsidRDefault="00741DCE" w:rsidP="00741DCE">
      <w:pPr>
        <w:pStyle w:val="SingleTxtG"/>
        <w:tabs>
          <w:tab w:val="left" w:pos="1701"/>
        </w:tabs>
        <w:rPr>
          <w:lang w:val="en-US"/>
        </w:rPr>
      </w:pPr>
    </w:p>
    <w:p w14:paraId="436B482A" w14:textId="77777777" w:rsidR="007F2B84" w:rsidRPr="0064541A" w:rsidRDefault="00640963" w:rsidP="007F2B84">
      <w:pPr>
        <w:rPr>
          <w:lang w:val="en-US"/>
        </w:rPr>
      </w:pPr>
      <w:r w:rsidRPr="0064541A">
        <w:rPr>
          <w:noProof/>
          <w:lang w:val="en-US"/>
        </w:rPr>
        <w:drawing>
          <wp:anchor distT="0" distB="0" distL="114300" distR="114300" simplePos="0" relativeHeight="251660288" behindDoc="1" locked="0" layoutInCell="1" allowOverlap="1" wp14:anchorId="3C1CEE98" wp14:editId="3CFA08E6">
            <wp:simplePos x="0" y="0"/>
            <wp:positionH relativeFrom="column">
              <wp:posOffset>775335</wp:posOffset>
            </wp:positionH>
            <wp:positionV relativeFrom="paragraph">
              <wp:posOffset>47625</wp:posOffset>
            </wp:positionV>
            <wp:extent cx="4801870" cy="2858135"/>
            <wp:effectExtent l="0" t="0" r="0" b="0"/>
            <wp:wrapTight wrapText="bothSides">
              <wp:wrapPolygon edited="0">
                <wp:start x="514" y="0"/>
                <wp:lineTo x="428" y="2735"/>
                <wp:lineTo x="2314" y="4751"/>
                <wp:lineTo x="0" y="7198"/>
                <wp:lineTo x="0" y="7486"/>
                <wp:lineTo x="1971" y="9358"/>
                <wp:lineTo x="2999" y="11661"/>
                <wp:lineTo x="771" y="12669"/>
                <wp:lineTo x="428" y="12957"/>
                <wp:lineTo x="428" y="15693"/>
                <wp:lineTo x="2999" y="16268"/>
                <wp:lineTo x="9597" y="16268"/>
                <wp:lineTo x="257" y="17564"/>
                <wp:lineTo x="257" y="20875"/>
                <wp:lineTo x="9169" y="21307"/>
                <wp:lineTo x="9512" y="21307"/>
                <wp:lineTo x="16281" y="20875"/>
                <wp:lineTo x="21423" y="19724"/>
                <wp:lineTo x="21509" y="16844"/>
                <wp:lineTo x="21166" y="16556"/>
                <wp:lineTo x="20052" y="16268"/>
                <wp:lineTo x="21423" y="15117"/>
                <wp:lineTo x="21509" y="6191"/>
                <wp:lineTo x="21166" y="5903"/>
                <wp:lineTo x="18595" y="4751"/>
                <wp:lineTo x="21080" y="4751"/>
                <wp:lineTo x="21509" y="4463"/>
                <wp:lineTo x="21509" y="2016"/>
                <wp:lineTo x="20994" y="1584"/>
                <wp:lineTo x="18595" y="0"/>
                <wp:lineTo x="514" y="0"/>
              </wp:wrapPolygon>
            </wp:wrapTight>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1870" cy="2858135"/>
                    </a:xfrm>
                    <a:prstGeom prst="rect">
                      <a:avLst/>
                    </a:prstGeom>
                    <a:noFill/>
                  </pic:spPr>
                </pic:pic>
              </a:graphicData>
            </a:graphic>
            <wp14:sizeRelH relativeFrom="page">
              <wp14:pctWidth>0</wp14:pctWidth>
            </wp14:sizeRelH>
            <wp14:sizeRelV relativeFrom="page">
              <wp14:pctHeight>0</wp14:pctHeight>
            </wp14:sizeRelV>
          </wp:anchor>
        </w:drawing>
      </w:r>
    </w:p>
    <w:p w14:paraId="05BC3FC3" w14:textId="77777777" w:rsidR="00B02815" w:rsidRPr="0064541A" w:rsidRDefault="00B02815" w:rsidP="007F2B84">
      <w:pPr>
        <w:rPr>
          <w:lang w:val="en-US"/>
        </w:rPr>
      </w:pPr>
    </w:p>
    <w:p w14:paraId="21E6E0C7" w14:textId="77777777" w:rsidR="00B02815" w:rsidRPr="0064541A" w:rsidRDefault="00B02815" w:rsidP="007F2B84">
      <w:pPr>
        <w:rPr>
          <w:lang w:val="en-US"/>
        </w:rPr>
      </w:pPr>
    </w:p>
    <w:p w14:paraId="3149E9F7" w14:textId="77777777" w:rsidR="00B02815" w:rsidRPr="0064541A" w:rsidRDefault="00B02815" w:rsidP="007F2B84">
      <w:pPr>
        <w:rPr>
          <w:lang w:val="en-US"/>
        </w:rPr>
      </w:pPr>
    </w:p>
    <w:p w14:paraId="7BA180FE" w14:textId="77777777" w:rsidR="00B02815" w:rsidRPr="0064541A" w:rsidRDefault="00B02815" w:rsidP="007F2B84">
      <w:pPr>
        <w:rPr>
          <w:lang w:val="en-US"/>
        </w:rPr>
      </w:pPr>
    </w:p>
    <w:p w14:paraId="7DDE8F6C" w14:textId="77777777" w:rsidR="00640963" w:rsidRPr="0064541A" w:rsidRDefault="00640963" w:rsidP="007F2B84">
      <w:pPr>
        <w:rPr>
          <w:lang w:val="en-US"/>
        </w:rPr>
      </w:pPr>
    </w:p>
    <w:p w14:paraId="5E312BE0" w14:textId="77777777" w:rsidR="00640963" w:rsidRPr="0064541A" w:rsidRDefault="00640963" w:rsidP="007F2B84">
      <w:pPr>
        <w:rPr>
          <w:lang w:val="en-US"/>
        </w:rPr>
      </w:pPr>
    </w:p>
    <w:p w14:paraId="1F6D2424" w14:textId="77777777" w:rsidR="00640963" w:rsidRPr="0064541A" w:rsidRDefault="00640963" w:rsidP="007F2B84">
      <w:pPr>
        <w:rPr>
          <w:lang w:val="en-US"/>
        </w:rPr>
      </w:pPr>
    </w:p>
    <w:p w14:paraId="391044E8" w14:textId="77777777" w:rsidR="00640963" w:rsidRPr="0064541A" w:rsidRDefault="00640963" w:rsidP="007F2B84">
      <w:pPr>
        <w:rPr>
          <w:lang w:val="en-US"/>
        </w:rPr>
      </w:pPr>
    </w:p>
    <w:p w14:paraId="40304B3A" w14:textId="77777777" w:rsidR="00640963" w:rsidRPr="0064541A" w:rsidRDefault="00640963" w:rsidP="007F2B84">
      <w:pPr>
        <w:rPr>
          <w:lang w:val="en-US"/>
        </w:rPr>
      </w:pPr>
    </w:p>
    <w:p w14:paraId="17C2CCD6" w14:textId="77777777" w:rsidR="00640963" w:rsidRPr="0064541A" w:rsidRDefault="00640963" w:rsidP="007F2B84">
      <w:pPr>
        <w:rPr>
          <w:lang w:val="en-US"/>
        </w:rPr>
      </w:pPr>
    </w:p>
    <w:p w14:paraId="2738DC46" w14:textId="77777777" w:rsidR="00640963" w:rsidRPr="0064541A" w:rsidRDefault="00640963" w:rsidP="007F2B84">
      <w:pPr>
        <w:rPr>
          <w:lang w:val="en-US"/>
        </w:rPr>
      </w:pPr>
    </w:p>
    <w:p w14:paraId="4B673B8D" w14:textId="77777777" w:rsidR="00640963" w:rsidRPr="0064541A" w:rsidRDefault="00640963" w:rsidP="007F2B84">
      <w:pPr>
        <w:rPr>
          <w:lang w:val="en-US"/>
        </w:rPr>
      </w:pPr>
    </w:p>
    <w:p w14:paraId="52646D0F" w14:textId="77777777" w:rsidR="00640963" w:rsidRPr="0064541A" w:rsidRDefault="00640963" w:rsidP="007F2B84">
      <w:pPr>
        <w:rPr>
          <w:lang w:val="en-US"/>
        </w:rPr>
      </w:pPr>
    </w:p>
    <w:p w14:paraId="71B8B44F" w14:textId="77777777" w:rsidR="00640963" w:rsidRPr="0064541A" w:rsidRDefault="00640963" w:rsidP="007F2B84">
      <w:pPr>
        <w:rPr>
          <w:lang w:val="en-US"/>
        </w:rPr>
      </w:pPr>
    </w:p>
    <w:p w14:paraId="55EA2F10" w14:textId="77777777" w:rsidR="00640963" w:rsidRPr="0064541A" w:rsidRDefault="00640963" w:rsidP="007F2B84">
      <w:pPr>
        <w:rPr>
          <w:lang w:val="en-US"/>
        </w:rPr>
      </w:pPr>
    </w:p>
    <w:p w14:paraId="141C561A" w14:textId="77777777" w:rsidR="00B02815" w:rsidRPr="0064541A" w:rsidRDefault="00B02815" w:rsidP="007F2B84">
      <w:pPr>
        <w:rPr>
          <w:lang w:val="en-US"/>
        </w:rPr>
      </w:pPr>
    </w:p>
    <w:p w14:paraId="1E1FDC65" w14:textId="77777777" w:rsidR="00640963" w:rsidRPr="0064541A" w:rsidRDefault="00640963" w:rsidP="007F2B84">
      <w:pPr>
        <w:rPr>
          <w:lang w:val="en-US"/>
        </w:rPr>
      </w:pPr>
    </w:p>
    <w:p w14:paraId="4756C3F7" w14:textId="77777777" w:rsidR="00640963" w:rsidRPr="0064541A" w:rsidRDefault="00640963" w:rsidP="007F2B84">
      <w:pPr>
        <w:rPr>
          <w:lang w:val="en-US"/>
        </w:rPr>
      </w:pPr>
    </w:p>
    <w:p w14:paraId="66A8BA30" w14:textId="77777777" w:rsidR="00640963" w:rsidRPr="0064541A" w:rsidRDefault="00640963" w:rsidP="008C2A40">
      <w:pPr>
        <w:jc w:val="center"/>
        <w:rPr>
          <w:lang w:val="en-US"/>
        </w:rPr>
      </w:pPr>
      <w:r w:rsidRPr="0064541A">
        <w:rPr>
          <w:noProof/>
          <w:lang w:val="en-US"/>
        </w:rPr>
        <mc:AlternateContent>
          <mc:Choice Requires="wps">
            <w:drawing>
              <wp:anchor distT="0" distB="0" distL="114300" distR="114300" simplePos="0" relativeHeight="251662336" behindDoc="0" locked="0" layoutInCell="1" allowOverlap="1" wp14:anchorId="5F342490" wp14:editId="6E6B8D50">
                <wp:simplePos x="0" y="0"/>
                <wp:positionH relativeFrom="column">
                  <wp:posOffset>1338580</wp:posOffset>
                </wp:positionH>
                <wp:positionV relativeFrom="paragraph">
                  <wp:posOffset>133350</wp:posOffset>
                </wp:positionV>
                <wp:extent cx="3253740" cy="635"/>
                <wp:effectExtent l="0" t="0" r="3810" b="8255"/>
                <wp:wrapTight wrapText="bothSides">
                  <wp:wrapPolygon edited="0">
                    <wp:start x="0" y="0"/>
                    <wp:lineTo x="0" y="20698"/>
                    <wp:lineTo x="21499" y="20698"/>
                    <wp:lineTo x="21499" y="0"/>
                    <wp:lineTo x="0" y="0"/>
                  </wp:wrapPolygon>
                </wp:wrapTight>
                <wp:docPr id="68" name="Textfeld 68"/>
                <wp:cNvGraphicFramePr/>
                <a:graphic xmlns:a="http://schemas.openxmlformats.org/drawingml/2006/main">
                  <a:graphicData uri="http://schemas.microsoft.com/office/word/2010/wordprocessingShape">
                    <wps:wsp>
                      <wps:cNvSpPr txBox="1"/>
                      <wps:spPr>
                        <a:xfrm>
                          <a:off x="0" y="0"/>
                          <a:ext cx="3253740" cy="635"/>
                        </a:xfrm>
                        <a:prstGeom prst="rect">
                          <a:avLst/>
                        </a:prstGeom>
                        <a:solidFill>
                          <a:prstClr val="white"/>
                        </a:solidFill>
                        <a:ln>
                          <a:noFill/>
                        </a:ln>
                        <a:effectLst/>
                      </wps:spPr>
                      <wps:txbx>
                        <w:txbxContent>
                          <w:p w14:paraId="2F513EB2" w14:textId="77777777" w:rsidR="00640963" w:rsidRPr="00640963" w:rsidRDefault="00640963" w:rsidP="00640963">
                            <w:pPr>
                              <w:pStyle w:val="Caption"/>
                              <w:rPr>
                                <w:color w:val="auto"/>
                              </w:rPr>
                            </w:pPr>
                            <w:r w:rsidRPr="00640963">
                              <w:rPr>
                                <w:color w:val="auto"/>
                              </w:rPr>
                              <w:t xml:space="preserve">Figure </w:t>
                            </w:r>
                            <w:r w:rsidRPr="00640963">
                              <w:rPr>
                                <w:color w:val="auto"/>
                              </w:rPr>
                              <w:fldChar w:fldCharType="begin"/>
                            </w:r>
                            <w:r w:rsidRPr="00640963">
                              <w:rPr>
                                <w:color w:val="auto"/>
                              </w:rPr>
                              <w:instrText xml:space="preserve"> SEQ Figure \* ARABIC </w:instrText>
                            </w:r>
                            <w:r w:rsidRPr="00640963">
                              <w:rPr>
                                <w:color w:val="auto"/>
                              </w:rPr>
                              <w:fldChar w:fldCharType="separate"/>
                            </w:r>
                            <w:r w:rsidR="00F203A8">
                              <w:rPr>
                                <w:noProof/>
                                <w:color w:val="auto"/>
                              </w:rPr>
                              <w:t>5</w:t>
                            </w:r>
                            <w:r w:rsidRPr="00640963">
                              <w:rPr>
                                <w:color w:val="auto"/>
                              </w:rPr>
                              <w:fldChar w:fldCharType="end"/>
                            </w:r>
                            <w:r w:rsidR="00DE7C9D">
                              <w:rPr>
                                <w:color w:val="auto"/>
                              </w:rPr>
                              <w:t>:</w:t>
                            </w:r>
                            <w:r w:rsidRPr="00640963">
                              <w:rPr>
                                <w:color w:val="auto"/>
                              </w:rPr>
                              <w:t xml:space="preserve"> Flowchart for temperature control of energetic samples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342490" id="_x0000_t202" coordsize="21600,21600" o:spt="202" path="m,l,21600r21600,l21600,xe">
                <v:stroke joinstyle="miter"/>
                <v:path gradientshapeok="t" o:connecttype="rect"/>
              </v:shapetype>
              <v:shape id="Textfeld 68" o:spid="_x0000_s1026" type="#_x0000_t202" style="position:absolute;left:0;text-align:left;margin-left:105.4pt;margin-top:10.5pt;width:256.2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" stroked="f">
                <v:textbox style="mso-fit-shape-to-text:t" inset="0,0,0,0">
                  <w:txbxContent>
                    <w:p w14:paraId="2F513EB2" w14:textId="77777777" w:rsidR="00640963" w:rsidRPr="00640963" w:rsidRDefault="00640963" w:rsidP="00640963">
                      <w:pPr>
                        <w:pStyle w:val="Caption"/>
                        <w:rPr>
                          <w:color w:val="auto"/>
                        </w:rPr>
                      </w:pPr>
                      <w:r w:rsidRPr="00640963">
                        <w:rPr>
                          <w:color w:val="auto"/>
                        </w:rPr>
                        <w:t xml:space="preserve">Figure </w:t>
                      </w:r>
                      <w:r w:rsidRPr="00640963">
                        <w:rPr>
                          <w:color w:val="auto"/>
                        </w:rPr>
                        <w:fldChar w:fldCharType="begin"/>
                      </w:r>
                      <w:r w:rsidRPr="00640963">
                        <w:rPr>
                          <w:color w:val="auto"/>
                        </w:rPr>
                        <w:instrText xml:space="preserve"> SEQ Figure \* ARABIC </w:instrText>
                      </w:r>
                      <w:r w:rsidRPr="00640963">
                        <w:rPr>
                          <w:color w:val="auto"/>
                        </w:rPr>
                        <w:fldChar w:fldCharType="separate"/>
                      </w:r>
                      <w:r w:rsidR="00F203A8">
                        <w:rPr>
                          <w:noProof/>
                          <w:color w:val="auto"/>
                        </w:rPr>
                        <w:t>5</w:t>
                      </w:r>
                      <w:r w:rsidRPr="00640963">
                        <w:rPr>
                          <w:color w:val="auto"/>
                        </w:rPr>
                        <w:fldChar w:fldCharType="end"/>
                      </w:r>
                      <w:r w:rsidR="00DE7C9D">
                        <w:rPr>
                          <w:color w:val="auto"/>
                        </w:rPr>
                        <w:t>:</w:t>
                      </w:r>
                      <w:r w:rsidRPr="00640963">
                        <w:rPr>
                          <w:color w:val="auto"/>
                        </w:rPr>
                        <w:t xml:space="preserve"> Flowchart for temperature control of energetic samples</w:t>
                      </w:r>
                    </w:p>
                  </w:txbxContent>
                </v:textbox>
                <w10:wrap type="tight"/>
              </v:shape>
            </w:pict>
          </mc:Fallback>
        </mc:AlternateContent>
      </w:r>
    </w:p>
    <w:p w14:paraId="71FBAD02" w14:textId="77777777" w:rsidR="00640963" w:rsidRPr="0064541A" w:rsidRDefault="00640963" w:rsidP="007F2B84">
      <w:pPr>
        <w:rPr>
          <w:lang w:val="en-US"/>
        </w:rPr>
      </w:pPr>
    </w:p>
    <w:p w14:paraId="483C51A9" w14:textId="5B089C1C" w:rsidR="00DF4533" w:rsidRPr="0064541A" w:rsidRDefault="00FA2C63" w:rsidP="008C2A40">
      <w:pPr>
        <w:pStyle w:val="HChG"/>
        <w:rPr>
          <w:lang w:val="en-US"/>
        </w:rPr>
      </w:pPr>
      <w:r w:rsidRPr="0064541A">
        <w:rPr>
          <w:lang w:val="en-US"/>
        </w:rPr>
        <w:lastRenderedPageBreak/>
        <w:tab/>
      </w:r>
      <w:r w:rsidR="008C2A40">
        <w:rPr>
          <w:lang w:val="en-US"/>
        </w:rPr>
        <w:tab/>
      </w:r>
      <w:r w:rsidR="00DF4533" w:rsidRPr="008C2A40">
        <w:t>Proposal</w:t>
      </w:r>
    </w:p>
    <w:p w14:paraId="4D159091" w14:textId="0534129D" w:rsidR="00640963" w:rsidRPr="0064541A" w:rsidRDefault="008C2A40" w:rsidP="008C2A40">
      <w:pPr>
        <w:pStyle w:val="SingleTxtG"/>
        <w:ind w:left="1701" w:hanging="581"/>
        <w:rPr>
          <w:lang w:val="en-US"/>
        </w:rPr>
      </w:pPr>
      <w:r>
        <w:rPr>
          <w:lang w:val="en-US"/>
        </w:rPr>
        <w:t>36.</w:t>
      </w:r>
      <w:r>
        <w:rPr>
          <w:lang w:val="en-US"/>
        </w:rPr>
        <w:tab/>
      </w:r>
      <w:r w:rsidR="00B16D04" w:rsidRPr="0064541A">
        <w:rPr>
          <w:lang w:val="en-US"/>
        </w:rPr>
        <w:t>Based on the discussions above,</w:t>
      </w:r>
      <w:r w:rsidR="00640963" w:rsidRPr="0064541A">
        <w:rPr>
          <w:lang w:val="en-US"/>
        </w:rPr>
        <w:t xml:space="preserve"> CEFIC suggests to</w:t>
      </w:r>
      <w:r w:rsidR="00910348">
        <w:rPr>
          <w:lang w:val="en-US"/>
        </w:rPr>
        <w:t>:</w:t>
      </w:r>
    </w:p>
    <w:p w14:paraId="4F57F227" w14:textId="77777777" w:rsidR="00640963" w:rsidRPr="0064541A" w:rsidRDefault="00640963" w:rsidP="008C2A40">
      <w:pPr>
        <w:pStyle w:val="Bullet1G"/>
        <w:rPr>
          <w:lang w:val="en-US"/>
        </w:rPr>
      </w:pPr>
      <w:r w:rsidRPr="0064541A">
        <w:rPr>
          <w:lang w:val="en-US"/>
        </w:rPr>
        <w:t xml:space="preserve">Further develop the provisions in section 2.0.4.3 for energetic samples and to incorporate a flowchart </w:t>
      </w:r>
      <w:r w:rsidR="00B16D04" w:rsidRPr="0064541A">
        <w:rPr>
          <w:lang w:val="en-US"/>
        </w:rPr>
        <w:t>based on figure 2</w:t>
      </w:r>
      <w:r w:rsidRPr="0064541A">
        <w:rPr>
          <w:lang w:val="en-US"/>
        </w:rPr>
        <w:t>, and</w:t>
      </w:r>
    </w:p>
    <w:p w14:paraId="7BF19616" w14:textId="77777777" w:rsidR="00640963" w:rsidRPr="0064541A" w:rsidRDefault="00640963" w:rsidP="008C2A40">
      <w:pPr>
        <w:pStyle w:val="Bullet1G"/>
        <w:rPr>
          <w:lang w:val="en-US"/>
        </w:rPr>
      </w:pPr>
      <w:r w:rsidRPr="0064541A">
        <w:rPr>
          <w:lang w:val="en-US"/>
        </w:rPr>
        <w:t xml:space="preserve">To incorporate provisions about temperature control and estimation of SADT for </w:t>
      </w:r>
      <w:r w:rsidR="00B16D04" w:rsidRPr="0064541A">
        <w:rPr>
          <w:lang w:val="en-US"/>
        </w:rPr>
        <w:t xml:space="preserve">energetic </w:t>
      </w:r>
      <w:r w:rsidRPr="0064541A">
        <w:rPr>
          <w:lang w:val="en-US"/>
        </w:rPr>
        <w:t>samples in the UN Manual of Tests and Criteria</w:t>
      </w:r>
      <w:r w:rsidR="00B16D04" w:rsidRPr="0064541A">
        <w:rPr>
          <w:lang w:val="en-US"/>
        </w:rPr>
        <w:t xml:space="preserve">. An appropriate place appears to be in the context of </w:t>
      </w:r>
      <w:r w:rsidRPr="0064541A">
        <w:rPr>
          <w:lang w:val="en-US"/>
        </w:rPr>
        <w:t>section 20.3.3.3.</w:t>
      </w:r>
      <w:r w:rsidR="00741DCE" w:rsidRPr="0064541A">
        <w:rPr>
          <w:lang w:val="en-US"/>
        </w:rPr>
        <w:t xml:space="preserve"> Incorporation of a flowchart as presented in figure 5 </w:t>
      </w:r>
      <w:r w:rsidR="00DB1A46" w:rsidRPr="0064541A">
        <w:rPr>
          <w:lang w:val="en-US"/>
        </w:rPr>
        <w:t>is deemed helpful.</w:t>
      </w:r>
    </w:p>
    <w:p w14:paraId="7E17B49D" w14:textId="77777777" w:rsidR="000E23BE" w:rsidRPr="0064541A" w:rsidRDefault="00DF4533" w:rsidP="00160406">
      <w:pPr>
        <w:pStyle w:val="SingleTxtG"/>
        <w:spacing w:before="240" w:after="0"/>
        <w:jc w:val="center"/>
        <w:rPr>
          <w:lang w:val="en-US"/>
        </w:rPr>
      </w:pPr>
      <w:r w:rsidRPr="0064541A">
        <w:rPr>
          <w:u w:val="single"/>
          <w:lang w:val="en-US"/>
        </w:rPr>
        <w:tab/>
      </w:r>
      <w:r w:rsidRPr="0064541A">
        <w:rPr>
          <w:u w:val="single"/>
          <w:lang w:val="en-US"/>
        </w:rPr>
        <w:tab/>
      </w:r>
      <w:r w:rsidRPr="0064541A">
        <w:rPr>
          <w:u w:val="single"/>
          <w:lang w:val="en-US"/>
        </w:rPr>
        <w:tab/>
      </w:r>
    </w:p>
    <w:sectPr w:rsidR="000E23BE" w:rsidRPr="0064541A" w:rsidSect="00DF4533">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851" w:left="1134" w:header="851" w:footer="1134"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C28FA" w16cid:durableId="1DAAABC8"/>
  <w16cid:commentId w16cid:paraId="5ED658EF" w16cid:durableId="1DAAAD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E0B5" w14:textId="77777777" w:rsidR="00BE667F" w:rsidRDefault="00BE667F"/>
  </w:endnote>
  <w:endnote w:type="continuationSeparator" w:id="0">
    <w:p w14:paraId="4EDBD121" w14:textId="77777777" w:rsidR="00BE667F" w:rsidRDefault="00BE667F"/>
  </w:endnote>
  <w:endnote w:type="continuationNotice" w:id="1">
    <w:p w14:paraId="36421EDB" w14:textId="77777777" w:rsidR="00BE667F" w:rsidRDefault="00BE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06059219"/>
      <w:docPartObj>
        <w:docPartGallery w:val="Page Numbers (Bottom of Page)"/>
        <w:docPartUnique/>
      </w:docPartObj>
    </w:sdtPr>
    <w:sdtEndPr>
      <w:rPr>
        <w:noProof/>
      </w:rPr>
    </w:sdtEndPr>
    <w:sdtContent>
      <w:p w14:paraId="399D7920" w14:textId="729EAFB0" w:rsidR="004F7E10" w:rsidRPr="004E074D" w:rsidRDefault="004F7E10">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850F40">
          <w:rPr>
            <w:b/>
            <w:noProof/>
            <w:sz w:val="18"/>
            <w:szCs w:val="18"/>
          </w:rPr>
          <w:t>2</w:t>
        </w:r>
        <w:r w:rsidRPr="004E074D">
          <w:rPr>
            <w:b/>
            <w:noProof/>
            <w:sz w:val="18"/>
            <w:szCs w:val="18"/>
          </w:rPr>
          <w:fldChar w:fldCharType="end"/>
        </w:r>
      </w:p>
    </w:sdtContent>
  </w:sdt>
  <w:p w14:paraId="693CA075" w14:textId="77777777" w:rsidR="004F7E10" w:rsidRPr="004E074D" w:rsidRDefault="004F7E10">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805431604"/>
      <w:docPartObj>
        <w:docPartGallery w:val="Page Numbers (Bottom of Page)"/>
        <w:docPartUnique/>
      </w:docPartObj>
    </w:sdtPr>
    <w:sdtEndPr>
      <w:rPr>
        <w:noProof/>
      </w:rPr>
    </w:sdtEndPr>
    <w:sdtContent>
      <w:p w14:paraId="3C3DC690" w14:textId="6B229C19" w:rsidR="004F7E10" w:rsidRPr="004E074D" w:rsidRDefault="004F7E10">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850F40">
          <w:rPr>
            <w:b/>
            <w:noProof/>
            <w:sz w:val="18"/>
            <w:szCs w:val="18"/>
          </w:rPr>
          <w:t>3</w:t>
        </w:r>
        <w:r w:rsidRPr="004E074D">
          <w:rPr>
            <w:b/>
            <w:noProof/>
            <w:sz w:val="18"/>
            <w:szCs w:val="18"/>
          </w:rPr>
          <w:fldChar w:fldCharType="end"/>
        </w:r>
      </w:p>
    </w:sdtContent>
  </w:sdt>
  <w:p w14:paraId="28F74826" w14:textId="77777777" w:rsidR="004F7E10" w:rsidRDefault="004F7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67400669"/>
      <w:docPartObj>
        <w:docPartGallery w:val="Page Numbers (Bottom of Page)"/>
        <w:docPartUnique/>
      </w:docPartObj>
    </w:sdtPr>
    <w:sdtEndPr>
      <w:rPr>
        <w:noProof/>
      </w:rPr>
    </w:sdtEndPr>
    <w:sdtContent>
      <w:p w14:paraId="6EF99C03" w14:textId="52D93DAF" w:rsidR="004F7E10" w:rsidRPr="00B11781" w:rsidRDefault="004F7E10">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850F40">
          <w:rPr>
            <w:b/>
            <w:noProof/>
            <w:sz w:val="18"/>
            <w:szCs w:val="18"/>
          </w:rPr>
          <w:t>1</w:t>
        </w:r>
        <w:r w:rsidRPr="00B11781">
          <w:rPr>
            <w:b/>
            <w:noProof/>
            <w:sz w:val="18"/>
            <w:szCs w:val="18"/>
          </w:rPr>
          <w:fldChar w:fldCharType="end"/>
        </w:r>
      </w:p>
    </w:sdtContent>
  </w:sdt>
  <w:p w14:paraId="78E32116" w14:textId="77777777" w:rsidR="004F7E10" w:rsidRPr="00B11781" w:rsidRDefault="004F7E10" w:rsidP="00F431EA">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C167" w14:textId="77777777" w:rsidR="00BE667F" w:rsidRPr="000B175B" w:rsidRDefault="00BE667F" w:rsidP="000B175B">
      <w:pPr>
        <w:tabs>
          <w:tab w:val="right" w:pos="2155"/>
        </w:tabs>
        <w:spacing w:after="80"/>
        <w:ind w:left="680"/>
        <w:rPr>
          <w:u w:val="single"/>
        </w:rPr>
      </w:pPr>
      <w:r>
        <w:rPr>
          <w:u w:val="single"/>
        </w:rPr>
        <w:tab/>
      </w:r>
    </w:p>
  </w:footnote>
  <w:footnote w:type="continuationSeparator" w:id="0">
    <w:p w14:paraId="46E7D469" w14:textId="77777777" w:rsidR="00BE667F" w:rsidRPr="00FC68B7" w:rsidRDefault="00BE667F" w:rsidP="00FC68B7">
      <w:pPr>
        <w:tabs>
          <w:tab w:val="left" w:pos="2155"/>
        </w:tabs>
        <w:spacing w:after="80"/>
        <w:ind w:left="680"/>
        <w:rPr>
          <w:u w:val="single"/>
        </w:rPr>
      </w:pPr>
      <w:r>
        <w:rPr>
          <w:u w:val="single"/>
        </w:rPr>
        <w:tab/>
      </w:r>
    </w:p>
  </w:footnote>
  <w:footnote w:type="continuationNotice" w:id="1">
    <w:p w14:paraId="2FC0E6CD" w14:textId="77777777" w:rsidR="00BE667F" w:rsidRDefault="00BE66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DCB4" w14:textId="0D2C6F97" w:rsidR="004F7E10" w:rsidRPr="001215C0" w:rsidRDefault="004F7E10" w:rsidP="003C79AF">
    <w:pPr>
      <w:pBdr>
        <w:bottom w:val="single" w:sz="4" w:space="1" w:color="auto"/>
      </w:pBdr>
      <w:rPr>
        <w:b/>
        <w:sz w:val="18"/>
        <w:szCs w:val="18"/>
        <w:lang w:val="fr-CH"/>
      </w:rPr>
    </w:pPr>
    <w:r w:rsidRPr="001215C0">
      <w:rPr>
        <w:b/>
        <w:sz w:val="18"/>
        <w:szCs w:val="18"/>
        <w:lang w:val="fr-CH"/>
      </w:rPr>
      <w:t>UN/SCETDG/52/INF.</w:t>
    </w:r>
    <w:r w:rsidR="003C79AF">
      <w:rPr>
        <w:b/>
        <w:sz w:val="18"/>
        <w:szCs w:val="18"/>
        <w:lang w:val="fr-CH"/>
      </w:rPr>
      <w:t>12</w:t>
    </w:r>
  </w:p>
  <w:p w14:paraId="3ABAD363" w14:textId="77777777" w:rsidR="004F7E10" w:rsidRPr="004F7E10" w:rsidRDefault="004F7E10" w:rsidP="001215C0">
    <w:pPr>
      <w:pStyle w:val="Header"/>
      <w:pBdr>
        <w:bottom w:val="none" w:sz="0" w:space="0" w:color="auto"/>
      </w:pBd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85CA" w14:textId="110BF966" w:rsidR="004F7E10" w:rsidRPr="002D75AB" w:rsidRDefault="003C79AF" w:rsidP="003C79AF">
    <w:pPr>
      <w:pStyle w:val="Header"/>
      <w:pBdr>
        <w:bottom w:val="single" w:sz="4" w:space="1" w:color="auto"/>
      </w:pBdr>
      <w:spacing w:after="240"/>
      <w:jc w:val="right"/>
    </w:pPr>
    <w:r>
      <w:rPr>
        <w:szCs w:val="18"/>
        <w:lang w:val="fr-CH"/>
      </w:rPr>
      <w:t>UN/SCETDG/52/INF.12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41B1" w14:textId="77777777" w:rsidR="004F7E10" w:rsidRPr="00DF4533" w:rsidRDefault="004F7E10" w:rsidP="00DF45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46414C"/>
    <w:multiLevelType w:val="hybridMultilevel"/>
    <w:tmpl w:val="AA622580"/>
    <w:lvl w:ilvl="0" w:tplc="04070001">
      <w:start w:val="1"/>
      <w:numFmt w:val="bullet"/>
      <w:lvlText w:val=""/>
      <w:lvlJc w:val="left"/>
      <w:pPr>
        <w:ind w:left="1854" w:hanging="360"/>
      </w:pPr>
      <w:rPr>
        <w:rFonts w:ascii="Symbol" w:hAnsi="Symbol"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55B7270"/>
    <w:multiLevelType w:val="hybridMultilevel"/>
    <w:tmpl w:val="1E60B9C8"/>
    <w:lvl w:ilvl="0" w:tplc="04070001">
      <w:start w:val="1"/>
      <w:numFmt w:val="bullet"/>
      <w:lvlText w:val=""/>
      <w:lvlJc w:val="left"/>
      <w:pPr>
        <w:ind w:left="1854" w:hanging="360"/>
      </w:pPr>
      <w:rPr>
        <w:rFonts w:ascii="Symbol" w:hAnsi="Symbol"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2"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735F448C"/>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348E2"/>
    <w:multiLevelType w:val="hybridMultilevel"/>
    <w:tmpl w:val="A192C74A"/>
    <w:lvl w:ilvl="0" w:tplc="04070017">
      <w:start w:val="1"/>
      <w:numFmt w:val="lowerLetter"/>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8"/>
  </w:num>
  <w:num w:numId="15">
    <w:abstractNumId w:val="42"/>
  </w:num>
  <w:num w:numId="16">
    <w:abstractNumId w:val="26"/>
  </w:num>
  <w:num w:numId="17">
    <w:abstractNumId w:val="33"/>
  </w:num>
  <w:num w:numId="18">
    <w:abstractNumId w:val="40"/>
  </w:num>
  <w:num w:numId="19">
    <w:abstractNumId w:val="23"/>
  </w:num>
  <w:num w:numId="20">
    <w:abstractNumId w:val="39"/>
  </w:num>
  <w:num w:numId="21">
    <w:abstractNumId w:val="21"/>
  </w:num>
  <w:num w:numId="22">
    <w:abstractNumId w:val="29"/>
  </w:num>
  <w:num w:numId="23">
    <w:abstractNumId w:val="47"/>
  </w:num>
  <w:num w:numId="24">
    <w:abstractNumId w:val="20"/>
  </w:num>
  <w:num w:numId="25">
    <w:abstractNumId w:val="28"/>
  </w:num>
  <w:num w:numId="26">
    <w:abstractNumId w:val="19"/>
  </w:num>
  <w:num w:numId="27">
    <w:abstractNumId w:val="13"/>
  </w:num>
  <w:num w:numId="28">
    <w:abstractNumId w:val="45"/>
  </w:num>
  <w:num w:numId="29">
    <w:abstractNumId w:val="32"/>
  </w:num>
  <w:num w:numId="30">
    <w:abstractNumId w:val="25"/>
  </w:num>
  <w:num w:numId="31">
    <w:abstractNumId w:val="35"/>
  </w:num>
  <w:num w:numId="32">
    <w:abstractNumId w:val="22"/>
  </w:num>
  <w:num w:numId="33">
    <w:abstractNumId w:val="30"/>
  </w:num>
  <w:num w:numId="34">
    <w:abstractNumId w:val="44"/>
  </w:num>
  <w:num w:numId="35">
    <w:abstractNumId w:val="10"/>
  </w:num>
  <w:num w:numId="36">
    <w:abstractNumId w:val="24"/>
  </w:num>
  <w:num w:numId="37">
    <w:abstractNumId w:val="14"/>
  </w:num>
  <w:num w:numId="38">
    <w:abstractNumId w:val="37"/>
  </w:num>
  <w:num w:numId="39">
    <w:abstractNumId w:val="15"/>
  </w:num>
  <w:num w:numId="40">
    <w:abstractNumId w:val="18"/>
  </w:num>
  <w:num w:numId="41">
    <w:abstractNumId w:val="31"/>
  </w:num>
  <w:num w:numId="42">
    <w:abstractNumId w:val="34"/>
  </w:num>
  <w:num w:numId="43">
    <w:abstractNumId w:val="11"/>
  </w:num>
  <w:num w:numId="44">
    <w:abstractNumId w:val="46"/>
  </w:num>
  <w:num w:numId="45">
    <w:abstractNumId w:val="41"/>
  </w:num>
  <w:num w:numId="46">
    <w:abstractNumId w:val="27"/>
  </w:num>
  <w:num w:numId="47">
    <w:abstractNumId w:val="43"/>
  </w:num>
  <w:num w:numId="4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317C"/>
    <w:rsid w:val="00053492"/>
    <w:rsid w:val="00055A0A"/>
    <w:rsid w:val="00056084"/>
    <w:rsid w:val="0005710C"/>
    <w:rsid w:val="00064402"/>
    <w:rsid w:val="00067DE4"/>
    <w:rsid w:val="00067E6D"/>
    <w:rsid w:val="00072C8C"/>
    <w:rsid w:val="00073129"/>
    <w:rsid w:val="00074B14"/>
    <w:rsid w:val="00075F99"/>
    <w:rsid w:val="000764E5"/>
    <w:rsid w:val="00076A0A"/>
    <w:rsid w:val="00082CE1"/>
    <w:rsid w:val="00083598"/>
    <w:rsid w:val="00084632"/>
    <w:rsid w:val="00086270"/>
    <w:rsid w:val="00086FA7"/>
    <w:rsid w:val="00091046"/>
    <w:rsid w:val="00091419"/>
    <w:rsid w:val="00091CB3"/>
    <w:rsid w:val="00092776"/>
    <w:rsid w:val="000931C0"/>
    <w:rsid w:val="000934D4"/>
    <w:rsid w:val="000A2236"/>
    <w:rsid w:val="000A35F2"/>
    <w:rsid w:val="000A3A48"/>
    <w:rsid w:val="000A4C38"/>
    <w:rsid w:val="000B175B"/>
    <w:rsid w:val="000B303A"/>
    <w:rsid w:val="000B3A0F"/>
    <w:rsid w:val="000B4919"/>
    <w:rsid w:val="000B7AF2"/>
    <w:rsid w:val="000C1ED8"/>
    <w:rsid w:val="000C3D2E"/>
    <w:rsid w:val="000C5D4B"/>
    <w:rsid w:val="000C717F"/>
    <w:rsid w:val="000C76A2"/>
    <w:rsid w:val="000D0B8F"/>
    <w:rsid w:val="000D3980"/>
    <w:rsid w:val="000D481F"/>
    <w:rsid w:val="000D6D97"/>
    <w:rsid w:val="000D7830"/>
    <w:rsid w:val="000E0415"/>
    <w:rsid w:val="000E20B9"/>
    <w:rsid w:val="000E23BE"/>
    <w:rsid w:val="000F4FDC"/>
    <w:rsid w:val="000F52D6"/>
    <w:rsid w:val="000F6A20"/>
    <w:rsid w:val="001001A5"/>
    <w:rsid w:val="001039FD"/>
    <w:rsid w:val="00103BAB"/>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60406"/>
    <w:rsid w:val="00162D10"/>
    <w:rsid w:val="001633FB"/>
    <w:rsid w:val="00163A1B"/>
    <w:rsid w:val="00165735"/>
    <w:rsid w:val="00167786"/>
    <w:rsid w:val="00181019"/>
    <w:rsid w:val="001835BF"/>
    <w:rsid w:val="00184B86"/>
    <w:rsid w:val="001A02A4"/>
    <w:rsid w:val="001A24C9"/>
    <w:rsid w:val="001B35EE"/>
    <w:rsid w:val="001B4B04"/>
    <w:rsid w:val="001B6B72"/>
    <w:rsid w:val="001B6F2D"/>
    <w:rsid w:val="001B7DFB"/>
    <w:rsid w:val="001C2046"/>
    <w:rsid w:val="001C429D"/>
    <w:rsid w:val="001C6663"/>
    <w:rsid w:val="001C7895"/>
    <w:rsid w:val="001D26DF"/>
    <w:rsid w:val="001D2FDC"/>
    <w:rsid w:val="001D3123"/>
    <w:rsid w:val="001D3A88"/>
    <w:rsid w:val="001D45AC"/>
    <w:rsid w:val="001D4B2D"/>
    <w:rsid w:val="001D4E70"/>
    <w:rsid w:val="001D6BE5"/>
    <w:rsid w:val="001D7C70"/>
    <w:rsid w:val="001E797C"/>
    <w:rsid w:val="001F448E"/>
    <w:rsid w:val="00202DB6"/>
    <w:rsid w:val="00206229"/>
    <w:rsid w:val="00211B12"/>
    <w:rsid w:val="00211E0B"/>
    <w:rsid w:val="0021481D"/>
    <w:rsid w:val="00221589"/>
    <w:rsid w:val="00221AC2"/>
    <w:rsid w:val="00224CD9"/>
    <w:rsid w:val="002309A7"/>
    <w:rsid w:val="00235381"/>
    <w:rsid w:val="00236EFA"/>
    <w:rsid w:val="00237785"/>
    <w:rsid w:val="00241178"/>
    <w:rsid w:val="00241466"/>
    <w:rsid w:val="002440E7"/>
    <w:rsid w:val="00247570"/>
    <w:rsid w:val="00253082"/>
    <w:rsid w:val="002565E2"/>
    <w:rsid w:val="00256979"/>
    <w:rsid w:val="00257C1E"/>
    <w:rsid w:val="00261B71"/>
    <w:rsid w:val="002621F5"/>
    <w:rsid w:val="002708B5"/>
    <w:rsid w:val="00270DDB"/>
    <w:rsid w:val="00271EF4"/>
    <w:rsid w:val="002725CA"/>
    <w:rsid w:val="00273A92"/>
    <w:rsid w:val="00277896"/>
    <w:rsid w:val="00277E2F"/>
    <w:rsid w:val="00280544"/>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D75AB"/>
    <w:rsid w:val="002E35BB"/>
    <w:rsid w:val="002F323F"/>
    <w:rsid w:val="002F603E"/>
    <w:rsid w:val="002F68FD"/>
    <w:rsid w:val="002F7870"/>
    <w:rsid w:val="00303799"/>
    <w:rsid w:val="003107FA"/>
    <w:rsid w:val="0031227E"/>
    <w:rsid w:val="00313CC6"/>
    <w:rsid w:val="00315D73"/>
    <w:rsid w:val="00316FF9"/>
    <w:rsid w:val="00321716"/>
    <w:rsid w:val="003229D8"/>
    <w:rsid w:val="00327D0A"/>
    <w:rsid w:val="00330180"/>
    <w:rsid w:val="003517C3"/>
    <w:rsid w:val="00355502"/>
    <w:rsid w:val="00356BC7"/>
    <w:rsid w:val="00357A20"/>
    <w:rsid w:val="00372F06"/>
    <w:rsid w:val="00391647"/>
    <w:rsid w:val="003921E6"/>
    <w:rsid w:val="0039277A"/>
    <w:rsid w:val="00395FD7"/>
    <w:rsid w:val="00396F6A"/>
    <w:rsid w:val="003972E0"/>
    <w:rsid w:val="003A1DE7"/>
    <w:rsid w:val="003A1EC2"/>
    <w:rsid w:val="003A415E"/>
    <w:rsid w:val="003A52D7"/>
    <w:rsid w:val="003A5A16"/>
    <w:rsid w:val="003B62FE"/>
    <w:rsid w:val="003C0657"/>
    <w:rsid w:val="003C18C9"/>
    <w:rsid w:val="003C2CC4"/>
    <w:rsid w:val="003C655D"/>
    <w:rsid w:val="003C79AF"/>
    <w:rsid w:val="003D4B23"/>
    <w:rsid w:val="003D5245"/>
    <w:rsid w:val="003F23A4"/>
    <w:rsid w:val="003F3127"/>
    <w:rsid w:val="003F5B52"/>
    <w:rsid w:val="0040160B"/>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1DA"/>
    <w:rsid w:val="004653B3"/>
    <w:rsid w:val="004654C4"/>
    <w:rsid w:val="0046668F"/>
    <w:rsid w:val="0046773D"/>
    <w:rsid w:val="0046788D"/>
    <w:rsid w:val="004801A8"/>
    <w:rsid w:val="0048304D"/>
    <w:rsid w:val="00484A9B"/>
    <w:rsid w:val="00490889"/>
    <w:rsid w:val="00492AF9"/>
    <w:rsid w:val="00494C77"/>
    <w:rsid w:val="004953B2"/>
    <w:rsid w:val="00496A1D"/>
    <w:rsid w:val="00497711"/>
    <w:rsid w:val="004A207B"/>
    <w:rsid w:val="004B2C9D"/>
    <w:rsid w:val="004B3B95"/>
    <w:rsid w:val="004B48E7"/>
    <w:rsid w:val="004B54B0"/>
    <w:rsid w:val="004B5939"/>
    <w:rsid w:val="004B5C97"/>
    <w:rsid w:val="004B73D6"/>
    <w:rsid w:val="004C0BB5"/>
    <w:rsid w:val="004C0CFB"/>
    <w:rsid w:val="004C39D0"/>
    <w:rsid w:val="004C4F1A"/>
    <w:rsid w:val="004C6D6D"/>
    <w:rsid w:val="004E074D"/>
    <w:rsid w:val="004E0C5D"/>
    <w:rsid w:val="004E1665"/>
    <w:rsid w:val="004E56B5"/>
    <w:rsid w:val="004F32CF"/>
    <w:rsid w:val="004F4240"/>
    <w:rsid w:val="004F77CD"/>
    <w:rsid w:val="004F7E10"/>
    <w:rsid w:val="00505EEB"/>
    <w:rsid w:val="00506778"/>
    <w:rsid w:val="00507CF1"/>
    <w:rsid w:val="00520D85"/>
    <w:rsid w:val="00522177"/>
    <w:rsid w:val="005230E8"/>
    <w:rsid w:val="00527910"/>
    <w:rsid w:val="005420F2"/>
    <w:rsid w:val="00542505"/>
    <w:rsid w:val="00546655"/>
    <w:rsid w:val="005475D4"/>
    <w:rsid w:val="005513A9"/>
    <w:rsid w:val="00555CDB"/>
    <w:rsid w:val="00555F0F"/>
    <w:rsid w:val="00557E4F"/>
    <w:rsid w:val="00561B6D"/>
    <w:rsid w:val="005624AA"/>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E6DAB"/>
    <w:rsid w:val="005F37AA"/>
    <w:rsid w:val="005F3A39"/>
    <w:rsid w:val="005F3E24"/>
    <w:rsid w:val="005F589C"/>
    <w:rsid w:val="005F5C2F"/>
    <w:rsid w:val="005F5C79"/>
    <w:rsid w:val="005F7BB1"/>
    <w:rsid w:val="00602490"/>
    <w:rsid w:val="00603E3C"/>
    <w:rsid w:val="00611FC4"/>
    <w:rsid w:val="00612812"/>
    <w:rsid w:val="006176FB"/>
    <w:rsid w:val="006226AC"/>
    <w:rsid w:val="00626B06"/>
    <w:rsid w:val="00626B77"/>
    <w:rsid w:val="00626DE3"/>
    <w:rsid w:val="00626F74"/>
    <w:rsid w:val="006279AC"/>
    <w:rsid w:val="0063419C"/>
    <w:rsid w:val="00635381"/>
    <w:rsid w:val="00635DFD"/>
    <w:rsid w:val="00636986"/>
    <w:rsid w:val="00637542"/>
    <w:rsid w:val="00640963"/>
    <w:rsid w:val="00640B26"/>
    <w:rsid w:val="00641194"/>
    <w:rsid w:val="0064541A"/>
    <w:rsid w:val="00645A0B"/>
    <w:rsid w:val="006500BA"/>
    <w:rsid w:val="006506DB"/>
    <w:rsid w:val="0066002B"/>
    <w:rsid w:val="00662121"/>
    <w:rsid w:val="006627FE"/>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1397"/>
    <w:rsid w:val="006C251B"/>
    <w:rsid w:val="006C2F7E"/>
    <w:rsid w:val="006D3560"/>
    <w:rsid w:val="006D6ED0"/>
    <w:rsid w:val="006E36E7"/>
    <w:rsid w:val="006E3B65"/>
    <w:rsid w:val="006E4FFE"/>
    <w:rsid w:val="006E564B"/>
    <w:rsid w:val="006E6866"/>
    <w:rsid w:val="0070032B"/>
    <w:rsid w:val="00700730"/>
    <w:rsid w:val="007025C0"/>
    <w:rsid w:val="00707F04"/>
    <w:rsid w:val="00711637"/>
    <w:rsid w:val="00714F4F"/>
    <w:rsid w:val="00715844"/>
    <w:rsid w:val="0072632A"/>
    <w:rsid w:val="00733FA4"/>
    <w:rsid w:val="00736E6A"/>
    <w:rsid w:val="00740324"/>
    <w:rsid w:val="00741401"/>
    <w:rsid w:val="00741DCE"/>
    <w:rsid w:val="00741F59"/>
    <w:rsid w:val="007427B7"/>
    <w:rsid w:val="0074697D"/>
    <w:rsid w:val="00747CCD"/>
    <w:rsid w:val="00752810"/>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2B8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50F40"/>
    <w:rsid w:val="0086107D"/>
    <w:rsid w:val="00862848"/>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2A40"/>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305A"/>
    <w:rsid w:val="00904EBC"/>
    <w:rsid w:val="009077B4"/>
    <w:rsid w:val="00910348"/>
    <w:rsid w:val="00917A99"/>
    <w:rsid w:val="00923019"/>
    <w:rsid w:val="00924B63"/>
    <w:rsid w:val="00924E15"/>
    <w:rsid w:val="00925AA3"/>
    <w:rsid w:val="00935224"/>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634E"/>
    <w:rsid w:val="009E1560"/>
    <w:rsid w:val="009E47FC"/>
    <w:rsid w:val="009F0F06"/>
    <w:rsid w:val="009F369A"/>
    <w:rsid w:val="009F4FC5"/>
    <w:rsid w:val="00A06982"/>
    <w:rsid w:val="00A06F1A"/>
    <w:rsid w:val="00A11695"/>
    <w:rsid w:val="00A128D7"/>
    <w:rsid w:val="00A1427D"/>
    <w:rsid w:val="00A235F1"/>
    <w:rsid w:val="00A25FF9"/>
    <w:rsid w:val="00A34B00"/>
    <w:rsid w:val="00A3777A"/>
    <w:rsid w:val="00A43D80"/>
    <w:rsid w:val="00A50077"/>
    <w:rsid w:val="00A505AA"/>
    <w:rsid w:val="00A53E92"/>
    <w:rsid w:val="00A54CA8"/>
    <w:rsid w:val="00A60196"/>
    <w:rsid w:val="00A6199C"/>
    <w:rsid w:val="00A622AF"/>
    <w:rsid w:val="00A65F4A"/>
    <w:rsid w:val="00A66636"/>
    <w:rsid w:val="00A67B16"/>
    <w:rsid w:val="00A70422"/>
    <w:rsid w:val="00A71119"/>
    <w:rsid w:val="00A72F22"/>
    <w:rsid w:val="00A744D7"/>
    <w:rsid w:val="00A748A6"/>
    <w:rsid w:val="00A74A46"/>
    <w:rsid w:val="00A75EC9"/>
    <w:rsid w:val="00A810D4"/>
    <w:rsid w:val="00A83538"/>
    <w:rsid w:val="00A8523D"/>
    <w:rsid w:val="00A879A4"/>
    <w:rsid w:val="00AA1BCA"/>
    <w:rsid w:val="00AA1D9A"/>
    <w:rsid w:val="00AA32EB"/>
    <w:rsid w:val="00AB382F"/>
    <w:rsid w:val="00AB4CF1"/>
    <w:rsid w:val="00AB75AE"/>
    <w:rsid w:val="00AC236C"/>
    <w:rsid w:val="00AC759B"/>
    <w:rsid w:val="00AC7E37"/>
    <w:rsid w:val="00AD0165"/>
    <w:rsid w:val="00AD34EE"/>
    <w:rsid w:val="00AD7C88"/>
    <w:rsid w:val="00AE45DE"/>
    <w:rsid w:val="00AF0878"/>
    <w:rsid w:val="00AF2F9D"/>
    <w:rsid w:val="00AF6710"/>
    <w:rsid w:val="00B013E6"/>
    <w:rsid w:val="00B02815"/>
    <w:rsid w:val="00B04866"/>
    <w:rsid w:val="00B04D66"/>
    <w:rsid w:val="00B10C19"/>
    <w:rsid w:val="00B1157C"/>
    <w:rsid w:val="00B11781"/>
    <w:rsid w:val="00B1501F"/>
    <w:rsid w:val="00B16D04"/>
    <w:rsid w:val="00B22E1D"/>
    <w:rsid w:val="00B23B4A"/>
    <w:rsid w:val="00B26710"/>
    <w:rsid w:val="00B26B3C"/>
    <w:rsid w:val="00B30179"/>
    <w:rsid w:val="00B3317B"/>
    <w:rsid w:val="00B36C43"/>
    <w:rsid w:val="00B41384"/>
    <w:rsid w:val="00B430D0"/>
    <w:rsid w:val="00B4398E"/>
    <w:rsid w:val="00B535B3"/>
    <w:rsid w:val="00B5392B"/>
    <w:rsid w:val="00B65556"/>
    <w:rsid w:val="00B7151B"/>
    <w:rsid w:val="00B71E2B"/>
    <w:rsid w:val="00B73DA8"/>
    <w:rsid w:val="00B74F7C"/>
    <w:rsid w:val="00B75E05"/>
    <w:rsid w:val="00B81E12"/>
    <w:rsid w:val="00B84AAC"/>
    <w:rsid w:val="00B90F54"/>
    <w:rsid w:val="00B91CC3"/>
    <w:rsid w:val="00B92A0C"/>
    <w:rsid w:val="00B93068"/>
    <w:rsid w:val="00B95488"/>
    <w:rsid w:val="00BA0F68"/>
    <w:rsid w:val="00BA14E4"/>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E667F"/>
    <w:rsid w:val="00BF479B"/>
    <w:rsid w:val="00BF4DE2"/>
    <w:rsid w:val="00BF65D7"/>
    <w:rsid w:val="00C0236F"/>
    <w:rsid w:val="00C0263F"/>
    <w:rsid w:val="00C03B44"/>
    <w:rsid w:val="00C13A85"/>
    <w:rsid w:val="00C15366"/>
    <w:rsid w:val="00C17F49"/>
    <w:rsid w:val="00C218A4"/>
    <w:rsid w:val="00C30546"/>
    <w:rsid w:val="00C36D37"/>
    <w:rsid w:val="00C4087B"/>
    <w:rsid w:val="00C430B5"/>
    <w:rsid w:val="00C45AA8"/>
    <w:rsid w:val="00C463DD"/>
    <w:rsid w:val="00C46D5B"/>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60D"/>
    <w:rsid w:val="00CD30EE"/>
    <w:rsid w:val="00CD3225"/>
    <w:rsid w:val="00CD5093"/>
    <w:rsid w:val="00CE2F07"/>
    <w:rsid w:val="00CE34C7"/>
    <w:rsid w:val="00CE4083"/>
    <w:rsid w:val="00CE46BA"/>
    <w:rsid w:val="00CE4A8F"/>
    <w:rsid w:val="00CE6FAE"/>
    <w:rsid w:val="00CF6F32"/>
    <w:rsid w:val="00CF778D"/>
    <w:rsid w:val="00D00A82"/>
    <w:rsid w:val="00D034DC"/>
    <w:rsid w:val="00D0631B"/>
    <w:rsid w:val="00D06C3A"/>
    <w:rsid w:val="00D07C57"/>
    <w:rsid w:val="00D156C1"/>
    <w:rsid w:val="00D164BA"/>
    <w:rsid w:val="00D2031B"/>
    <w:rsid w:val="00D24F5F"/>
    <w:rsid w:val="00D25E8C"/>
    <w:rsid w:val="00D25FE2"/>
    <w:rsid w:val="00D27E89"/>
    <w:rsid w:val="00D37E80"/>
    <w:rsid w:val="00D43252"/>
    <w:rsid w:val="00D46231"/>
    <w:rsid w:val="00D477C4"/>
    <w:rsid w:val="00D5409C"/>
    <w:rsid w:val="00D55723"/>
    <w:rsid w:val="00D57C13"/>
    <w:rsid w:val="00D57FD9"/>
    <w:rsid w:val="00D610C1"/>
    <w:rsid w:val="00D658FA"/>
    <w:rsid w:val="00D730E3"/>
    <w:rsid w:val="00D742AC"/>
    <w:rsid w:val="00D753D8"/>
    <w:rsid w:val="00D75619"/>
    <w:rsid w:val="00D91304"/>
    <w:rsid w:val="00D91E0D"/>
    <w:rsid w:val="00D920D7"/>
    <w:rsid w:val="00D9274F"/>
    <w:rsid w:val="00D96248"/>
    <w:rsid w:val="00D96CC5"/>
    <w:rsid w:val="00D978C6"/>
    <w:rsid w:val="00D97B77"/>
    <w:rsid w:val="00DA332C"/>
    <w:rsid w:val="00DA6620"/>
    <w:rsid w:val="00DA67AD"/>
    <w:rsid w:val="00DB1A46"/>
    <w:rsid w:val="00DB3EDA"/>
    <w:rsid w:val="00DC581A"/>
    <w:rsid w:val="00DD42A0"/>
    <w:rsid w:val="00DD6801"/>
    <w:rsid w:val="00DD764B"/>
    <w:rsid w:val="00DE236F"/>
    <w:rsid w:val="00DE3ECB"/>
    <w:rsid w:val="00DE4785"/>
    <w:rsid w:val="00DE7267"/>
    <w:rsid w:val="00DE7C9D"/>
    <w:rsid w:val="00DF0A4D"/>
    <w:rsid w:val="00DF1383"/>
    <w:rsid w:val="00DF1E54"/>
    <w:rsid w:val="00DF2D91"/>
    <w:rsid w:val="00DF3039"/>
    <w:rsid w:val="00DF3A04"/>
    <w:rsid w:val="00DF4518"/>
    <w:rsid w:val="00DF4533"/>
    <w:rsid w:val="00E01324"/>
    <w:rsid w:val="00E05B1C"/>
    <w:rsid w:val="00E07015"/>
    <w:rsid w:val="00E11783"/>
    <w:rsid w:val="00E130AB"/>
    <w:rsid w:val="00E1679E"/>
    <w:rsid w:val="00E239A0"/>
    <w:rsid w:val="00E34031"/>
    <w:rsid w:val="00E34E58"/>
    <w:rsid w:val="00E3560E"/>
    <w:rsid w:val="00E36838"/>
    <w:rsid w:val="00E36C10"/>
    <w:rsid w:val="00E40B76"/>
    <w:rsid w:val="00E42461"/>
    <w:rsid w:val="00E4443D"/>
    <w:rsid w:val="00E4670F"/>
    <w:rsid w:val="00E46745"/>
    <w:rsid w:val="00E52EB0"/>
    <w:rsid w:val="00E54352"/>
    <w:rsid w:val="00E5644E"/>
    <w:rsid w:val="00E5691C"/>
    <w:rsid w:val="00E631BA"/>
    <w:rsid w:val="00E64843"/>
    <w:rsid w:val="00E6613A"/>
    <w:rsid w:val="00E67F31"/>
    <w:rsid w:val="00E7260F"/>
    <w:rsid w:val="00E730D8"/>
    <w:rsid w:val="00E73EB3"/>
    <w:rsid w:val="00E77244"/>
    <w:rsid w:val="00E81230"/>
    <w:rsid w:val="00E84898"/>
    <w:rsid w:val="00E85016"/>
    <w:rsid w:val="00E8535A"/>
    <w:rsid w:val="00E864BE"/>
    <w:rsid w:val="00E90647"/>
    <w:rsid w:val="00E964B9"/>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4624"/>
    <w:rsid w:val="00F05283"/>
    <w:rsid w:val="00F07537"/>
    <w:rsid w:val="00F075EF"/>
    <w:rsid w:val="00F07E12"/>
    <w:rsid w:val="00F1200D"/>
    <w:rsid w:val="00F12DE6"/>
    <w:rsid w:val="00F138E5"/>
    <w:rsid w:val="00F14682"/>
    <w:rsid w:val="00F203A8"/>
    <w:rsid w:val="00F21360"/>
    <w:rsid w:val="00F30A8A"/>
    <w:rsid w:val="00F34267"/>
    <w:rsid w:val="00F3574D"/>
    <w:rsid w:val="00F40295"/>
    <w:rsid w:val="00F40E75"/>
    <w:rsid w:val="00F412D3"/>
    <w:rsid w:val="00F4216E"/>
    <w:rsid w:val="00F431EA"/>
    <w:rsid w:val="00F444E3"/>
    <w:rsid w:val="00F44619"/>
    <w:rsid w:val="00F5039C"/>
    <w:rsid w:val="00F5087E"/>
    <w:rsid w:val="00F519D1"/>
    <w:rsid w:val="00F51BAB"/>
    <w:rsid w:val="00F5233F"/>
    <w:rsid w:val="00F52DB2"/>
    <w:rsid w:val="00F535BE"/>
    <w:rsid w:val="00F5413C"/>
    <w:rsid w:val="00F54674"/>
    <w:rsid w:val="00F64C95"/>
    <w:rsid w:val="00F72514"/>
    <w:rsid w:val="00F736C5"/>
    <w:rsid w:val="00F75E96"/>
    <w:rsid w:val="00F841E1"/>
    <w:rsid w:val="00F96C1D"/>
    <w:rsid w:val="00FA00A0"/>
    <w:rsid w:val="00FA2C63"/>
    <w:rsid w:val="00FA38BB"/>
    <w:rsid w:val="00FA3FB7"/>
    <w:rsid w:val="00FB520A"/>
    <w:rsid w:val="00FB5A37"/>
    <w:rsid w:val="00FB7793"/>
    <w:rsid w:val="00FC18AA"/>
    <w:rsid w:val="00FC215C"/>
    <w:rsid w:val="00FC29AA"/>
    <w:rsid w:val="00FC5DF6"/>
    <w:rsid w:val="00FC68B7"/>
    <w:rsid w:val="00FD3C5D"/>
    <w:rsid w:val="00FD3E70"/>
    <w:rsid w:val="00FD3F04"/>
    <w:rsid w:val="00FD4128"/>
    <w:rsid w:val="00FD6B2B"/>
    <w:rsid w:val="00FE3EEA"/>
    <w:rsid w:val="00FE5882"/>
    <w:rsid w:val="00FF03BB"/>
    <w:rsid w:val="00FF071A"/>
    <w:rsid w:val="00FF51FB"/>
    <w:rsid w:val="00FF67F6"/>
    <w:rsid w:val="00FF78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D1CC6"/>
  <w15:docId w15:val="{4695078C-5DAF-404E-88DC-87028509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paragraph" w:styleId="Caption">
    <w:name w:val="caption"/>
    <w:basedOn w:val="Normal"/>
    <w:next w:val="Normal"/>
    <w:unhideWhenUsed/>
    <w:qFormat/>
    <w:rsid w:val="006226A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59586788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5A12-B71F-4D7F-905B-D9E07BFB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27</TotalTime>
  <Pages>7</Pages>
  <Words>1639</Words>
  <Characters>8851</Characters>
  <Application>Microsoft Office Word</Application>
  <DocSecurity>0</DocSecurity>
  <Lines>158</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Christine Barrio-Champeau</cp:lastModifiedBy>
  <cp:revision>8</cp:revision>
  <cp:lastPrinted>2017-11-07T14:05:00Z</cp:lastPrinted>
  <dcterms:created xsi:type="dcterms:W3CDTF">2017-11-07T13:48:00Z</dcterms:created>
  <dcterms:modified xsi:type="dcterms:W3CDTF">2017-11-13T12:51:00Z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