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6B6D93" w:rsidP="006B01DA">
            <w:pPr>
              <w:jc w:val="right"/>
              <w:rPr>
                <w:b/>
                <w:sz w:val="40"/>
                <w:szCs w:val="40"/>
              </w:rPr>
            </w:pPr>
            <w:r>
              <w:rPr>
                <w:b/>
                <w:sz w:val="40"/>
              </w:rPr>
              <w:t>UN/SCETDG/</w:t>
            </w:r>
            <w:r w:rsidR="00130DE2">
              <w:rPr>
                <w:b/>
                <w:sz w:val="40"/>
              </w:rPr>
              <w:t>51</w:t>
            </w:r>
            <w:r w:rsidR="00745E22">
              <w:rPr>
                <w:b/>
                <w:sz w:val="40"/>
              </w:rPr>
              <w:t>/INF.</w:t>
            </w:r>
            <w:r w:rsidR="001220D2">
              <w:rPr>
                <w:b/>
                <w:sz w:val="40"/>
              </w:rPr>
              <w:t>3</w:t>
            </w:r>
            <w:r w:rsidR="006B01DA">
              <w:rPr>
                <w:b/>
                <w:sz w:val="40"/>
              </w:rPr>
              <w:t>7</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745E22" w:rsidRPr="00AB16B2" w:rsidRDefault="00745E22" w:rsidP="00745E22">
            <w:pPr>
              <w:spacing w:before="120"/>
              <w:rPr>
                <w:rFonts w:ascii="Helv" w:hAnsi="Helv" w:cs="Helv"/>
                <w:b/>
              </w:rPr>
            </w:pPr>
            <w:r>
              <w:rPr>
                <w:b/>
              </w:rPr>
              <w:t>Sub-Committee of Experts on the Transport of Dangerous Goods</w:t>
            </w:r>
            <w:r>
              <w:tab/>
            </w:r>
            <w:r>
              <w:tab/>
            </w:r>
            <w:r>
              <w:tab/>
            </w:r>
            <w:r>
              <w:tab/>
            </w:r>
            <w:r>
              <w:tab/>
            </w:r>
            <w:r w:rsidR="003A1232">
              <w:rPr>
                <w:b/>
              </w:rPr>
              <w:t>3</w:t>
            </w:r>
            <w:r>
              <w:rPr>
                <w:b/>
              </w:rPr>
              <w:t xml:space="preserve"> </w:t>
            </w:r>
            <w:r w:rsidR="000F33C8">
              <w:rPr>
                <w:b/>
              </w:rPr>
              <w:t>Ju</w:t>
            </w:r>
            <w:r w:rsidR="003A1232">
              <w:rPr>
                <w:b/>
              </w:rPr>
              <w:t>ly 2017</w:t>
            </w:r>
          </w:p>
          <w:p w:rsidR="005260A1" w:rsidRPr="00AB16B2" w:rsidRDefault="00E960E4" w:rsidP="005260A1">
            <w:pPr>
              <w:spacing w:before="120"/>
              <w:rPr>
                <w:b/>
              </w:rPr>
            </w:pPr>
            <w:r>
              <w:rPr>
                <w:b/>
              </w:rPr>
              <w:t>Fifty-first</w:t>
            </w:r>
            <w:r w:rsidR="005260A1">
              <w:rPr>
                <w:b/>
              </w:rPr>
              <w:t xml:space="preserve"> session</w:t>
            </w:r>
          </w:p>
          <w:p w:rsidR="005260A1" w:rsidRPr="00AB16B2" w:rsidRDefault="005260A1" w:rsidP="005260A1">
            <w:r>
              <w:t xml:space="preserve">Geneva, </w:t>
            </w:r>
            <w:r w:rsidR="003A1232">
              <w:t>3</w:t>
            </w:r>
            <w:r>
              <w:t xml:space="preserve"> </w:t>
            </w:r>
            <w:r w:rsidR="000F33C8">
              <w:t>June-</w:t>
            </w:r>
            <w:r w:rsidR="003A1232">
              <w:t>7</w:t>
            </w:r>
            <w:r w:rsidR="000F33C8">
              <w:t xml:space="preserve"> July 201</w:t>
            </w:r>
            <w:r w:rsidR="003A1232">
              <w:t>7</w:t>
            </w:r>
          </w:p>
          <w:p w:rsidR="005260A1" w:rsidRPr="00AB16B2" w:rsidRDefault="00E013C5" w:rsidP="005260A1">
            <w:r>
              <w:t xml:space="preserve">Item </w:t>
            </w:r>
            <w:r w:rsidR="00C22AD0">
              <w:t>7</w:t>
            </w:r>
            <w:r>
              <w:t xml:space="preserve"> of </w:t>
            </w:r>
            <w:r w:rsidR="005260A1">
              <w:t>the provisional agenda</w:t>
            </w:r>
          </w:p>
          <w:p w:rsidR="005260A1" w:rsidRPr="0036790E" w:rsidRDefault="003C6DF6" w:rsidP="00D42A94">
            <w:pPr>
              <w:rPr>
                <w:b/>
              </w:rPr>
            </w:pPr>
            <w:r w:rsidRPr="003C6DF6">
              <w:rPr>
                <w:b/>
              </w:rPr>
              <w:t>Global harmonization of transport of dangerous goods regulations with the Model Regulations</w:t>
            </w:r>
          </w:p>
        </w:tc>
      </w:tr>
    </w:tbl>
    <w:p w:rsidR="003848C7" w:rsidRDefault="003848C7" w:rsidP="003848C7">
      <w:pPr>
        <w:pStyle w:val="HChG"/>
      </w:pPr>
      <w:r>
        <w:tab/>
      </w:r>
      <w:r>
        <w:tab/>
      </w:r>
      <w:bookmarkStart w:id="0" w:name="_GoBack"/>
      <w:r w:rsidR="00776324">
        <w:t xml:space="preserve">Outcome of the </w:t>
      </w:r>
      <w:r w:rsidR="00776324" w:rsidRPr="00B15BB5">
        <w:t>twenty-seventh</w:t>
      </w:r>
      <w:r w:rsidR="00776324">
        <w:t xml:space="preserve"> session of the Editorial and Technical Group</w:t>
      </w:r>
      <w:bookmarkEnd w:id="0"/>
    </w:p>
    <w:p w:rsidR="003848C7" w:rsidRDefault="003848C7" w:rsidP="003848C7">
      <w:pPr>
        <w:pStyle w:val="H1G"/>
        <w:rPr>
          <w:sz w:val="22"/>
          <w:szCs w:val="22"/>
        </w:rPr>
      </w:pPr>
      <w:r>
        <w:tab/>
      </w:r>
      <w:r>
        <w:tab/>
        <w:t xml:space="preserve">Transmitted by the </w:t>
      </w:r>
      <w:r w:rsidR="00FD140E">
        <w:t>International Maritime Organization (IMO</w:t>
      </w:r>
      <w:r>
        <w:t>)</w:t>
      </w:r>
    </w:p>
    <w:p w:rsidR="003848C7" w:rsidRDefault="003848C7" w:rsidP="003848C7">
      <w:pPr>
        <w:pStyle w:val="HChG"/>
      </w:pPr>
      <w:r>
        <w:tab/>
      </w:r>
      <w:r>
        <w:tab/>
      </w:r>
      <w:r w:rsidR="00B42251">
        <w:t>Introduction</w:t>
      </w:r>
    </w:p>
    <w:p w:rsidR="003848C7" w:rsidRDefault="003848C7" w:rsidP="003500E5">
      <w:pPr>
        <w:pStyle w:val="SingleTxtG"/>
      </w:pPr>
      <w:r>
        <w:t>1.</w:t>
      </w:r>
      <w:r>
        <w:tab/>
      </w:r>
      <w:r w:rsidR="00B15BB5">
        <w:t xml:space="preserve">The </w:t>
      </w:r>
      <w:r w:rsidR="00B15BB5" w:rsidRPr="00B15BB5">
        <w:t>twenty-seventh</w:t>
      </w:r>
      <w:r w:rsidR="00B15BB5">
        <w:t xml:space="preserve"> session of the Editorial and Technical Group of</w:t>
      </w:r>
      <w:r w:rsidR="00B15BB5" w:rsidRPr="00B15BB5">
        <w:t xml:space="preserve"> the </w:t>
      </w:r>
      <w:r w:rsidR="006B01DA">
        <w:t>Sub</w:t>
      </w:r>
      <w:r w:rsidR="006B01DA">
        <w:noBreakHyphen/>
      </w:r>
      <w:r w:rsidR="00B15BB5" w:rsidRPr="00B15BB5">
        <w:t>Committee on Carriage of Cargoes and Containers met from 8 to 12 May</w:t>
      </w:r>
      <w:r w:rsidR="00A02F26">
        <w:t xml:space="preserve"> </w:t>
      </w:r>
      <w:r w:rsidR="00B15BB5" w:rsidRPr="00B15BB5">
        <w:t>201</w:t>
      </w:r>
      <w:r w:rsidR="00A02F26">
        <w:t>7</w:t>
      </w:r>
      <w:r w:rsidR="00C63D88" w:rsidRPr="00C63D88">
        <w:t xml:space="preserve"> </w:t>
      </w:r>
      <w:r w:rsidR="00C63D88" w:rsidRPr="003C6DF6">
        <w:t>at IMO Headquarters in London</w:t>
      </w:r>
      <w:r w:rsidR="008A25B0" w:rsidRPr="008A25B0">
        <w:t>.</w:t>
      </w:r>
      <w:r w:rsidR="00875AF0">
        <w:t xml:space="preserve"> The report of the</w:t>
      </w:r>
      <w:r w:rsidR="005655F9">
        <w:t xml:space="preserve"> </w:t>
      </w:r>
      <w:r w:rsidR="00A02F26">
        <w:t xml:space="preserve">Group </w:t>
      </w:r>
      <w:r w:rsidR="005655F9">
        <w:t>is contained in docum</w:t>
      </w:r>
      <w:r w:rsidR="00A02F26">
        <w:t>ent CCC 4/6</w:t>
      </w:r>
      <w:r w:rsidR="005655F9">
        <w:t>.</w:t>
      </w:r>
      <w:r w:rsidR="003C6DF6">
        <w:t xml:space="preserve"> </w:t>
      </w:r>
    </w:p>
    <w:p w:rsidR="00DA3EC7" w:rsidRDefault="003848C7" w:rsidP="00DA3EC7">
      <w:pPr>
        <w:pStyle w:val="SingleTxtG"/>
      </w:pPr>
      <w:r>
        <w:t>2.</w:t>
      </w:r>
      <w:r>
        <w:tab/>
      </w:r>
      <w:r w:rsidR="00DA3EC7">
        <w:t xml:space="preserve">Based on proposals submitted to the Group, E&amp;T 27 </w:t>
      </w:r>
      <w:r w:rsidR="00DA3EC7" w:rsidRPr="00DA3EC7">
        <w:t>prepared draft editorial corrections to the IMDG Code (amendme</w:t>
      </w:r>
      <w:r w:rsidR="00DA3EC7">
        <w:t>nt</w:t>
      </w:r>
      <w:r w:rsidR="006D7939">
        <w:t>s</w:t>
      </w:r>
      <w:r w:rsidR="00DA3EC7">
        <w:t xml:space="preserve"> 38-16)</w:t>
      </w:r>
      <w:r w:rsidR="006D7939" w:rsidRPr="00A02F26">
        <w:t>,</w:t>
      </w:r>
      <w:r w:rsidR="006D7939">
        <w:t xml:space="preserve"> adopted by</w:t>
      </w:r>
      <w:r w:rsidR="006D7939" w:rsidRPr="00A02F26">
        <w:t xml:space="preserve"> resolution MSC.406</w:t>
      </w:r>
      <w:r w:rsidR="006B01DA">
        <w:t xml:space="preserve"> </w:t>
      </w:r>
      <w:r w:rsidR="006D7939" w:rsidRPr="00A02F26">
        <w:t>(96)</w:t>
      </w:r>
      <w:r w:rsidR="00DA3EC7">
        <w:t>. In this co</w:t>
      </w:r>
      <w:r w:rsidR="008A2DA2">
        <w:t xml:space="preserve">ntext, the Group highlighted all </w:t>
      </w:r>
      <w:r w:rsidR="006D7939">
        <w:t>editorial correction</w:t>
      </w:r>
      <w:r w:rsidR="00DA3EC7">
        <w:t>s related to UN Model Regulations, as set out in annex 1</w:t>
      </w:r>
      <w:r w:rsidR="006D7939">
        <w:t xml:space="preserve"> to this document</w:t>
      </w:r>
      <w:r w:rsidR="008A2DA2">
        <w:t xml:space="preserve">, for the consideration of the </w:t>
      </w:r>
      <w:r w:rsidR="00CC3979">
        <w:br/>
      </w:r>
      <w:r w:rsidR="008A2DA2">
        <w:t>Sub-Committee</w:t>
      </w:r>
      <w:r w:rsidR="00DA3EC7">
        <w:t xml:space="preserve">. </w:t>
      </w:r>
    </w:p>
    <w:p w:rsidR="00DA3EC7" w:rsidRDefault="00DA3EC7" w:rsidP="00DA3EC7">
      <w:pPr>
        <w:pStyle w:val="SingleTxtG"/>
      </w:pPr>
      <w:r>
        <w:t>3</w:t>
      </w:r>
      <w:r w:rsidR="006B01DA">
        <w:t>.</w:t>
      </w:r>
      <w:r>
        <w:tab/>
        <w:t>E&amp;T 27</w:t>
      </w:r>
      <w:r w:rsidR="006D7939">
        <w:t xml:space="preserve"> also</w:t>
      </w:r>
      <w:r>
        <w:t xml:space="preserve"> </w:t>
      </w:r>
      <w:r w:rsidRPr="00A02F26">
        <w:t>prepared</w:t>
      </w:r>
      <w:r>
        <w:t xml:space="preserve"> draft amendment 39-18 </w:t>
      </w:r>
      <w:r w:rsidRPr="00A02F26">
        <w:t xml:space="preserve">to the IMDG Code, based on the </w:t>
      </w:r>
      <w:r w:rsidR="006D7939">
        <w:t xml:space="preserve">harmonization with the </w:t>
      </w:r>
      <w:r w:rsidR="006D7939" w:rsidRPr="00A02F26">
        <w:t>amendments to the</w:t>
      </w:r>
      <w:r w:rsidR="006D7939">
        <w:t xml:space="preserve"> </w:t>
      </w:r>
      <w:r w:rsidR="006D7939" w:rsidRPr="00A02F26">
        <w:t>nineteenth</w:t>
      </w:r>
      <w:r w:rsidR="006D7939">
        <w:t xml:space="preserve"> </w:t>
      </w:r>
      <w:r w:rsidR="006D7939" w:rsidRPr="00A02F26">
        <w:t>revised</w:t>
      </w:r>
      <w:r w:rsidR="006D7939">
        <w:t xml:space="preserve"> edition of the UN </w:t>
      </w:r>
      <w:r w:rsidR="006D7939" w:rsidRPr="00A02F26">
        <w:t>Model Regulations</w:t>
      </w:r>
      <w:r w:rsidRPr="00A02F26">
        <w:t>, proposals agreed in</w:t>
      </w:r>
      <w:r>
        <w:t xml:space="preserve"> principle by CCC 3 and proposals referred by CCC 3 to E&amp;T 27 for further consideration</w:t>
      </w:r>
      <w:r w:rsidRPr="00A02F26">
        <w:t>.</w:t>
      </w:r>
      <w:r>
        <w:t xml:space="preserve"> In this context, the Group highlighted all</w:t>
      </w:r>
      <w:r w:rsidRPr="00A02F26">
        <w:t xml:space="preserve"> amen</w:t>
      </w:r>
      <w:r>
        <w:t>dments related to UN Model Regulations, as set out in annex 2</w:t>
      </w:r>
      <w:r w:rsidR="006D7939">
        <w:t xml:space="preserve"> to this document</w:t>
      </w:r>
      <w:r w:rsidR="008A2DA2">
        <w:t>, for the consideration of the Sub-Committee</w:t>
      </w:r>
      <w:r w:rsidR="006D7939">
        <w:t xml:space="preserve">.  </w:t>
      </w:r>
    </w:p>
    <w:p w:rsidR="003500E5" w:rsidRDefault="006D7939" w:rsidP="008A2DA2">
      <w:pPr>
        <w:pStyle w:val="SingleTxtG"/>
      </w:pPr>
      <w:r>
        <w:t>4</w:t>
      </w:r>
      <w:r w:rsidR="006B01DA">
        <w:t>.</w:t>
      </w:r>
      <w:r>
        <w:tab/>
        <w:t>Furthermore, with regard to the i</w:t>
      </w:r>
      <w:r w:rsidRPr="00A02F26">
        <w:t>nformation required in addition to the</w:t>
      </w:r>
      <w:r w:rsidR="008A2DA2">
        <w:t xml:space="preserve"> dangerous goods description and </w:t>
      </w:r>
      <w:r>
        <w:t>d</w:t>
      </w:r>
      <w:r w:rsidRPr="00A02F26">
        <w:t xml:space="preserve">uring the consideration of amendments to 5.4.1.5.5 </w:t>
      </w:r>
      <w:r w:rsidR="00EB57BB">
        <w:t xml:space="preserve">of the IMDG Code </w:t>
      </w:r>
      <w:r w:rsidRPr="00A02F26">
        <w:t>on the indication of self-reactive substances, organic peroxides and polymerizing substances, the</w:t>
      </w:r>
      <w:r>
        <w:t xml:space="preserve"> Group noted that 5.4.1.5.4 and 5.4.1.5.5 could be </w:t>
      </w:r>
      <w:r w:rsidRPr="00A02F26">
        <w:t>furt</w:t>
      </w:r>
      <w:r w:rsidR="00EB57BB">
        <w:t xml:space="preserve">her amended or merged and </w:t>
      </w:r>
      <w:r w:rsidRPr="00A02F26">
        <w:t xml:space="preserve">the UNSCETDG </w:t>
      </w:r>
      <w:r w:rsidR="00EB57BB">
        <w:t xml:space="preserve">should be informed </w:t>
      </w:r>
      <w:r w:rsidRPr="00A02F26">
        <w:t>accordingly</w:t>
      </w:r>
      <w:r>
        <w:t xml:space="preserve">.  </w:t>
      </w:r>
    </w:p>
    <w:p w:rsidR="003A1DED" w:rsidRPr="003A1DED" w:rsidRDefault="006B01DA" w:rsidP="006B01DA">
      <w:pPr>
        <w:pStyle w:val="H1G"/>
      </w:pPr>
      <w:r>
        <w:tab/>
      </w:r>
      <w:r>
        <w:tab/>
      </w:r>
      <w:r w:rsidR="003A1DED" w:rsidRPr="003A1DED">
        <w:t>Other related matters</w:t>
      </w:r>
    </w:p>
    <w:p w:rsidR="003A1DED" w:rsidRPr="00AA6BFC" w:rsidRDefault="00DC4181" w:rsidP="00232E19">
      <w:pPr>
        <w:pStyle w:val="SingleTxtG"/>
      </w:pPr>
      <w:r>
        <w:t>5</w:t>
      </w:r>
      <w:r w:rsidR="00EB57BB">
        <w:t>.</w:t>
      </w:r>
      <w:r w:rsidR="00EB57BB">
        <w:tab/>
        <w:t xml:space="preserve">With regards to </w:t>
      </w:r>
      <w:r w:rsidR="00EB57BB" w:rsidRPr="00DC4181">
        <w:t>the Emergency Response Procedures for Ships Carrying Dangerous Goods (</w:t>
      </w:r>
      <w:proofErr w:type="spellStart"/>
      <w:r w:rsidR="00EB57BB" w:rsidRPr="00DC4181">
        <w:t>EmS</w:t>
      </w:r>
      <w:proofErr w:type="spellEnd"/>
      <w:r w:rsidR="00EB57BB" w:rsidRPr="00DC4181">
        <w:t>) Guide</w:t>
      </w:r>
      <w:r w:rsidR="00EB57BB">
        <w:t>, E&amp;T 27 prepared a draft consolidated version of</w:t>
      </w:r>
      <w:r w:rsidR="00232E19">
        <w:t xml:space="preserve"> the </w:t>
      </w:r>
      <w:proofErr w:type="spellStart"/>
      <w:r w:rsidR="00EB57BB">
        <w:t>EmS</w:t>
      </w:r>
      <w:proofErr w:type="spellEnd"/>
      <w:r w:rsidR="00EB57BB">
        <w:t xml:space="preserve"> </w:t>
      </w:r>
      <w:r w:rsidR="00232E19">
        <w:t>Guide</w:t>
      </w:r>
      <w:r w:rsidR="00EB57BB">
        <w:t xml:space="preserve">, which was based </w:t>
      </w:r>
      <w:r w:rsidR="00EB57BB" w:rsidRPr="00EB57BB">
        <w:t>on MSC/Circ.1025, MSC.1/Circ.1025/Add.1, MSC.1/Circ.1262, MSC.1/Circ.1360, MSC.1/Circ.1438, MSC.1/Circ.1476 and MSC.1/Circ.1</w:t>
      </w:r>
      <w:r w:rsidR="00EB57BB">
        <w:t>522</w:t>
      </w:r>
      <w:r w:rsidR="00232E19" w:rsidRPr="00DB5C8F">
        <w:t>.</w:t>
      </w:r>
      <w:r w:rsidR="00232E19">
        <w:t xml:space="preserve"> The draft consolidated </w:t>
      </w:r>
      <w:proofErr w:type="spellStart"/>
      <w:r w:rsidR="00232E19">
        <w:t>EmS</w:t>
      </w:r>
      <w:proofErr w:type="spellEnd"/>
      <w:r w:rsidR="00232E19">
        <w:t xml:space="preserve"> Guide is expected to be considered by CCC 4 and subsequent approval by the Maritime Safety Committee, together with the next set of the amendments to the IMDG Code.</w:t>
      </w:r>
      <w:r w:rsidR="00A27789">
        <w:t xml:space="preserve"> </w:t>
      </w:r>
    </w:p>
    <w:p w:rsidR="003848C7" w:rsidRPr="00245DDB" w:rsidRDefault="003848C7" w:rsidP="006B01DA">
      <w:pPr>
        <w:pStyle w:val="HChG"/>
      </w:pPr>
      <w:r>
        <w:lastRenderedPageBreak/>
        <w:tab/>
      </w:r>
      <w:r>
        <w:tab/>
      </w:r>
      <w:r w:rsidRPr="006B01DA">
        <w:t>Proposal</w:t>
      </w:r>
    </w:p>
    <w:p w:rsidR="003848C7" w:rsidRDefault="00232E19" w:rsidP="00867DF0">
      <w:pPr>
        <w:pStyle w:val="SingleTxtG"/>
      </w:pPr>
      <w:r>
        <w:t>6</w:t>
      </w:r>
      <w:r w:rsidR="003848C7">
        <w:t>.</w:t>
      </w:r>
      <w:r w:rsidR="003848C7">
        <w:tab/>
      </w:r>
      <w:r w:rsidR="00C30533">
        <w:t>The</w:t>
      </w:r>
      <w:r w:rsidR="00B63D11" w:rsidRPr="008A25B0">
        <w:t xml:space="preserve"> Sub-Committee </w:t>
      </w:r>
      <w:r>
        <w:t xml:space="preserve">is invited to note </w:t>
      </w:r>
      <w:r w:rsidR="00C30533">
        <w:t xml:space="preserve">the information provided </w:t>
      </w:r>
      <w:r>
        <w:t xml:space="preserve">above, consider the draft </w:t>
      </w:r>
      <w:r w:rsidR="00CC3979">
        <w:t xml:space="preserve">editorial corrections and </w:t>
      </w:r>
      <w:r>
        <w:t xml:space="preserve">amendments as set out in annexes 1 and 2 </w:t>
      </w:r>
      <w:r w:rsidR="00C30533">
        <w:t>and take action as appropriate</w:t>
      </w:r>
      <w:r w:rsidR="00B63D11" w:rsidRPr="008A25B0">
        <w:t>.</w:t>
      </w:r>
    </w:p>
    <w:p w:rsidR="00130DE2" w:rsidRDefault="00130DE2" w:rsidP="00867DF0">
      <w:pPr>
        <w:pStyle w:val="SingleTxtG"/>
      </w:pPr>
    </w:p>
    <w:p w:rsidR="00130DE2" w:rsidRDefault="00130DE2" w:rsidP="00867DF0">
      <w:pPr>
        <w:pStyle w:val="SingleTxtG"/>
      </w:pPr>
      <w:r>
        <w:br w:type="page"/>
      </w:r>
    </w:p>
    <w:p w:rsidR="00130DE2" w:rsidRDefault="00130DE2" w:rsidP="006B01DA">
      <w:pPr>
        <w:pStyle w:val="HChG"/>
      </w:pPr>
      <w:bookmarkStart w:id="1" w:name="OLE_LINK1"/>
      <w:bookmarkStart w:id="2" w:name="OLE_LINK2"/>
      <w:r>
        <w:lastRenderedPageBreak/>
        <w:t>Annex 1</w:t>
      </w:r>
    </w:p>
    <w:p w:rsidR="00130DE2" w:rsidRDefault="006B01DA" w:rsidP="006B01DA">
      <w:pPr>
        <w:pStyle w:val="HChG"/>
      </w:pPr>
      <w:r>
        <w:tab/>
      </w:r>
      <w:r>
        <w:tab/>
        <w:t>Draft e</w:t>
      </w:r>
      <w:r w:rsidRPr="009E25B5">
        <w:t>ditorial</w:t>
      </w:r>
      <w:r>
        <w:t xml:space="preserve"> corrections to the English v</w:t>
      </w:r>
      <w:r w:rsidRPr="009E25B5">
        <w:t>ersion</w:t>
      </w:r>
      <w:r>
        <w:t xml:space="preserve"> </w:t>
      </w:r>
      <w:r w:rsidRPr="009E25B5">
        <w:t xml:space="preserve">of the IMDG </w:t>
      </w:r>
      <w:r>
        <w:t>C</w:t>
      </w:r>
      <w:r w:rsidRPr="009E25B5">
        <w:t xml:space="preserve">ode amendment 38-16 adopted by resolution </w:t>
      </w:r>
      <w:proofErr w:type="gramStart"/>
      <w:r w:rsidRPr="009E25B5">
        <w:t>msc.406(</w:t>
      </w:r>
      <w:proofErr w:type="gramEnd"/>
      <w:r w:rsidRPr="009E25B5">
        <w:t>96)</w:t>
      </w:r>
    </w:p>
    <w:bookmarkEnd w:id="1"/>
    <w:bookmarkEnd w:id="2"/>
    <w:p w:rsidR="00130DE2" w:rsidRPr="00712D90" w:rsidRDefault="00130DE2" w:rsidP="006B01DA">
      <w:pPr>
        <w:ind w:left="567" w:firstLine="567"/>
        <w:rPr>
          <w:rFonts w:cs="Arial"/>
          <w:i/>
          <w:szCs w:val="22"/>
        </w:rPr>
      </w:pPr>
      <w:r>
        <w:rPr>
          <w:rFonts w:cs="Arial"/>
          <w:i/>
          <w:szCs w:val="22"/>
        </w:rPr>
        <w:t xml:space="preserve">Note: </w:t>
      </w:r>
      <w:r w:rsidRPr="00712D90">
        <w:rPr>
          <w:rFonts w:cs="Arial"/>
          <w:i/>
          <w:szCs w:val="22"/>
        </w:rPr>
        <w:t>The highlighted (</w:t>
      </w:r>
      <w:r w:rsidRPr="00712D90">
        <w:rPr>
          <w:rFonts w:cs="Arial"/>
          <w:i/>
          <w:szCs w:val="22"/>
          <w:highlight w:val="cyan"/>
        </w:rPr>
        <w:t>light blue</w:t>
      </w:r>
      <w:r w:rsidRPr="00712D90">
        <w:rPr>
          <w:rFonts w:cs="Arial"/>
          <w:i/>
          <w:szCs w:val="22"/>
        </w:rPr>
        <w:t xml:space="preserve">) text is related to UN Model Regulations.  </w:t>
      </w:r>
    </w:p>
    <w:p w:rsidR="00130DE2" w:rsidRDefault="00130DE2" w:rsidP="00130DE2">
      <w:pPr>
        <w:rPr>
          <w:rFonts w:cs="Arial"/>
          <w:i/>
          <w:szCs w:val="22"/>
        </w:rPr>
      </w:pPr>
    </w:p>
    <w:p w:rsidR="00130DE2" w:rsidRPr="00712D90" w:rsidRDefault="00130DE2" w:rsidP="00130DE2">
      <w:pPr>
        <w:rPr>
          <w:rFonts w:cs="Arial"/>
          <w:i/>
          <w:szCs w:val="22"/>
        </w:rPr>
      </w:pPr>
    </w:p>
    <w:p w:rsidR="00130DE2" w:rsidRPr="009E25B5" w:rsidRDefault="00130DE2" w:rsidP="00130DE2">
      <w:pPr>
        <w:keepNext/>
        <w:keepLines/>
        <w:autoSpaceDE w:val="0"/>
        <w:autoSpaceDN w:val="0"/>
        <w:adjustRightInd w:val="0"/>
        <w:jc w:val="center"/>
        <w:rPr>
          <w:rFonts w:cs="Arial"/>
          <w:b/>
          <w:szCs w:val="22"/>
        </w:rPr>
      </w:pPr>
      <w:r w:rsidRPr="009E25B5">
        <w:rPr>
          <w:rFonts w:cs="Arial"/>
          <w:b/>
          <w:szCs w:val="22"/>
        </w:rPr>
        <w:t>PART 4</w:t>
      </w:r>
    </w:p>
    <w:p w:rsidR="00130DE2" w:rsidRPr="009E25B5" w:rsidRDefault="00130DE2" w:rsidP="00130DE2">
      <w:pPr>
        <w:keepNext/>
        <w:keepLines/>
        <w:autoSpaceDE w:val="0"/>
        <w:autoSpaceDN w:val="0"/>
        <w:adjustRightInd w:val="0"/>
        <w:jc w:val="center"/>
        <w:rPr>
          <w:rFonts w:cs="Arial"/>
          <w:b/>
          <w:szCs w:val="22"/>
        </w:rPr>
      </w:pPr>
      <w:r w:rsidRPr="009E25B5">
        <w:rPr>
          <w:rFonts w:cs="Arial"/>
          <w:b/>
          <w:szCs w:val="22"/>
        </w:rPr>
        <w:t>PACKING AND TANK PROVISIONS</w:t>
      </w:r>
    </w:p>
    <w:p w:rsidR="00130DE2" w:rsidRPr="009E25B5" w:rsidRDefault="00130DE2" w:rsidP="00130DE2">
      <w:pPr>
        <w:keepNext/>
        <w:keepLines/>
        <w:autoSpaceDE w:val="0"/>
        <w:autoSpaceDN w:val="0"/>
        <w:adjustRightInd w:val="0"/>
        <w:rPr>
          <w:rFonts w:cs="Arial"/>
          <w:szCs w:val="22"/>
        </w:rPr>
      </w:pPr>
    </w:p>
    <w:p w:rsidR="00130DE2" w:rsidRPr="009E25B5" w:rsidRDefault="00130DE2" w:rsidP="00130DE2">
      <w:pPr>
        <w:autoSpaceDE w:val="0"/>
        <w:autoSpaceDN w:val="0"/>
        <w:adjustRightInd w:val="0"/>
        <w:jc w:val="center"/>
        <w:rPr>
          <w:rFonts w:cs="Arial"/>
          <w:b/>
          <w:szCs w:val="22"/>
        </w:rPr>
      </w:pPr>
      <w:r w:rsidRPr="009E25B5">
        <w:rPr>
          <w:rFonts w:cs="Arial"/>
          <w:b/>
          <w:szCs w:val="22"/>
        </w:rPr>
        <w:t>Chapter 4.1</w:t>
      </w:r>
    </w:p>
    <w:p w:rsidR="00130DE2" w:rsidRPr="009E25B5" w:rsidRDefault="00130DE2" w:rsidP="00130DE2">
      <w:pPr>
        <w:autoSpaceDE w:val="0"/>
        <w:autoSpaceDN w:val="0"/>
        <w:adjustRightInd w:val="0"/>
        <w:jc w:val="center"/>
        <w:rPr>
          <w:rFonts w:cs="Arial"/>
          <w:b/>
          <w:szCs w:val="22"/>
        </w:rPr>
      </w:pPr>
      <w:r w:rsidRPr="009E25B5">
        <w:rPr>
          <w:rFonts w:cs="Arial"/>
          <w:b/>
          <w:szCs w:val="22"/>
        </w:rPr>
        <w:t xml:space="preserve">Use of </w:t>
      </w:r>
      <w:proofErr w:type="spellStart"/>
      <w:r w:rsidRPr="009E25B5">
        <w:rPr>
          <w:rFonts w:cs="Arial"/>
          <w:b/>
          <w:szCs w:val="22"/>
        </w:rPr>
        <w:t>packagings</w:t>
      </w:r>
      <w:proofErr w:type="spellEnd"/>
      <w:r w:rsidRPr="009E25B5">
        <w:rPr>
          <w:rFonts w:cs="Arial"/>
          <w:b/>
          <w:szCs w:val="22"/>
        </w:rPr>
        <w:t>, including intermediate bulk</w:t>
      </w:r>
      <w:r>
        <w:rPr>
          <w:rFonts w:cs="Arial"/>
          <w:b/>
          <w:szCs w:val="22"/>
        </w:rPr>
        <w:t xml:space="preserve"> </w:t>
      </w:r>
    </w:p>
    <w:p w:rsidR="00130DE2" w:rsidRPr="009E25B5" w:rsidRDefault="00130DE2" w:rsidP="00130DE2">
      <w:pPr>
        <w:autoSpaceDE w:val="0"/>
        <w:autoSpaceDN w:val="0"/>
        <w:adjustRightInd w:val="0"/>
        <w:jc w:val="center"/>
        <w:rPr>
          <w:rFonts w:cs="Arial"/>
          <w:b/>
          <w:szCs w:val="22"/>
        </w:rPr>
      </w:pPr>
      <w:proofErr w:type="gramStart"/>
      <w:r w:rsidRPr="009E25B5">
        <w:rPr>
          <w:rFonts w:cs="Arial"/>
          <w:b/>
          <w:szCs w:val="22"/>
        </w:rPr>
        <w:t>containers</w:t>
      </w:r>
      <w:proofErr w:type="gramEnd"/>
      <w:r w:rsidRPr="009E25B5">
        <w:rPr>
          <w:rFonts w:cs="Arial"/>
          <w:b/>
          <w:szCs w:val="22"/>
        </w:rPr>
        <w:t xml:space="preserve"> (IBCs) and large </w:t>
      </w:r>
      <w:proofErr w:type="spellStart"/>
      <w:r w:rsidRPr="009E25B5">
        <w:rPr>
          <w:rFonts w:cs="Arial"/>
          <w:b/>
          <w:szCs w:val="22"/>
        </w:rPr>
        <w:t>packagings</w:t>
      </w:r>
      <w:proofErr w:type="spellEnd"/>
    </w:p>
    <w:p w:rsidR="00130DE2" w:rsidRPr="009E25B5" w:rsidRDefault="00130DE2" w:rsidP="00130DE2">
      <w:pPr>
        <w:autoSpaceDE w:val="0"/>
        <w:autoSpaceDN w:val="0"/>
        <w:adjustRightInd w:val="0"/>
        <w:rPr>
          <w:rFonts w:cs="Arial"/>
          <w:szCs w:val="22"/>
        </w:rPr>
      </w:pPr>
    </w:p>
    <w:p w:rsidR="00130DE2" w:rsidRPr="009E25B5" w:rsidRDefault="00130DE2" w:rsidP="00130DE2">
      <w:pPr>
        <w:autoSpaceDE w:val="0"/>
        <w:autoSpaceDN w:val="0"/>
        <w:adjustRightInd w:val="0"/>
        <w:rPr>
          <w:rFonts w:cs="Arial"/>
          <w:b/>
          <w:szCs w:val="22"/>
        </w:rPr>
      </w:pPr>
      <w:r w:rsidRPr="009E25B5">
        <w:rPr>
          <w:rFonts w:cs="Arial"/>
          <w:b/>
          <w:szCs w:val="22"/>
        </w:rPr>
        <w:t>4.1.4</w:t>
      </w:r>
      <w:r w:rsidRPr="009E25B5">
        <w:rPr>
          <w:rFonts w:cs="Arial"/>
          <w:b/>
          <w:szCs w:val="22"/>
        </w:rPr>
        <w:tab/>
        <w:t>List of packing instructions</w:t>
      </w:r>
    </w:p>
    <w:p w:rsidR="00130DE2" w:rsidRPr="009E25B5" w:rsidRDefault="00130DE2" w:rsidP="00130DE2">
      <w:pPr>
        <w:autoSpaceDE w:val="0"/>
        <w:autoSpaceDN w:val="0"/>
        <w:adjustRightInd w:val="0"/>
        <w:rPr>
          <w:rFonts w:cs="Arial"/>
          <w:b/>
          <w:szCs w:val="22"/>
        </w:rPr>
      </w:pPr>
    </w:p>
    <w:p w:rsidR="00130DE2" w:rsidRPr="009E25B5" w:rsidRDefault="00130DE2" w:rsidP="00130DE2">
      <w:pPr>
        <w:autoSpaceDE w:val="0"/>
        <w:autoSpaceDN w:val="0"/>
        <w:adjustRightInd w:val="0"/>
        <w:ind w:left="851" w:hanging="851"/>
        <w:rPr>
          <w:rFonts w:cs="Arial"/>
          <w:b/>
          <w:szCs w:val="22"/>
        </w:rPr>
      </w:pPr>
      <w:r w:rsidRPr="009E25B5">
        <w:rPr>
          <w:rFonts w:cs="Arial"/>
          <w:b/>
          <w:szCs w:val="22"/>
        </w:rPr>
        <w:t>4.1.4.1</w:t>
      </w:r>
      <w:r w:rsidRPr="009E25B5">
        <w:rPr>
          <w:rFonts w:cs="Arial"/>
          <w:b/>
          <w:szCs w:val="22"/>
        </w:rPr>
        <w:tab/>
        <w:t xml:space="preserve">Packing instructions concerning the use of </w:t>
      </w:r>
      <w:proofErr w:type="spellStart"/>
      <w:r w:rsidRPr="009E25B5">
        <w:rPr>
          <w:rFonts w:cs="Arial"/>
          <w:b/>
          <w:szCs w:val="22"/>
        </w:rPr>
        <w:t>packagings</w:t>
      </w:r>
      <w:proofErr w:type="spellEnd"/>
      <w:r w:rsidRPr="009E25B5">
        <w:rPr>
          <w:rFonts w:cs="Arial"/>
          <w:b/>
          <w:szCs w:val="22"/>
        </w:rPr>
        <w:t xml:space="preserve"> (except IBCs and large </w:t>
      </w:r>
      <w:proofErr w:type="spellStart"/>
      <w:r w:rsidRPr="009E25B5">
        <w:rPr>
          <w:rFonts w:cs="Arial"/>
          <w:b/>
          <w:szCs w:val="22"/>
        </w:rPr>
        <w:t>packagings</w:t>
      </w:r>
      <w:proofErr w:type="spellEnd"/>
      <w:r w:rsidRPr="009E25B5">
        <w:rPr>
          <w:rFonts w:cs="Arial"/>
          <w:b/>
          <w:szCs w:val="22"/>
        </w:rPr>
        <w:t>)</w:t>
      </w:r>
    </w:p>
    <w:p w:rsidR="00130DE2" w:rsidRPr="009E25B5" w:rsidRDefault="00130DE2" w:rsidP="00130DE2">
      <w:pPr>
        <w:ind w:left="851" w:hanging="851"/>
        <w:rPr>
          <w:rFonts w:cs="Arial"/>
          <w:szCs w:val="22"/>
          <w:lang w:val="en-US"/>
        </w:rPr>
      </w:pPr>
    </w:p>
    <w:p w:rsidR="00130DE2" w:rsidRPr="009E25B5" w:rsidRDefault="00130DE2" w:rsidP="00130DE2">
      <w:pPr>
        <w:ind w:left="851" w:hanging="849"/>
        <w:contextualSpacing/>
        <w:rPr>
          <w:rFonts w:cs="Arial"/>
          <w:i/>
          <w:color w:val="4F81BD"/>
          <w:szCs w:val="22"/>
          <w:lang w:eastAsia="ko-KR"/>
        </w:rPr>
      </w:pPr>
      <w:r w:rsidRPr="009E25B5">
        <w:rPr>
          <w:rFonts w:cs="Arial"/>
          <w:szCs w:val="22"/>
          <w:highlight w:val="cyan"/>
          <w:lang w:eastAsia="ko-KR"/>
        </w:rPr>
        <w:t>P200</w:t>
      </w:r>
      <w:r w:rsidRPr="009E25B5">
        <w:rPr>
          <w:rFonts w:cs="Arial"/>
          <w:szCs w:val="22"/>
          <w:highlight w:val="cyan"/>
          <w:lang w:eastAsia="ko-KR"/>
        </w:rPr>
        <w:tab/>
        <w:t xml:space="preserve">In </w:t>
      </w:r>
      <w:r>
        <w:rPr>
          <w:rFonts w:cs="Arial"/>
          <w:szCs w:val="22"/>
          <w:highlight w:val="cyan"/>
          <w:lang w:eastAsia="ko-KR"/>
        </w:rPr>
        <w:t>paragraph</w:t>
      </w:r>
      <w:r w:rsidRPr="009E25B5">
        <w:rPr>
          <w:rFonts w:cs="Arial"/>
          <w:szCs w:val="22"/>
          <w:highlight w:val="cyan"/>
          <w:lang w:eastAsia="ko-KR"/>
        </w:rPr>
        <w:t xml:space="preserve"> (3</w:t>
      </w:r>
      <w:proofErr w:type="gramStart"/>
      <w:r w:rsidRPr="009E25B5">
        <w:rPr>
          <w:rFonts w:cs="Arial"/>
          <w:szCs w:val="22"/>
          <w:highlight w:val="cyan"/>
          <w:lang w:eastAsia="ko-KR"/>
        </w:rPr>
        <w:t>)(</w:t>
      </w:r>
      <w:proofErr w:type="gramEnd"/>
      <w:r w:rsidRPr="009E25B5">
        <w:rPr>
          <w:rFonts w:cs="Arial"/>
          <w:szCs w:val="22"/>
          <w:highlight w:val="cyan"/>
          <w:lang w:eastAsia="ko-KR"/>
        </w:rPr>
        <w:t xml:space="preserve">a) replace the reference to </w:t>
      </w:r>
      <w:r>
        <w:rPr>
          <w:rFonts w:cs="Arial"/>
          <w:szCs w:val="22"/>
          <w:highlight w:val="cyan"/>
          <w:lang w:eastAsia="ko-KR"/>
        </w:rPr>
        <w:t>"</w:t>
      </w:r>
      <w:r w:rsidRPr="009E25B5">
        <w:rPr>
          <w:rFonts w:cs="Arial"/>
          <w:szCs w:val="22"/>
          <w:highlight w:val="cyan"/>
          <w:lang w:eastAsia="ko-KR"/>
        </w:rPr>
        <w:t>(4)</w:t>
      </w:r>
      <w:r>
        <w:rPr>
          <w:rFonts w:cs="Arial"/>
          <w:szCs w:val="22"/>
          <w:highlight w:val="cyan"/>
          <w:lang w:eastAsia="ko-KR"/>
        </w:rPr>
        <w:t>"</w:t>
      </w:r>
      <w:r w:rsidRPr="009E25B5">
        <w:rPr>
          <w:rFonts w:cs="Arial"/>
          <w:szCs w:val="22"/>
          <w:highlight w:val="cyan"/>
          <w:lang w:eastAsia="ko-KR"/>
        </w:rPr>
        <w:t xml:space="preserve"> with </w:t>
      </w:r>
      <w:r>
        <w:rPr>
          <w:rFonts w:cs="Arial"/>
          <w:szCs w:val="22"/>
          <w:highlight w:val="cyan"/>
          <w:lang w:eastAsia="ko-KR"/>
        </w:rPr>
        <w:t>"</w:t>
      </w:r>
      <w:r w:rsidRPr="009E25B5">
        <w:rPr>
          <w:rFonts w:cs="Arial"/>
          <w:szCs w:val="22"/>
          <w:highlight w:val="cyan"/>
          <w:lang w:eastAsia="ko-KR"/>
        </w:rPr>
        <w:t>(5)</w:t>
      </w:r>
      <w:r>
        <w:rPr>
          <w:rFonts w:cs="Arial"/>
          <w:szCs w:val="22"/>
          <w:highlight w:val="cyan"/>
          <w:lang w:eastAsia="ko-KR"/>
        </w:rPr>
        <w:t>"</w:t>
      </w:r>
      <w:r w:rsidRPr="009E25B5">
        <w:rPr>
          <w:rFonts w:cs="Arial"/>
          <w:szCs w:val="22"/>
          <w:highlight w:val="cyan"/>
          <w:lang w:eastAsia="ko-KR"/>
        </w:rPr>
        <w:t xml:space="preserve">, to read as follows: </w:t>
      </w:r>
    </w:p>
    <w:p w:rsidR="00130DE2" w:rsidRPr="009E25B5" w:rsidRDefault="00130DE2" w:rsidP="00130DE2">
      <w:pPr>
        <w:ind w:leftChars="381" w:left="762"/>
        <w:contextualSpacing/>
        <w:rPr>
          <w:rFonts w:cs="Arial"/>
          <w:szCs w:val="22"/>
          <w:lang w:eastAsia="ko-KR"/>
        </w:rPr>
      </w:pPr>
    </w:p>
    <w:p w:rsidR="00130DE2" w:rsidRPr="009E25B5" w:rsidRDefault="00130DE2" w:rsidP="00130DE2">
      <w:pPr>
        <w:ind w:leftChars="387" w:left="1544" w:hangingChars="385" w:hanging="770"/>
        <w:contextualSpacing/>
        <w:rPr>
          <w:rFonts w:cs="Arial"/>
          <w:szCs w:val="22"/>
          <w:lang w:eastAsia="ko-KR"/>
        </w:rPr>
      </w:pPr>
      <w:r>
        <w:rPr>
          <w:rFonts w:cs="Arial"/>
          <w:szCs w:val="22"/>
          <w:lang w:eastAsia="ko-KR"/>
        </w:rPr>
        <w:t>"</w:t>
      </w:r>
      <w:r w:rsidRPr="009E25B5">
        <w:rPr>
          <w:rFonts w:cs="Arial"/>
          <w:szCs w:val="22"/>
          <w:lang w:eastAsia="ko-KR"/>
        </w:rPr>
        <w:t xml:space="preserve">(a) </w:t>
      </w:r>
      <w:r w:rsidRPr="009E25B5">
        <w:rPr>
          <w:rFonts w:cs="Arial"/>
          <w:szCs w:val="22"/>
          <w:lang w:eastAsia="ko-KR"/>
        </w:rPr>
        <w:tab/>
      </w:r>
      <w:proofErr w:type="gramStart"/>
      <w:r w:rsidRPr="009E25B5">
        <w:rPr>
          <w:rFonts w:cs="Arial"/>
          <w:szCs w:val="22"/>
          <w:lang w:eastAsia="ko-KR"/>
        </w:rPr>
        <w:t>For</w:t>
      </w:r>
      <w:proofErr w:type="gramEnd"/>
      <w:r w:rsidRPr="009E25B5">
        <w:rPr>
          <w:rFonts w:cs="Arial"/>
          <w:szCs w:val="22"/>
          <w:lang w:eastAsia="ko-KR"/>
        </w:rPr>
        <w:t xml:space="preserve"> compressed gases, the working pressure shall be not more than two thirds of the test pressure of the pressure receptacles. Restrictions to this upper limit on working pressure are imposed by special packing provision </w:t>
      </w:r>
      <w:r>
        <w:rPr>
          <w:rFonts w:cs="Arial"/>
          <w:szCs w:val="22"/>
          <w:lang w:eastAsia="ko-KR"/>
        </w:rPr>
        <w:t>"</w:t>
      </w:r>
      <w:r w:rsidRPr="009E25B5">
        <w:rPr>
          <w:rFonts w:cs="Arial"/>
          <w:szCs w:val="22"/>
          <w:lang w:eastAsia="ko-KR"/>
        </w:rPr>
        <w:t>o</w:t>
      </w:r>
      <w:r>
        <w:rPr>
          <w:rFonts w:cs="Arial"/>
          <w:szCs w:val="22"/>
          <w:lang w:eastAsia="ko-KR"/>
        </w:rPr>
        <w:t>"</w:t>
      </w:r>
      <w:r w:rsidRPr="009E25B5">
        <w:rPr>
          <w:rFonts w:cs="Arial"/>
          <w:szCs w:val="22"/>
          <w:lang w:eastAsia="ko-KR"/>
        </w:rPr>
        <w:t xml:space="preserve"> in (5) below. In no case shall the internal pressure at 65</w:t>
      </w:r>
      <w:r>
        <w:rPr>
          <w:rFonts w:cs="Arial"/>
          <w:szCs w:val="22"/>
          <w:lang w:eastAsia="ko-KR"/>
        </w:rPr>
        <w:t xml:space="preserve">°C </w:t>
      </w:r>
      <w:r w:rsidRPr="009E25B5">
        <w:rPr>
          <w:rFonts w:cs="Arial"/>
          <w:szCs w:val="22"/>
          <w:lang w:eastAsia="ko-KR"/>
        </w:rPr>
        <w:t>exceed the test pressure.</w:t>
      </w:r>
      <w:proofErr w:type="gramStart"/>
      <w:r>
        <w:rPr>
          <w:rFonts w:cs="Arial"/>
          <w:szCs w:val="22"/>
          <w:lang w:eastAsia="ko-KR"/>
        </w:rPr>
        <w:t>"</w:t>
      </w:r>
      <w:r w:rsidRPr="009E25B5">
        <w:rPr>
          <w:rFonts w:cs="Arial"/>
          <w:szCs w:val="22"/>
          <w:lang w:eastAsia="ko-KR"/>
        </w:rPr>
        <w:t>.</w:t>
      </w:r>
      <w:proofErr w:type="gramEnd"/>
    </w:p>
    <w:p w:rsidR="00130DE2" w:rsidRPr="009E25B5" w:rsidRDefault="00130DE2" w:rsidP="00130DE2">
      <w:pPr>
        <w:tabs>
          <w:tab w:val="left" w:pos="720"/>
        </w:tabs>
        <w:ind w:left="1636" w:hangingChars="818" w:hanging="1636"/>
        <w:contextualSpacing/>
        <w:rPr>
          <w:rFonts w:cs="Arial"/>
          <w:szCs w:val="22"/>
          <w:lang w:eastAsia="ko-KR"/>
        </w:rPr>
      </w:pPr>
    </w:p>
    <w:p w:rsidR="00130DE2" w:rsidRPr="00070796" w:rsidRDefault="00130DE2" w:rsidP="00130DE2">
      <w:pPr>
        <w:keepNext/>
        <w:keepLines/>
        <w:ind w:left="851"/>
        <w:contextualSpacing/>
        <w:rPr>
          <w:rFonts w:cs="Arial"/>
          <w:i/>
          <w:color w:val="4F81BD"/>
          <w:spacing w:val="-2"/>
          <w:szCs w:val="22"/>
          <w:lang w:eastAsia="ko-KR"/>
        </w:rPr>
      </w:pPr>
      <w:r w:rsidRPr="00070796">
        <w:rPr>
          <w:rFonts w:cs="Arial"/>
          <w:spacing w:val="-2"/>
          <w:szCs w:val="22"/>
          <w:highlight w:val="cyan"/>
          <w:lang w:eastAsia="ko-KR"/>
        </w:rPr>
        <w:t>In paragraph (3</w:t>
      </w:r>
      <w:proofErr w:type="gramStart"/>
      <w:r w:rsidRPr="00070796">
        <w:rPr>
          <w:rFonts w:cs="Arial"/>
          <w:spacing w:val="-2"/>
          <w:szCs w:val="22"/>
          <w:highlight w:val="cyan"/>
          <w:lang w:eastAsia="ko-KR"/>
        </w:rPr>
        <w:t>)(</w:t>
      </w:r>
      <w:proofErr w:type="gramEnd"/>
      <w:r w:rsidRPr="00070796">
        <w:rPr>
          <w:rFonts w:cs="Arial"/>
          <w:spacing w:val="-2"/>
          <w:szCs w:val="22"/>
          <w:highlight w:val="cyan"/>
          <w:lang w:eastAsia="ko-KR"/>
        </w:rPr>
        <w:t>b) and (b)(</w:t>
      </w:r>
      <w:proofErr w:type="spellStart"/>
      <w:r w:rsidRPr="00070796">
        <w:rPr>
          <w:rFonts w:cs="Arial"/>
          <w:spacing w:val="-2"/>
          <w:szCs w:val="22"/>
          <w:highlight w:val="cyan"/>
          <w:lang w:eastAsia="ko-KR"/>
        </w:rPr>
        <w:t>i</w:t>
      </w:r>
      <w:proofErr w:type="spellEnd"/>
      <w:r w:rsidRPr="00070796">
        <w:rPr>
          <w:rFonts w:cs="Arial"/>
          <w:spacing w:val="-2"/>
          <w:szCs w:val="22"/>
          <w:highlight w:val="cyan"/>
          <w:lang w:eastAsia="ko-KR"/>
        </w:rPr>
        <w:t xml:space="preserve">) replace the reference to </w:t>
      </w:r>
      <w:r>
        <w:rPr>
          <w:rFonts w:cs="Arial"/>
          <w:spacing w:val="-2"/>
          <w:szCs w:val="22"/>
          <w:highlight w:val="cyan"/>
          <w:lang w:eastAsia="ko-KR"/>
        </w:rPr>
        <w:t>"</w:t>
      </w:r>
      <w:r w:rsidRPr="00070796">
        <w:rPr>
          <w:rFonts w:cs="Arial"/>
          <w:spacing w:val="-2"/>
          <w:szCs w:val="22"/>
          <w:highlight w:val="cyan"/>
          <w:lang w:eastAsia="ko-KR"/>
        </w:rPr>
        <w:t>(4)</w:t>
      </w:r>
      <w:r>
        <w:rPr>
          <w:rFonts w:cs="Arial"/>
          <w:spacing w:val="-2"/>
          <w:szCs w:val="22"/>
          <w:highlight w:val="cyan"/>
          <w:lang w:eastAsia="ko-KR"/>
        </w:rPr>
        <w:t>"</w:t>
      </w:r>
      <w:r w:rsidRPr="00070796">
        <w:rPr>
          <w:rFonts w:cs="Arial"/>
          <w:spacing w:val="-2"/>
          <w:szCs w:val="22"/>
          <w:highlight w:val="cyan"/>
          <w:lang w:eastAsia="ko-KR"/>
        </w:rPr>
        <w:t xml:space="preserve"> with </w:t>
      </w:r>
      <w:r>
        <w:rPr>
          <w:rFonts w:cs="Arial"/>
          <w:spacing w:val="-2"/>
          <w:szCs w:val="22"/>
          <w:highlight w:val="cyan"/>
          <w:lang w:eastAsia="ko-KR"/>
        </w:rPr>
        <w:t>"</w:t>
      </w:r>
      <w:r w:rsidRPr="00070796">
        <w:rPr>
          <w:rFonts w:cs="Arial"/>
          <w:spacing w:val="-2"/>
          <w:szCs w:val="22"/>
          <w:highlight w:val="cyan"/>
          <w:lang w:eastAsia="ko-KR"/>
        </w:rPr>
        <w:t>(5)</w:t>
      </w:r>
      <w:r>
        <w:rPr>
          <w:rFonts w:cs="Arial"/>
          <w:spacing w:val="-2"/>
          <w:szCs w:val="22"/>
          <w:highlight w:val="cyan"/>
          <w:lang w:eastAsia="ko-KR"/>
        </w:rPr>
        <w:t>"</w:t>
      </w:r>
      <w:r w:rsidRPr="00070796">
        <w:rPr>
          <w:rFonts w:cs="Arial"/>
          <w:spacing w:val="-2"/>
          <w:szCs w:val="22"/>
          <w:highlight w:val="cyan"/>
          <w:lang w:eastAsia="ko-KR"/>
        </w:rPr>
        <w:t>, to read as follows:</w:t>
      </w:r>
      <w:r w:rsidRPr="00070796">
        <w:rPr>
          <w:rFonts w:cs="Arial"/>
          <w:i/>
          <w:color w:val="4F81BD"/>
          <w:spacing w:val="-2"/>
          <w:szCs w:val="22"/>
          <w:highlight w:val="cyan"/>
          <w:lang w:eastAsia="ko-KR"/>
        </w:rPr>
        <w:t xml:space="preserve"> </w:t>
      </w:r>
    </w:p>
    <w:p w:rsidR="00130DE2" w:rsidRPr="009E25B5" w:rsidRDefault="00130DE2" w:rsidP="00130DE2">
      <w:pPr>
        <w:keepNext/>
        <w:keepLines/>
        <w:ind w:leftChars="381" w:left="762"/>
        <w:contextualSpacing/>
        <w:rPr>
          <w:rFonts w:cs="Arial"/>
          <w:szCs w:val="22"/>
          <w:lang w:eastAsia="ko-KR"/>
        </w:rPr>
      </w:pPr>
    </w:p>
    <w:p w:rsidR="00130DE2" w:rsidRPr="009E25B5" w:rsidRDefault="00130DE2" w:rsidP="00130DE2">
      <w:pPr>
        <w:keepNext/>
        <w:keepLines/>
        <w:ind w:leftChars="381" w:left="1546" w:hangingChars="392" w:hanging="784"/>
        <w:contextualSpacing/>
        <w:rPr>
          <w:rFonts w:eastAsia="Gulim" w:cs="Arial"/>
          <w:szCs w:val="22"/>
          <w:lang w:eastAsia="ko-KR"/>
        </w:rPr>
      </w:pPr>
      <w:r>
        <w:rPr>
          <w:rFonts w:cs="Arial"/>
          <w:szCs w:val="22"/>
          <w:lang w:eastAsia="ko-KR"/>
        </w:rPr>
        <w:t>"</w:t>
      </w:r>
      <w:r w:rsidRPr="009E25B5">
        <w:rPr>
          <w:rFonts w:cs="Arial"/>
          <w:szCs w:val="22"/>
          <w:lang w:eastAsia="ko-KR"/>
        </w:rPr>
        <w:t xml:space="preserve">(b) </w:t>
      </w:r>
      <w:r w:rsidRPr="009E25B5">
        <w:rPr>
          <w:rFonts w:cs="Arial"/>
          <w:szCs w:val="22"/>
          <w:lang w:eastAsia="ko-KR"/>
        </w:rPr>
        <w:tab/>
        <w:t xml:space="preserve">For high pressure </w:t>
      </w:r>
      <w:r w:rsidRPr="00677946">
        <w:rPr>
          <w:rFonts w:cs="Arial"/>
          <w:szCs w:val="22"/>
          <w:lang w:eastAsia="ko-KR"/>
        </w:rPr>
        <w:t>liquefied gases, the filling ratio shall be such that the settled pressure at 65°C</w:t>
      </w:r>
      <w:r w:rsidRPr="00677946">
        <w:rPr>
          <w:rFonts w:eastAsia="Gulim" w:cs="Arial"/>
          <w:szCs w:val="22"/>
          <w:lang w:eastAsia="ko-KR"/>
        </w:rPr>
        <w:t xml:space="preserve"> does not</w:t>
      </w:r>
      <w:r w:rsidRPr="009E25B5">
        <w:rPr>
          <w:rFonts w:eastAsia="Gulim" w:cs="Arial"/>
          <w:szCs w:val="22"/>
          <w:lang w:eastAsia="ko-KR"/>
        </w:rPr>
        <w:t xml:space="preserve"> exceed the test pressure of the pressure receptacles.</w:t>
      </w:r>
    </w:p>
    <w:p w:rsidR="00130DE2" w:rsidRPr="009E25B5" w:rsidRDefault="00130DE2" w:rsidP="00130DE2">
      <w:pPr>
        <w:rPr>
          <w:rFonts w:cs="Arial"/>
          <w:szCs w:val="22"/>
          <w:lang w:eastAsia="ko-KR"/>
        </w:rPr>
      </w:pPr>
    </w:p>
    <w:p w:rsidR="00130DE2" w:rsidRPr="009E25B5" w:rsidRDefault="00130DE2" w:rsidP="00130DE2">
      <w:pPr>
        <w:ind w:leftChars="773" w:left="1546"/>
        <w:contextualSpacing/>
        <w:rPr>
          <w:rFonts w:cs="Arial"/>
          <w:szCs w:val="22"/>
          <w:lang w:eastAsia="ko-KR"/>
        </w:rPr>
      </w:pPr>
      <w:r w:rsidRPr="009E25B5">
        <w:rPr>
          <w:rFonts w:cs="Arial"/>
          <w:szCs w:val="22"/>
          <w:lang w:eastAsia="ko-KR"/>
        </w:rPr>
        <w:t xml:space="preserve">The use of test pressure and filling ratios other than those in the table is permitted, except where (5), special packing provision </w:t>
      </w:r>
      <w:r>
        <w:rPr>
          <w:rFonts w:cs="Arial"/>
          <w:szCs w:val="22"/>
          <w:lang w:eastAsia="ko-KR"/>
        </w:rPr>
        <w:t>"</w:t>
      </w:r>
      <w:r w:rsidRPr="009E25B5">
        <w:rPr>
          <w:rFonts w:cs="Arial"/>
          <w:szCs w:val="22"/>
          <w:lang w:eastAsia="ko-KR"/>
        </w:rPr>
        <w:t>o</w:t>
      </w:r>
      <w:r>
        <w:rPr>
          <w:rFonts w:cs="Arial"/>
          <w:szCs w:val="22"/>
          <w:lang w:eastAsia="ko-KR"/>
        </w:rPr>
        <w:t>"</w:t>
      </w:r>
      <w:r w:rsidRPr="009E25B5">
        <w:rPr>
          <w:rFonts w:cs="Arial"/>
          <w:szCs w:val="22"/>
          <w:lang w:eastAsia="ko-KR"/>
        </w:rPr>
        <w:t xml:space="preserve"> applies, provided that:</w:t>
      </w:r>
    </w:p>
    <w:p w:rsidR="00130DE2" w:rsidRPr="009E25B5" w:rsidRDefault="00130DE2" w:rsidP="00130DE2">
      <w:pPr>
        <w:rPr>
          <w:rFonts w:cs="Arial"/>
          <w:szCs w:val="22"/>
          <w:lang w:eastAsia="ko-KR"/>
        </w:rPr>
      </w:pPr>
    </w:p>
    <w:p w:rsidR="00130DE2" w:rsidRPr="009E25B5" w:rsidRDefault="00130DE2" w:rsidP="00130DE2">
      <w:pPr>
        <w:numPr>
          <w:ilvl w:val="0"/>
          <w:numId w:val="39"/>
        </w:numPr>
        <w:tabs>
          <w:tab w:val="left" w:pos="851"/>
        </w:tabs>
        <w:suppressAutoHyphens w:val="0"/>
        <w:spacing w:line="240" w:lineRule="auto"/>
        <w:ind w:leftChars="774" w:left="2397" w:hanging="849"/>
        <w:contextualSpacing/>
        <w:jc w:val="both"/>
        <w:rPr>
          <w:rFonts w:cs="Arial"/>
          <w:szCs w:val="22"/>
          <w:lang w:eastAsia="ko-KR"/>
        </w:rPr>
      </w:pPr>
      <w:proofErr w:type="gramStart"/>
      <w:r w:rsidRPr="009E25B5">
        <w:rPr>
          <w:rFonts w:cs="Arial"/>
          <w:szCs w:val="22"/>
          <w:lang w:eastAsia="ko-KR"/>
        </w:rPr>
        <w:t>the</w:t>
      </w:r>
      <w:proofErr w:type="gramEnd"/>
      <w:r w:rsidRPr="009E25B5">
        <w:rPr>
          <w:rFonts w:cs="Arial"/>
          <w:szCs w:val="22"/>
          <w:lang w:eastAsia="ko-KR"/>
        </w:rPr>
        <w:t xml:space="preserve"> criterion of (5), special packing provision </w:t>
      </w:r>
      <w:r>
        <w:rPr>
          <w:rFonts w:cs="Arial"/>
          <w:szCs w:val="22"/>
          <w:lang w:eastAsia="ko-KR"/>
        </w:rPr>
        <w:t>"</w:t>
      </w:r>
      <w:r w:rsidRPr="009E25B5">
        <w:rPr>
          <w:rFonts w:cs="Arial"/>
          <w:szCs w:val="22"/>
          <w:lang w:eastAsia="ko-KR"/>
        </w:rPr>
        <w:t>r</w:t>
      </w:r>
      <w:r>
        <w:rPr>
          <w:rFonts w:cs="Arial"/>
          <w:szCs w:val="22"/>
          <w:lang w:eastAsia="ko-KR"/>
        </w:rPr>
        <w:t>"</w:t>
      </w:r>
      <w:r w:rsidRPr="009E25B5">
        <w:rPr>
          <w:rFonts w:cs="Arial"/>
          <w:szCs w:val="22"/>
          <w:lang w:eastAsia="ko-KR"/>
        </w:rPr>
        <w:t xml:space="preserve"> is met when applicable; or</w:t>
      </w:r>
      <w:r>
        <w:rPr>
          <w:rFonts w:cs="Arial"/>
          <w:szCs w:val="22"/>
          <w:lang w:eastAsia="ko-KR"/>
        </w:rPr>
        <w:t>"</w:t>
      </w:r>
      <w:r w:rsidRPr="009E25B5">
        <w:rPr>
          <w:rFonts w:cs="Arial"/>
          <w:szCs w:val="22"/>
          <w:lang w:eastAsia="ko-KR"/>
        </w:rPr>
        <w:t>.</w:t>
      </w:r>
    </w:p>
    <w:p w:rsidR="00130DE2" w:rsidRPr="009E25B5" w:rsidRDefault="00130DE2" w:rsidP="00130DE2">
      <w:pPr>
        <w:rPr>
          <w:rFonts w:cs="Arial"/>
          <w:szCs w:val="22"/>
          <w:lang w:eastAsia="ko-KR"/>
        </w:rPr>
      </w:pPr>
    </w:p>
    <w:p w:rsidR="00130DE2" w:rsidRPr="009E25B5" w:rsidRDefault="00130DE2" w:rsidP="00130DE2">
      <w:pPr>
        <w:ind w:left="851"/>
        <w:contextualSpacing/>
        <w:rPr>
          <w:rFonts w:cs="Arial"/>
          <w:i/>
          <w:color w:val="4F81BD"/>
          <w:szCs w:val="22"/>
          <w:lang w:eastAsia="ko-KR"/>
        </w:rPr>
      </w:pPr>
      <w:r w:rsidRPr="009E25B5">
        <w:rPr>
          <w:rFonts w:cs="Arial"/>
          <w:szCs w:val="22"/>
          <w:highlight w:val="cyan"/>
          <w:lang w:eastAsia="ko-KR"/>
        </w:rPr>
        <w:t xml:space="preserve">In </w:t>
      </w:r>
      <w:r>
        <w:rPr>
          <w:rFonts w:cs="Arial"/>
          <w:szCs w:val="22"/>
          <w:highlight w:val="cyan"/>
          <w:lang w:eastAsia="ko-KR"/>
        </w:rPr>
        <w:t>paragraph</w:t>
      </w:r>
      <w:r w:rsidRPr="009E25B5">
        <w:rPr>
          <w:rFonts w:cs="Arial"/>
          <w:szCs w:val="22"/>
          <w:highlight w:val="cyan"/>
          <w:lang w:eastAsia="ko-KR"/>
        </w:rPr>
        <w:t xml:space="preserve"> (3</w:t>
      </w:r>
      <w:proofErr w:type="gramStart"/>
      <w:r w:rsidRPr="009E25B5">
        <w:rPr>
          <w:rFonts w:cs="Arial"/>
          <w:szCs w:val="22"/>
          <w:highlight w:val="cyan"/>
          <w:lang w:eastAsia="ko-KR"/>
        </w:rPr>
        <w:t>)(</w:t>
      </w:r>
      <w:proofErr w:type="gramEnd"/>
      <w:r w:rsidRPr="009E25B5">
        <w:rPr>
          <w:rFonts w:cs="Arial"/>
          <w:szCs w:val="22"/>
          <w:highlight w:val="cyan"/>
          <w:lang w:eastAsia="ko-KR"/>
        </w:rPr>
        <w:t xml:space="preserve">d) replace the reference to </w:t>
      </w:r>
      <w:r>
        <w:rPr>
          <w:rFonts w:cs="Arial"/>
          <w:szCs w:val="22"/>
          <w:highlight w:val="cyan"/>
          <w:lang w:eastAsia="ko-KR"/>
        </w:rPr>
        <w:t>"</w:t>
      </w:r>
      <w:r w:rsidRPr="009E25B5">
        <w:rPr>
          <w:rFonts w:cs="Arial"/>
          <w:szCs w:val="22"/>
          <w:highlight w:val="cyan"/>
          <w:lang w:eastAsia="ko-KR"/>
        </w:rPr>
        <w:t>(4)</w:t>
      </w:r>
      <w:r>
        <w:rPr>
          <w:rFonts w:cs="Arial"/>
          <w:szCs w:val="22"/>
          <w:highlight w:val="cyan"/>
          <w:lang w:eastAsia="ko-KR"/>
        </w:rPr>
        <w:t>"</w:t>
      </w:r>
      <w:r w:rsidRPr="009E25B5">
        <w:rPr>
          <w:rFonts w:cs="Arial"/>
          <w:szCs w:val="22"/>
          <w:highlight w:val="cyan"/>
          <w:lang w:eastAsia="ko-KR"/>
        </w:rPr>
        <w:t xml:space="preserve"> with </w:t>
      </w:r>
      <w:r>
        <w:rPr>
          <w:rFonts w:cs="Arial"/>
          <w:szCs w:val="22"/>
          <w:highlight w:val="cyan"/>
          <w:lang w:eastAsia="ko-KR"/>
        </w:rPr>
        <w:t>"</w:t>
      </w:r>
      <w:r w:rsidRPr="009E25B5">
        <w:rPr>
          <w:rFonts w:cs="Arial"/>
          <w:szCs w:val="22"/>
          <w:highlight w:val="cyan"/>
          <w:lang w:eastAsia="ko-KR"/>
        </w:rPr>
        <w:t>(5)</w:t>
      </w:r>
      <w:r>
        <w:rPr>
          <w:rFonts w:cs="Arial"/>
          <w:szCs w:val="22"/>
          <w:highlight w:val="cyan"/>
          <w:lang w:eastAsia="ko-KR"/>
        </w:rPr>
        <w:t>"</w:t>
      </w:r>
      <w:r w:rsidRPr="009E25B5">
        <w:rPr>
          <w:rFonts w:cs="Arial"/>
          <w:szCs w:val="22"/>
          <w:highlight w:val="cyan"/>
          <w:lang w:eastAsia="ko-KR"/>
        </w:rPr>
        <w:t xml:space="preserve"> to read as follows:</w:t>
      </w:r>
      <w:r w:rsidRPr="009E25B5">
        <w:rPr>
          <w:rFonts w:cs="Arial"/>
          <w:i/>
          <w:color w:val="4F81BD"/>
          <w:szCs w:val="22"/>
          <w:highlight w:val="cyan"/>
          <w:lang w:eastAsia="ko-KR"/>
        </w:rPr>
        <w:t xml:space="preserve"> </w:t>
      </w:r>
    </w:p>
    <w:p w:rsidR="00130DE2" w:rsidRPr="009E25B5" w:rsidRDefault="00130DE2" w:rsidP="00130DE2">
      <w:pPr>
        <w:rPr>
          <w:rFonts w:cs="Arial"/>
          <w:szCs w:val="22"/>
          <w:lang w:eastAsia="ko-KR"/>
        </w:rPr>
      </w:pPr>
    </w:p>
    <w:p w:rsidR="00130DE2" w:rsidRDefault="00130DE2" w:rsidP="00130DE2">
      <w:pPr>
        <w:tabs>
          <w:tab w:val="left" w:pos="0"/>
        </w:tabs>
        <w:ind w:leftChars="381" w:left="1546" w:hangingChars="392" w:hanging="784"/>
        <w:contextualSpacing/>
        <w:rPr>
          <w:rFonts w:cs="Arial"/>
          <w:szCs w:val="22"/>
          <w:lang w:eastAsia="ko-KR"/>
        </w:rPr>
      </w:pPr>
      <w:r>
        <w:rPr>
          <w:rFonts w:cs="Arial"/>
          <w:szCs w:val="22"/>
          <w:lang w:eastAsia="ko-KR"/>
        </w:rPr>
        <w:t>"</w:t>
      </w:r>
      <w:r w:rsidRPr="009E25B5">
        <w:rPr>
          <w:rFonts w:cs="Arial"/>
          <w:szCs w:val="22"/>
          <w:lang w:eastAsia="ko-KR"/>
        </w:rPr>
        <w:t xml:space="preserve">(d) </w:t>
      </w:r>
      <w:r w:rsidRPr="009E25B5">
        <w:rPr>
          <w:rFonts w:cs="Arial"/>
          <w:szCs w:val="22"/>
          <w:lang w:eastAsia="ko-KR"/>
        </w:rPr>
        <w:tab/>
        <w:t>For UN 1001, acetylene, dissolved, and UN 3374 acetylene, solvent free, see (5), special packing provision "p".".</w:t>
      </w:r>
    </w:p>
    <w:p w:rsidR="00130DE2" w:rsidRDefault="00130DE2" w:rsidP="00130DE2">
      <w:pPr>
        <w:autoSpaceDE w:val="0"/>
        <w:autoSpaceDN w:val="0"/>
        <w:adjustRightInd w:val="0"/>
        <w:rPr>
          <w:rFonts w:cs="Arial"/>
          <w:szCs w:val="22"/>
        </w:rPr>
      </w:pPr>
    </w:p>
    <w:p w:rsidR="00130DE2" w:rsidRPr="009E25B5" w:rsidRDefault="00130DE2" w:rsidP="00130DE2">
      <w:pPr>
        <w:autoSpaceDE w:val="0"/>
        <w:autoSpaceDN w:val="0"/>
        <w:adjustRightInd w:val="0"/>
        <w:rPr>
          <w:rFonts w:cs="Arial"/>
          <w:szCs w:val="22"/>
        </w:rPr>
      </w:pPr>
    </w:p>
    <w:p w:rsidR="00130DE2" w:rsidRPr="009E25B5" w:rsidRDefault="00130DE2" w:rsidP="00130DE2">
      <w:pPr>
        <w:jc w:val="center"/>
        <w:rPr>
          <w:rFonts w:cs="Arial"/>
          <w:szCs w:val="22"/>
        </w:rPr>
      </w:pPr>
      <w:r>
        <w:rPr>
          <w:rFonts w:cs="Arial"/>
          <w:szCs w:val="22"/>
        </w:rPr>
        <w:t>***</w:t>
      </w:r>
    </w:p>
    <w:p w:rsidR="00130DE2" w:rsidRDefault="00130DE2" w:rsidP="00867DF0">
      <w:pPr>
        <w:pStyle w:val="SingleTxtG"/>
      </w:pPr>
      <w:r>
        <w:br w:type="page"/>
      </w:r>
    </w:p>
    <w:p w:rsidR="00130DE2" w:rsidRPr="00BA0741" w:rsidRDefault="00130DE2" w:rsidP="006B01DA">
      <w:pPr>
        <w:pStyle w:val="HChG"/>
      </w:pPr>
      <w:r w:rsidRPr="00BA0741">
        <w:lastRenderedPageBreak/>
        <w:t>A</w:t>
      </w:r>
      <w:r w:rsidR="006B01DA">
        <w:t>nnex</w:t>
      </w:r>
      <w:r>
        <w:t xml:space="preserve"> 2</w:t>
      </w:r>
    </w:p>
    <w:p w:rsidR="00130DE2" w:rsidRPr="00BA0741" w:rsidRDefault="006B01DA" w:rsidP="006B01DA">
      <w:pPr>
        <w:pStyle w:val="HChG"/>
      </w:pPr>
      <w:r>
        <w:tab/>
      </w:r>
      <w:r>
        <w:tab/>
        <w:t>D</w:t>
      </w:r>
      <w:r w:rsidRPr="00E8467C">
        <w:t xml:space="preserve">raft amendments (39-18) to the IMDG </w:t>
      </w:r>
      <w:r>
        <w:t>C</w:t>
      </w:r>
      <w:r w:rsidRPr="00E8467C">
        <w:t>ode</w:t>
      </w:r>
      <w:r>
        <w:t xml:space="preserve"> (part 1)</w:t>
      </w:r>
    </w:p>
    <w:p w:rsidR="00130DE2" w:rsidRPr="0097768D" w:rsidRDefault="00130DE2" w:rsidP="00130DE2">
      <w:pPr>
        <w:widowControl w:val="0"/>
        <w:ind w:right="-2"/>
        <w:rPr>
          <w:i/>
          <w:szCs w:val="22"/>
        </w:rPr>
      </w:pPr>
      <w:r w:rsidRPr="0097768D">
        <w:rPr>
          <w:i/>
          <w:szCs w:val="22"/>
        </w:rPr>
        <w:t>Note: This document contains only the relevant amendments (39-18) to the IMDG Code, except draft amendments obtained by the proposals directly submitted to E&amp;T 27. The highlighted (</w:t>
      </w:r>
      <w:r w:rsidRPr="0097768D">
        <w:rPr>
          <w:i/>
          <w:szCs w:val="22"/>
          <w:highlight w:val="cyan"/>
        </w:rPr>
        <w:t>light blue</w:t>
      </w:r>
      <w:r w:rsidRPr="0097768D">
        <w:rPr>
          <w:i/>
          <w:szCs w:val="22"/>
        </w:rPr>
        <w:t>) text is related to UN Model Regulations. The text in square bracket</w:t>
      </w:r>
      <w:r>
        <w:rPr>
          <w:i/>
          <w:szCs w:val="22"/>
        </w:rPr>
        <w:t>s</w:t>
      </w:r>
      <w:r w:rsidRPr="0097768D">
        <w:rPr>
          <w:i/>
          <w:szCs w:val="22"/>
        </w:rPr>
        <w:t xml:space="preserve"> requires further attention and consideration. </w:t>
      </w:r>
    </w:p>
    <w:p w:rsidR="00130DE2" w:rsidRPr="006B01DA" w:rsidRDefault="006B01DA" w:rsidP="006B01DA">
      <w:pPr>
        <w:pStyle w:val="HChG"/>
      </w:pPr>
      <w:bookmarkStart w:id="3" w:name="OLE_LINK34"/>
      <w:bookmarkStart w:id="4" w:name="OLE_LINK35"/>
      <w:r>
        <w:tab/>
      </w:r>
      <w:r>
        <w:tab/>
      </w:r>
      <w:r w:rsidR="00130DE2" w:rsidRPr="006B01DA">
        <w:t>Chapter 1.4</w:t>
      </w:r>
    </w:p>
    <w:p w:rsidR="00130DE2" w:rsidRPr="006B01DA" w:rsidRDefault="006B01DA" w:rsidP="006B01DA">
      <w:pPr>
        <w:pStyle w:val="HChG"/>
      </w:pPr>
      <w:r>
        <w:tab/>
      </w:r>
      <w:r>
        <w:tab/>
      </w:r>
      <w:r w:rsidR="00130DE2" w:rsidRPr="006B01DA">
        <w:t>Security provisions</w:t>
      </w:r>
    </w:p>
    <w:p w:rsidR="00130DE2" w:rsidRPr="006B01DA" w:rsidRDefault="00130DE2" w:rsidP="00130DE2">
      <w:pPr>
        <w:pStyle w:val="SingleTxtG"/>
        <w:tabs>
          <w:tab w:val="left" w:pos="851"/>
        </w:tabs>
        <w:spacing w:after="0" w:line="240" w:lineRule="auto"/>
        <w:ind w:left="0" w:right="-2"/>
        <w:jc w:val="left"/>
        <w:rPr>
          <w:b/>
          <w:iCs/>
        </w:rPr>
      </w:pPr>
      <w:r w:rsidRPr="006B01DA">
        <w:rPr>
          <w:b/>
          <w:iCs/>
        </w:rPr>
        <w:t>1.4.3</w:t>
      </w:r>
      <w:r w:rsidRPr="006B01DA">
        <w:rPr>
          <w:b/>
          <w:iCs/>
        </w:rPr>
        <w:tab/>
        <w:t>Provisions for high consequence dangerous goods</w:t>
      </w:r>
    </w:p>
    <w:bookmarkEnd w:id="3"/>
    <w:bookmarkEnd w:id="4"/>
    <w:p w:rsidR="00130DE2" w:rsidRPr="006B01DA" w:rsidRDefault="00130DE2" w:rsidP="00130DE2">
      <w:pPr>
        <w:pStyle w:val="SingleTxtG"/>
        <w:tabs>
          <w:tab w:val="left" w:pos="851"/>
        </w:tabs>
        <w:spacing w:after="0" w:line="240" w:lineRule="auto"/>
        <w:ind w:left="0" w:right="-2"/>
        <w:jc w:val="left"/>
        <w:rPr>
          <w:iCs/>
        </w:rPr>
      </w:pPr>
    </w:p>
    <w:p w:rsidR="00130DE2" w:rsidRPr="006B01DA" w:rsidRDefault="00130DE2" w:rsidP="00130DE2">
      <w:pPr>
        <w:pStyle w:val="SingleTxtG"/>
        <w:keepNext/>
        <w:tabs>
          <w:tab w:val="left" w:pos="851"/>
        </w:tabs>
        <w:spacing w:after="0" w:line="240" w:lineRule="auto"/>
        <w:ind w:left="0" w:right="0"/>
        <w:rPr>
          <w:iCs/>
        </w:rPr>
      </w:pPr>
      <w:proofErr w:type="gramStart"/>
      <w:r w:rsidRPr="006B01DA">
        <w:rPr>
          <w:iCs/>
        </w:rPr>
        <w:t>1.4.3.2.1  At</w:t>
      </w:r>
      <w:proofErr w:type="gramEnd"/>
      <w:r w:rsidRPr="006B01DA">
        <w:rPr>
          <w:iCs/>
        </w:rPr>
        <w:t xml:space="preserve"> the end, insert the following note:</w:t>
      </w:r>
    </w:p>
    <w:p w:rsidR="00130DE2" w:rsidRPr="006B01DA" w:rsidRDefault="00130DE2" w:rsidP="00130DE2">
      <w:pPr>
        <w:pStyle w:val="SingleTxtG"/>
        <w:keepNext/>
        <w:tabs>
          <w:tab w:val="left" w:pos="851"/>
        </w:tabs>
        <w:spacing w:after="0" w:line="240" w:lineRule="auto"/>
        <w:ind w:left="0" w:right="0"/>
        <w:rPr>
          <w:iCs/>
        </w:rPr>
      </w:pPr>
    </w:p>
    <w:p w:rsidR="00130DE2" w:rsidRPr="006B01DA" w:rsidRDefault="00130DE2" w:rsidP="00130DE2">
      <w:pPr>
        <w:pStyle w:val="SingleTxtG"/>
        <w:spacing w:after="0" w:line="240" w:lineRule="auto"/>
        <w:ind w:left="851" w:right="0"/>
        <w:rPr>
          <w:iCs/>
        </w:rPr>
      </w:pPr>
      <w:r w:rsidRPr="006B01DA">
        <w:rPr>
          <w:iCs/>
        </w:rPr>
        <w:t>"</w:t>
      </w:r>
      <w:r w:rsidRPr="006B01DA">
        <w:rPr>
          <w:b/>
          <w:iCs/>
        </w:rPr>
        <w:t>Note:</w:t>
      </w:r>
      <w:r w:rsidRPr="006B01DA">
        <w:rPr>
          <w:iCs/>
        </w:rPr>
        <w:t xml:space="preserve"> In addition to the security provisions of this Code, competent authorities may implement further security provisions for reasons other than safety of dangerous goods during transport. In order to not impede international and multimodal transport by different explosives security </w:t>
      </w:r>
      <w:r w:rsidRPr="006B01DA">
        <w:rPr>
          <w:iCs/>
          <w:highlight w:val="cyan"/>
        </w:rPr>
        <w:t>marks,</w:t>
      </w:r>
      <w:r w:rsidRPr="006B01DA">
        <w:rPr>
          <w:iCs/>
        </w:rPr>
        <w:t xml:space="preserve"> it is recommended that such </w:t>
      </w:r>
      <w:r w:rsidRPr="006B01DA">
        <w:rPr>
          <w:iCs/>
          <w:highlight w:val="cyan"/>
        </w:rPr>
        <w:t>marks</w:t>
      </w:r>
      <w:r w:rsidRPr="006B01DA">
        <w:rPr>
          <w:iCs/>
        </w:rPr>
        <w:t xml:space="preserve"> be formatted consistent with an internationally harmonized standard (e.g. European Union Commission Directive 2008/43/EC)."</w:t>
      </w:r>
    </w:p>
    <w:p w:rsidR="00130DE2" w:rsidRPr="006B01DA" w:rsidRDefault="00130DE2" w:rsidP="00130DE2">
      <w:pPr>
        <w:pStyle w:val="SingleTxtG"/>
        <w:tabs>
          <w:tab w:val="left" w:pos="851"/>
        </w:tabs>
        <w:spacing w:after="0" w:line="240" w:lineRule="auto"/>
        <w:ind w:left="0" w:right="-2"/>
        <w:jc w:val="left"/>
        <w:rPr>
          <w:b/>
          <w:iCs/>
        </w:rPr>
      </w:pPr>
    </w:p>
    <w:p w:rsidR="00130DE2" w:rsidRPr="006B01DA" w:rsidRDefault="00130DE2" w:rsidP="00130DE2">
      <w:pPr>
        <w:pStyle w:val="SingleTxtG"/>
        <w:tabs>
          <w:tab w:val="left" w:pos="2127"/>
          <w:tab w:val="left" w:pos="7371"/>
        </w:tabs>
        <w:spacing w:after="0" w:line="240" w:lineRule="auto"/>
        <w:ind w:left="0" w:right="-2"/>
        <w:jc w:val="center"/>
        <w:rPr>
          <w:b/>
          <w:iCs/>
        </w:rPr>
      </w:pPr>
      <w:r w:rsidRPr="006B01DA">
        <w:rPr>
          <w:b/>
          <w:iCs/>
        </w:rPr>
        <w:t>PART 2</w:t>
      </w:r>
    </w:p>
    <w:p w:rsidR="00130DE2" w:rsidRPr="006B01DA" w:rsidRDefault="00130DE2" w:rsidP="00130DE2">
      <w:pPr>
        <w:pStyle w:val="SingleTxtG"/>
        <w:tabs>
          <w:tab w:val="left" w:pos="2127"/>
          <w:tab w:val="left" w:pos="7371"/>
        </w:tabs>
        <w:spacing w:after="0" w:line="240" w:lineRule="auto"/>
        <w:ind w:left="0" w:right="-2"/>
        <w:jc w:val="center"/>
        <w:rPr>
          <w:b/>
          <w:iCs/>
        </w:rPr>
      </w:pPr>
      <w:r w:rsidRPr="006B01DA">
        <w:rPr>
          <w:b/>
          <w:iCs/>
        </w:rPr>
        <w:t>CLASSIFICATION</w:t>
      </w:r>
    </w:p>
    <w:p w:rsidR="00130DE2" w:rsidRPr="006B01DA" w:rsidRDefault="00130DE2" w:rsidP="00130DE2">
      <w:pPr>
        <w:pStyle w:val="SingleTxtG"/>
        <w:tabs>
          <w:tab w:val="left" w:pos="2127"/>
          <w:tab w:val="left" w:pos="7371"/>
        </w:tabs>
        <w:spacing w:after="0" w:line="240" w:lineRule="auto"/>
        <w:ind w:left="0" w:right="-2"/>
        <w:jc w:val="center"/>
        <w:rPr>
          <w:b/>
          <w:iCs/>
        </w:rPr>
      </w:pPr>
    </w:p>
    <w:p w:rsidR="00130DE2" w:rsidRPr="006B01DA" w:rsidRDefault="00130DE2" w:rsidP="00130DE2">
      <w:pPr>
        <w:pStyle w:val="SingleTxtG"/>
        <w:tabs>
          <w:tab w:val="left" w:pos="2127"/>
          <w:tab w:val="left" w:pos="7371"/>
        </w:tabs>
        <w:spacing w:after="0" w:line="240" w:lineRule="auto"/>
        <w:ind w:left="0" w:right="-2"/>
        <w:jc w:val="center"/>
        <w:rPr>
          <w:b/>
          <w:iCs/>
        </w:rPr>
      </w:pPr>
      <w:r w:rsidRPr="006B01DA">
        <w:rPr>
          <w:b/>
          <w:iCs/>
        </w:rPr>
        <w:t>Chapter 2.0</w:t>
      </w:r>
    </w:p>
    <w:p w:rsidR="00130DE2" w:rsidRPr="006B01DA" w:rsidRDefault="00130DE2" w:rsidP="00130DE2">
      <w:pPr>
        <w:pStyle w:val="SingleTxtG"/>
        <w:tabs>
          <w:tab w:val="left" w:pos="2127"/>
          <w:tab w:val="left" w:pos="7371"/>
        </w:tabs>
        <w:spacing w:after="0" w:line="240" w:lineRule="auto"/>
        <w:ind w:left="0" w:right="-2"/>
        <w:jc w:val="center"/>
        <w:rPr>
          <w:b/>
          <w:iCs/>
        </w:rPr>
      </w:pPr>
      <w:r w:rsidRPr="006B01DA">
        <w:rPr>
          <w:b/>
          <w:iCs/>
        </w:rPr>
        <w:t>Introduction</w:t>
      </w:r>
    </w:p>
    <w:p w:rsidR="00130DE2" w:rsidRPr="006B01DA" w:rsidRDefault="00130DE2" w:rsidP="00130DE2">
      <w:pPr>
        <w:pStyle w:val="SingleTxtG"/>
        <w:tabs>
          <w:tab w:val="left" w:pos="851"/>
        </w:tabs>
        <w:spacing w:after="0" w:line="240" w:lineRule="auto"/>
        <w:ind w:left="0" w:right="-2"/>
        <w:rPr>
          <w:b/>
        </w:rPr>
      </w:pPr>
    </w:p>
    <w:p w:rsidR="00130DE2" w:rsidRPr="006B01DA" w:rsidRDefault="00130DE2" w:rsidP="00130DE2">
      <w:pPr>
        <w:pStyle w:val="SingleTxtG"/>
        <w:spacing w:after="0" w:line="240" w:lineRule="auto"/>
        <w:ind w:left="0" w:right="-2"/>
        <w:rPr>
          <w:b/>
          <w:iCs/>
        </w:rPr>
      </w:pPr>
      <w:r w:rsidRPr="006B01DA">
        <w:rPr>
          <w:b/>
          <w:iCs/>
        </w:rPr>
        <w:t xml:space="preserve">2.0.5 </w:t>
      </w:r>
      <w:r w:rsidRPr="006B01DA">
        <w:rPr>
          <w:b/>
          <w:iCs/>
        </w:rPr>
        <w:tab/>
        <w:t>Transport of wastes</w:t>
      </w:r>
    </w:p>
    <w:p w:rsidR="00130DE2" w:rsidRPr="006B01DA" w:rsidRDefault="00130DE2" w:rsidP="00130DE2">
      <w:pPr>
        <w:pStyle w:val="SingleTxtG"/>
        <w:spacing w:after="0" w:line="240" w:lineRule="auto"/>
        <w:ind w:left="0" w:right="-2"/>
        <w:rPr>
          <w:iCs/>
        </w:rPr>
      </w:pPr>
    </w:p>
    <w:p w:rsidR="00130DE2" w:rsidRPr="006B01DA" w:rsidRDefault="00130DE2" w:rsidP="00130DE2">
      <w:pPr>
        <w:pStyle w:val="SingleTxtG"/>
        <w:spacing w:after="0"/>
        <w:ind w:left="0" w:right="-2"/>
        <w:rPr>
          <w:iCs/>
        </w:rPr>
      </w:pPr>
      <w:r w:rsidRPr="006B01DA">
        <w:rPr>
          <w:iCs/>
        </w:rPr>
        <w:t>Add the following new paragraph 2.0.6:</w:t>
      </w:r>
    </w:p>
    <w:p w:rsidR="00130DE2" w:rsidRPr="006B01DA" w:rsidRDefault="00130DE2" w:rsidP="00130DE2">
      <w:pPr>
        <w:pStyle w:val="SingleTxtG"/>
        <w:spacing w:after="0"/>
        <w:ind w:left="0" w:right="-2"/>
        <w:rPr>
          <w:iCs/>
        </w:rPr>
      </w:pPr>
    </w:p>
    <w:p w:rsidR="00130DE2" w:rsidRPr="006B01DA" w:rsidRDefault="00130DE2" w:rsidP="00130DE2">
      <w:pPr>
        <w:pStyle w:val="SingleTxtG"/>
        <w:tabs>
          <w:tab w:val="left" w:pos="1701"/>
        </w:tabs>
        <w:spacing w:after="0"/>
        <w:ind w:left="851" w:right="-2"/>
        <w:rPr>
          <w:iCs/>
        </w:rPr>
      </w:pPr>
      <w:r w:rsidRPr="006B01DA">
        <w:rPr>
          <w:iCs/>
        </w:rPr>
        <w:t>"</w:t>
      </w:r>
      <w:r w:rsidRPr="006B01DA">
        <w:rPr>
          <w:b/>
          <w:iCs/>
        </w:rPr>
        <w:t>2.0.6</w:t>
      </w:r>
      <w:r w:rsidRPr="006B01DA">
        <w:rPr>
          <w:b/>
          <w:iCs/>
        </w:rPr>
        <w:tab/>
        <w:t>Transport of articles containing dangerous goods N.O.S.</w:t>
      </w:r>
      <w:r w:rsidRPr="006B01DA">
        <w:rPr>
          <w:iCs/>
        </w:rPr>
        <w:t xml:space="preserve"> </w:t>
      </w:r>
    </w:p>
    <w:p w:rsidR="00130DE2" w:rsidRPr="006B01DA" w:rsidRDefault="00130DE2" w:rsidP="00130DE2">
      <w:pPr>
        <w:pStyle w:val="SingleTxtG"/>
        <w:tabs>
          <w:tab w:val="left" w:pos="1701"/>
        </w:tabs>
        <w:spacing w:after="0"/>
        <w:ind w:left="851" w:right="-2"/>
        <w:rPr>
          <w:iCs/>
        </w:rPr>
      </w:pPr>
    </w:p>
    <w:p w:rsidR="00130DE2" w:rsidRPr="006B01DA" w:rsidRDefault="00130DE2" w:rsidP="00130DE2">
      <w:pPr>
        <w:pStyle w:val="SingleTxtG"/>
        <w:spacing w:after="0"/>
        <w:ind w:left="1701" w:right="-2"/>
        <w:rPr>
          <w:iCs/>
        </w:rPr>
      </w:pPr>
      <w:r w:rsidRPr="006B01DA">
        <w:rPr>
          <w:b/>
          <w:iCs/>
        </w:rPr>
        <w:t>Note:</w:t>
      </w:r>
      <w:r w:rsidRPr="006B01DA">
        <w:rPr>
          <w:iCs/>
        </w:rPr>
        <w:t xml:space="preserve"> For articles which do not have an existing proper shipping name and which contain only dangerous goods within the permitted limited quantity amounts specified in column (7a) of the Dangerous Goods List, see UN 3363 and special provision 301 of chapter 3.3. </w:t>
      </w:r>
    </w:p>
    <w:p w:rsidR="00130DE2" w:rsidRPr="006B01DA" w:rsidRDefault="00130DE2" w:rsidP="00130DE2">
      <w:pPr>
        <w:pStyle w:val="SingleTxtG"/>
        <w:spacing w:after="0"/>
        <w:ind w:left="1701" w:right="-2"/>
        <w:rPr>
          <w:iCs/>
        </w:rPr>
      </w:pPr>
    </w:p>
    <w:p w:rsidR="00130DE2" w:rsidRPr="006B01DA" w:rsidRDefault="00130DE2" w:rsidP="00130DE2">
      <w:pPr>
        <w:pStyle w:val="SingleTxtG"/>
        <w:spacing w:after="0"/>
        <w:ind w:left="1701" w:right="-2" w:hanging="850"/>
        <w:rPr>
          <w:iCs/>
          <w:sz w:val="22"/>
          <w:szCs w:val="22"/>
        </w:rPr>
      </w:pPr>
      <w:r w:rsidRPr="006B01DA">
        <w:rPr>
          <w:iCs/>
          <w:sz w:val="22"/>
          <w:szCs w:val="22"/>
        </w:rPr>
        <w:t>2.0.6.1</w:t>
      </w:r>
      <w:r w:rsidR="006B01DA">
        <w:rPr>
          <w:iCs/>
          <w:sz w:val="22"/>
          <w:szCs w:val="22"/>
        </w:rPr>
        <w:tab/>
      </w:r>
      <w:r w:rsidRPr="006B01DA">
        <w:rPr>
          <w:iCs/>
          <w:sz w:val="22"/>
          <w:szCs w:val="22"/>
        </w:rPr>
        <w:t xml:space="preserve">Articles containing dangerous goods may be </w:t>
      </w:r>
      <w:r w:rsidRPr="006B01DA">
        <w:rPr>
          <w:iCs/>
          <w:sz w:val="22"/>
          <w:szCs w:val="22"/>
          <w:highlight w:val="cyan"/>
        </w:rPr>
        <w:t>classified</w:t>
      </w:r>
      <w:r w:rsidRPr="006B01DA">
        <w:rPr>
          <w:iCs/>
          <w:sz w:val="22"/>
          <w:szCs w:val="22"/>
        </w:rPr>
        <w:t xml:space="preserve"> as otherwise provided by this Code under the proper shipping name for the dangerous goods they contain or in accordance with this section. For the purposes of this section "article" means machinery, apparatus or other devices containing one or more dangerous goods (or residues thereof) that are an integral element of the article, necessary for its functioning, and that cannot be removed for the purpose of transport. An inner packaging shall not be an article.</w:t>
      </w:r>
    </w:p>
    <w:p w:rsidR="00130DE2" w:rsidRPr="006B01DA" w:rsidRDefault="00130DE2" w:rsidP="00130DE2">
      <w:pPr>
        <w:pStyle w:val="SingleTxtG"/>
        <w:spacing w:after="0"/>
        <w:ind w:left="1701" w:right="-2" w:hanging="850"/>
        <w:rPr>
          <w:iCs/>
        </w:rPr>
      </w:pPr>
    </w:p>
    <w:p w:rsidR="00130DE2" w:rsidRPr="006B01DA" w:rsidRDefault="00130DE2" w:rsidP="00130DE2">
      <w:pPr>
        <w:pStyle w:val="SingleTxtG"/>
        <w:spacing w:after="0"/>
        <w:ind w:left="1701" w:right="0" w:hanging="850"/>
        <w:rPr>
          <w:iCs/>
          <w:sz w:val="22"/>
          <w:szCs w:val="22"/>
        </w:rPr>
      </w:pPr>
      <w:r w:rsidRPr="006B01DA">
        <w:rPr>
          <w:iCs/>
          <w:sz w:val="22"/>
          <w:szCs w:val="22"/>
        </w:rPr>
        <w:t>2.0.6.2</w:t>
      </w:r>
      <w:r w:rsidRPr="006B01DA">
        <w:rPr>
          <w:iCs/>
          <w:sz w:val="22"/>
          <w:szCs w:val="22"/>
        </w:rPr>
        <w:tab/>
        <w:t>Such articles may in addition contain batteries. Lithium batteries that are integral to the article shall be of a type proven to meet the testing requirements of the Manual of Tests and Criteria, part III, sub-section 38.3, except when pre-production prototype batteries or batteries of a small production run, consisting of not more than 100 batteries, are installed in the article. Where a lithium battery installed in an article is damaged or defective, the battery shall be removed.</w:t>
      </w:r>
    </w:p>
    <w:p w:rsidR="00130DE2" w:rsidRPr="006B01DA" w:rsidRDefault="00130DE2" w:rsidP="00130DE2">
      <w:pPr>
        <w:pStyle w:val="SingleTxtG"/>
        <w:spacing w:after="0"/>
        <w:ind w:left="1701" w:right="0" w:hanging="850"/>
        <w:rPr>
          <w:iCs/>
        </w:rPr>
      </w:pPr>
      <w:r w:rsidRPr="006B01DA">
        <w:rPr>
          <w:iCs/>
        </w:rPr>
        <w:lastRenderedPageBreak/>
        <w:t>2.0.6.3</w:t>
      </w:r>
      <w:r w:rsidRPr="006B01DA">
        <w:rPr>
          <w:iCs/>
        </w:rPr>
        <w:tab/>
        <w:t>This section does not apply to articles for which a more specific proper shipping name already exists in the Dangerous Goods List of chapter 3.2.</w:t>
      </w:r>
    </w:p>
    <w:p w:rsidR="00130DE2" w:rsidRPr="006B01DA" w:rsidRDefault="00130DE2" w:rsidP="00130DE2">
      <w:pPr>
        <w:pStyle w:val="SingleTxtG"/>
        <w:spacing w:after="0"/>
        <w:ind w:left="1702" w:right="0" w:hanging="851"/>
        <w:rPr>
          <w:iCs/>
        </w:rPr>
      </w:pPr>
    </w:p>
    <w:p w:rsidR="00130DE2" w:rsidRPr="006B01DA" w:rsidRDefault="00130DE2" w:rsidP="00130DE2">
      <w:pPr>
        <w:pStyle w:val="SingleTxtG"/>
        <w:spacing w:after="0"/>
        <w:ind w:left="1701" w:right="0" w:hanging="850"/>
        <w:rPr>
          <w:iCs/>
        </w:rPr>
      </w:pPr>
      <w:r w:rsidRPr="006B01DA">
        <w:rPr>
          <w:iCs/>
          <w:highlight w:val="cyan"/>
        </w:rPr>
        <w:t>2.0.6.4</w:t>
      </w:r>
      <w:r w:rsidRPr="006B01DA">
        <w:rPr>
          <w:iCs/>
          <w:highlight w:val="cyan"/>
        </w:rPr>
        <w:tab/>
        <w:t>This section does not apply to dangerous goods of class 1, class 6.2 or radioactive material contained in articles.</w:t>
      </w:r>
    </w:p>
    <w:p w:rsidR="00130DE2" w:rsidRPr="006B01DA" w:rsidRDefault="00130DE2" w:rsidP="00130DE2">
      <w:pPr>
        <w:pStyle w:val="SingleTxtG"/>
        <w:spacing w:after="0"/>
        <w:ind w:left="1702" w:right="0" w:hanging="851"/>
        <w:rPr>
          <w:iCs/>
        </w:rPr>
      </w:pPr>
    </w:p>
    <w:p w:rsidR="00130DE2" w:rsidRPr="006B01DA" w:rsidRDefault="00130DE2" w:rsidP="00130DE2">
      <w:pPr>
        <w:pStyle w:val="SingleTxtG"/>
        <w:spacing w:after="0"/>
        <w:ind w:left="1701" w:right="0" w:hanging="850"/>
        <w:rPr>
          <w:iCs/>
        </w:rPr>
      </w:pPr>
      <w:r w:rsidRPr="006B01DA">
        <w:rPr>
          <w:iCs/>
        </w:rPr>
        <w:t>2.0.6.5</w:t>
      </w:r>
      <w:r w:rsidRPr="006B01DA">
        <w:rPr>
          <w:iCs/>
        </w:rPr>
        <w:tab/>
        <w:t>Articles containing dangerous goods shall be assigned to the appropriate class determined by the hazards present using, where applicable, the Precedence of Hazards table in 2.0.3.6 for each of the dangerous goods contained in the article. If dangerous goods classified as class 9 are contained within the article, all other dangerous goods present in the article shall be considered to present a higher hazard.</w:t>
      </w:r>
    </w:p>
    <w:p w:rsidR="00130DE2" w:rsidRPr="006B01DA" w:rsidRDefault="00130DE2" w:rsidP="00130DE2">
      <w:pPr>
        <w:pStyle w:val="SingleTxtG"/>
        <w:spacing w:after="0"/>
        <w:ind w:left="1702" w:right="0" w:hanging="851"/>
        <w:rPr>
          <w:iCs/>
        </w:rPr>
      </w:pPr>
    </w:p>
    <w:p w:rsidR="00130DE2" w:rsidRPr="006B01DA" w:rsidRDefault="00130DE2" w:rsidP="00130DE2">
      <w:pPr>
        <w:pStyle w:val="SingleTxtG"/>
        <w:spacing w:after="0" w:line="240" w:lineRule="auto"/>
        <w:ind w:left="1701" w:right="0" w:hanging="850"/>
        <w:rPr>
          <w:iCs/>
        </w:rPr>
      </w:pPr>
      <w:r w:rsidRPr="006B01DA">
        <w:rPr>
          <w:iCs/>
          <w:highlight w:val="cyan"/>
        </w:rPr>
        <w:t>2.0.6.6</w:t>
      </w:r>
      <w:r w:rsidRPr="006B01DA">
        <w:rPr>
          <w:iCs/>
          <w:highlight w:val="cyan"/>
        </w:rPr>
        <w:tab/>
        <w:t>Subsidiary hazards shall be representative of the primary hazard posed by the other dangerous goods contained within the article. When only one dangerous good is present in the article, the subsidiary hazard(s), if any, shall be the subsidiary hazard(s) identified in column (4) of the Dangerous Goods List. If the article contains more than one dangerous good and these could react dangerously with one another during transport, each of the dangerous goods shall be enclosed separately (see 4.1.1.6)."</w:t>
      </w:r>
    </w:p>
    <w:p w:rsidR="00130DE2" w:rsidRPr="00BA0741" w:rsidRDefault="00130DE2" w:rsidP="00130DE2">
      <w:pPr>
        <w:pStyle w:val="SingleTxtG"/>
        <w:spacing w:after="0" w:line="240" w:lineRule="auto"/>
        <w:ind w:left="0" w:right="-2"/>
        <w:rPr>
          <w:rFonts w:ascii="Arial" w:hAnsi="Arial" w:cs="Arial"/>
          <w:iCs/>
          <w:sz w:val="22"/>
          <w:szCs w:val="22"/>
        </w:rPr>
      </w:pPr>
    </w:p>
    <w:p w:rsidR="00130DE2" w:rsidRPr="006B01DA" w:rsidRDefault="00130DE2" w:rsidP="00130DE2">
      <w:pPr>
        <w:pStyle w:val="SingleTxtG"/>
        <w:spacing w:after="0" w:line="240" w:lineRule="auto"/>
        <w:ind w:left="0" w:right="-2"/>
        <w:jc w:val="center"/>
        <w:rPr>
          <w:b/>
          <w:iCs/>
          <w:sz w:val="22"/>
          <w:szCs w:val="22"/>
        </w:rPr>
      </w:pPr>
      <w:r w:rsidRPr="006B01DA">
        <w:rPr>
          <w:b/>
          <w:iCs/>
          <w:sz w:val="22"/>
          <w:szCs w:val="22"/>
        </w:rPr>
        <w:t>Chapter 2.1</w:t>
      </w:r>
    </w:p>
    <w:p w:rsidR="00130DE2" w:rsidRPr="006B01DA" w:rsidRDefault="00130DE2" w:rsidP="00130DE2">
      <w:pPr>
        <w:pStyle w:val="SingleTxtG"/>
        <w:spacing w:after="0" w:line="240" w:lineRule="auto"/>
        <w:ind w:left="0" w:right="-2"/>
        <w:jc w:val="center"/>
        <w:rPr>
          <w:b/>
          <w:iCs/>
          <w:sz w:val="22"/>
          <w:szCs w:val="22"/>
        </w:rPr>
      </w:pPr>
      <w:r w:rsidRPr="006B01DA">
        <w:rPr>
          <w:b/>
          <w:iCs/>
          <w:sz w:val="22"/>
          <w:szCs w:val="22"/>
        </w:rPr>
        <w:t>Class 1 – Explosives</w:t>
      </w:r>
    </w:p>
    <w:p w:rsidR="00130DE2" w:rsidRPr="006B01DA" w:rsidRDefault="00130DE2" w:rsidP="00130DE2">
      <w:pPr>
        <w:pStyle w:val="SingleTxtG"/>
        <w:spacing w:after="0" w:line="240" w:lineRule="auto"/>
        <w:ind w:left="0" w:right="-2"/>
        <w:rPr>
          <w:iCs/>
          <w:sz w:val="22"/>
          <w:szCs w:val="22"/>
        </w:rPr>
      </w:pPr>
    </w:p>
    <w:p w:rsidR="00130DE2" w:rsidRPr="006B01DA" w:rsidRDefault="00130DE2" w:rsidP="00130DE2">
      <w:pPr>
        <w:pStyle w:val="SingleTxtG"/>
        <w:tabs>
          <w:tab w:val="left" w:pos="851"/>
        </w:tabs>
        <w:spacing w:after="0" w:line="240" w:lineRule="auto"/>
        <w:ind w:left="0" w:right="-2"/>
        <w:rPr>
          <w:b/>
          <w:sz w:val="22"/>
          <w:szCs w:val="22"/>
        </w:rPr>
      </w:pPr>
      <w:r w:rsidRPr="006B01DA">
        <w:rPr>
          <w:b/>
          <w:sz w:val="22"/>
          <w:szCs w:val="22"/>
        </w:rPr>
        <w:t>2.1.3</w:t>
      </w:r>
      <w:r w:rsidRPr="006B01DA">
        <w:rPr>
          <w:b/>
          <w:sz w:val="22"/>
          <w:szCs w:val="22"/>
        </w:rPr>
        <w:tab/>
        <w:t>Classification procedure</w:t>
      </w:r>
    </w:p>
    <w:p w:rsidR="00130DE2" w:rsidRPr="006B01DA" w:rsidRDefault="00130DE2" w:rsidP="00130DE2">
      <w:pPr>
        <w:pStyle w:val="SingleTxtG"/>
        <w:tabs>
          <w:tab w:val="left" w:pos="851"/>
        </w:tabs>
        <w:spacing w:after="0" w:line="240" w:lineRule="auto"/>
        <w:ind w:left="0" w:right="-2"/>
        <w:rPr>
          <w:iCs/>
          <w:sz w:val="22"/>
          <w:szCs w:val="22"/>
        </w:rPr>
      </w:pPr>
    </w:p>
    <w:p w:rsidR="00130DE2" w:rsidRPr="006B01DA" w:rsidRDefault="00130DE2" w:rsidP="00130DE2">
      <w:pPr>
        <w:pStyle w:val="SingleTxtG"/>
        <w:keepNext/>
        <w:keepLines/>
        <w:tabs>
          <w:tab w:val="left" w:pos="851"/>
        </w:tabs>
        <w:spacing w:after="0" w:line="240" w:lineRule="auto"/>
        <w:ind w:left="0" w:right="0"/>
        <w:rPr>
          <w:b/>
          <w:sz w:val="22"/>
          <w:szCs w:val="22"/>
        </w:rPr>
      </w:pPr>
      <w:r w:rsidRPr="006B01DA">
        <w:rPr>
          <w:b/>
          <w:sz w:val="22"/>
          <w:szCs w:val="22"/>
        </w:rPr>
        <w:t xml:space="preserve">2.1.3.5 </w:t>
      </w:r>
      <w:r w:rsidRPr="006B01DA">
        <w:rPr>
          <w:b/>
          <w:sz w:val="22"/>
          <w:szCs w:val="22"/>
        </w:rPr>
        <w:tab/>
        <w:t>Assignment of fireworks to hazard divisions</w:t>
      </w:r>
    </w:p>
    <w:p w:rsidR="00130DE2" w:rsidRPr="006B01DA" w:rsidRDefault="00130DE2" w:rsidP="00130DE2">
      <w:pPr>
        <w:pStyle w:val="SingleTxtG"/>
        <w:keepNext/>
        <w:keepLines/>
        <w:tabs>
          <w:tab w:val="left" w:pos="993"/>
          <w:tab w:val="left" w:pos="7513"/>
        </w:tabs>
        <w:spacing w:after="0" w:line="240" w:lineRule="auto"/>
        <w:ind w:left="0" w:right="0"/>
        <w:rPr>
          <w:sz w:val="22"/>
          <w:szCs w:val="22"/>
        </w:rPr>
      </w:pPr>
    </w:p>
    <w:p w:rsidR="00130DE2" w:rsidRPr="006B01DA" w:rsidRDefault="00130DE2" w:rsidP="00130DE2">
      <w:pPr>
        <w:pStyle w:val="SingleTxtG"/>
        <w:keepNext/>
        <w:tabs>
          <w:tab w:val="left" w:pos="851"/>
          <w:tab w:val="left" w:pos="7513"/>
        </w:tabs>
        <w:spacing w:after="0" w:line="240" w:lineRule="auto"/>
        <w:ind w:left="0" w:right="0"/>
        <w:rPr>
          <w:sz w:val="22"/>
          <w:szCs w:val="22"/>
        </w:rPr>
      </w:pPr>
      <w:r w:rsidRPr="006B01DA">
        <w:rPr>
          <w:spacing w:val="-8"/>
          <w:sz w:val="22"/>
          <w:szCs w:val="22"/>
        </w:rPr>
        <w:t>2.1.3.5.5</w:t>
      </w:r>
      <w:r w:rsidRPr="006B01DA">
        <w:rPr>
          <w:sz w:val="22"/>
          <w:szCs w:val="22"/>
        </w:rPr>
        <w:tab/>
        <w:t>Amend note 2 to read as follows:</w:t>
      </w:r>
    </w:p>
    <w:p w:rsidR="00130DE2" w:rsidRPr="006B01DA" w:rsidRDefault="00130DE2" w:rsidP="00130DE2">
      <w:pPr>
        <w:pStyle w:val="SingleTxtG"/>
        <w:keepNext/>
        <w:tabs>
          <w:tab w:val="left" w:pos="851"/>
          <w:tab w:val="left" w:pos="7513"/>
        </w:tabs>
        <w:spacing w:after="0" w:line="240" w:lineRule="auto"/>
        <w:ind w:left="0" w:right="0"/>
        <w:rPr>
          <w:sz w:val="22"/>
          <w:szCs w:val="22"/>
        </w:rPr>
      </w:pPr>
    </w:p>
    <w:p w:rsidR="00130DE2" w:rsidRPr="006B01DA" w:rsidRDefault="00130DE2" w:rsidP="00130DE2">
      <w:pPr>
        <w:pStyle w:val="SingleTxtG"/>
        <w:tabs>
          <w:tab w:val="left" w:pos="7513"/>
        </w:tabs>
        <w:spacing w:after="0" w:line="240" w:lineRule="auto"/>
        <w:ind w:left="851" w:right="0"/>
      </w:pPr>
      <w:r w:rsidRPr="006B01DA">
        <w:t>"</w:t>
      </w:r>
      <w:r w:rsidRPr="006B01DA">
        <w:rPr>
          <w:b/>
        </w:rPr>
        <w:t>Note 2:</w:t>
      </w:r>
      <w:r w:rsidRPr="006B01DA">
        <w:t xml:space="preserve"> "Flash composition" in this table refers to pyrotechnic substances in powder form or as pyrotechnic units as presented in the </w:t>
      </w:r>
      <w:r w:rsidRPr="006B01DA">
        <w:rPr>
          <w:highlight w:val="cyan"/>
        </w:rPr>
        <w:t>fireworks</w:t>
      </w:r>
      <w:r w:rsidRPr="006B01DA">
        <w:t xml:space="preserve"> that are used in waterfalls, or to produce an aural effect or used as a bursting charge, or propellant charge unless:</w:t>
      </w:r>
    </w:p>
    <w:p w:rsidR="00130DE2" w:rsidRDefault="00130DE2" w:rsidP="00130DE2">
      <w:pPr>
        <w:pStyle w:val="SingleTxtG"/>
        <w:tabs>
          <w:tab w:val="left" w:pos="7513"/>
        </w:tabs>
        <w:spacing w:after="0" w:line="240" w:lineRule="auto"/>
        <w:ind w:left="851" w:right="0"/>
        <w:rPr>
          <w:rFonts w:ascii="Arial" w:hAnsi="Arial" w:cs="Arial"/>
          <w:sz w:val="22"/>
          <w:szCs w:val="22"/>
        </w:rPr>
      </w:pPr>
    </w:p>
    <w:p w:rsidR="00130DE2" w:rsidRDefault="00130DE2" w:rsidP="00130DE2">
      <w:pPr>
        <w:pStyle w:val="SingleTxtG"/>
        <w:tabs>
          <w:tab w:val="left" w:pos="7513"/>
        </w:tabs>
        <w:spacing w:after="0" w:line="240" w:lineRule="auto"/>
        <w:ind w:left="2552" w:right="0" w:hanging="851"/>
        <w:rPr>
          <w:rFonts w:ascii="Arial" w:hAnsi="Arial" w:cs="Arial"/>
          <w:sz w:val="22"/>
          <w:szCs w:val="22"/>
        </w:rPr>
      </w:pPr>
      <w:r>
        <w:rPr>
          <w:rFonts w:ascii="Arial" w:hAnsi="Arial" w:cs="Arial"/>
          <w:sz w:val="22"/>
          <w:szCs w:val="22"/>
        </w:rPr>
        <w:t>..</w:t>
      </w:r>
      <w:r w:rsidRPr="000F1875">
        <w:rPr>
          <w:rFonts w:ascii="Arial" w:hAnsi="Arial" w:cs="Arial"/>
          <w:sz w:val="22"/>
          <w:szCs w:val="22"/>
        </w:rPr>
        <w:t>.</w:t>
      </w:r>
      <w:r>
        <w:rPr>
          <w:rFonts w:ascii="Arial" w:hAnsi="Arial" w:cs="Arial"/>
          <w:sz w:val="22"/>
          <w:szCs w:val="22"/>
        </w:rPr>
        <w:t>"</w:t>
      </w:r>
    </w:p>
    <w:p w:rsidR="00130DE2" w:rsidRPr="006B01DA" w:rsidRDefault="00130DE2" w:rsidP="00130DE2">
      <w:pPr>
        <w:keepNext/>
        <w:keepLines/>
        <w:tabs>
          <w:tab w:val="left" w:pos="993"/>
          <w:tab w:val="left" w:pos="2410"/>
        </w:tabs>
        <w:ind w:right="-2"/>
        <w:jc w:val="center"/>
        <w:rPr>
          <w:b/>
        </w:rPr>
      </w:pPr>
      <w:r w:rsidRPr="006B01DA">
        <w:rPr>
          <w:b/>
        </w:rPr>
        <w:t>PART III</w:t>
      </w:r>
    </w:p>
    <w:p w:rsidR="00130DE2" w:rsidRPr="006B01DA" w:rsidRDefault="00130DE2" w:rsidP="00130DE2">
      <w:pPr>
        <w:keepNext/>
        <w:keepLines/>
        <w:tabs>
          <w:tab w:val="left" w:pos="993"/>
          <w:tab w:val="left" w:pos="2410"/>
        </w:tabs>
        <w:ind w:right="-2"/>
        <w:jc w:val="center"/>
        <w:rPr>
          <w:b/>
        </w:rPr>
      </w:pPr>
      <w:r w:rsidRPr="006B01DA">
        <w:rPr>
          <w:b/>
        </w:rPr>
        <w:t>DANGEROUS GOODS LIST,</w:t>
      </w:r>
    </w:p>
    <w:p w:rsidR="00130DE2" w:rsidRPr="006B01DA" w:rsidRDefault="00130DE2" w:rsidP="00130DE2">
      <w:pPr>
        <w:keepNext/>
        <w:keepLines/>
        <w:tabs>
          <w:tab w:val="left" w:pos="993"/>
          <w:tab w:val="left" w:pos="2410"/>
        </w:tabs>
        <w:ind w:right="-2"/>
        <w:jc w:val="center"/>
        <w:rPr>
          <w:b/>
        </w:rPr>
      </w:pPr>
      <w:r w:rsidRPr="006B01DA">
        <w:rPr>
          <w:b/>
        </w:rPr>
        <w:t>SPECIAL PROVISIONS AND EXCEPTIONS</w:t>
      </w:r>
    </w:p>
    <w:p w:rsidR="00130DE2" w:rsidRPr="006B01DA" w:rsidRDefault="00130DE2" w:rsidP="00130DE2">
      <w:pPr>
        <w:keepNext/>
        <w:keepLines/>
        <w:tabs>
          <w:tab w:val="left" w:pos="993"/>
          <w:tab w:val="left" w:pos="2410"/>
        </w:tabs>
        <w:ind w:right="-2"/>
        <w:jc w:val="center"/>
        <w:rPr>
          <w:b/>
        </w:rPr>
      </w:pPr>
    </w:p>
    <w:p w:rsidR="00130DE2" w:rsidRPr="006B01DA" w:rsidRDefault="00130DE2" w:rsidP="00130DE2">
      <w:pPr>
        <w:keepNext/>
        <w:keepLines/>
        <w:tabs>
          <w:tab w:val="left" w:pos="993"/>
          <w:tab w:val="left" w:pos="2410"/>
        </w:tabs>
        <w:jc w:val="center"/>
        <w:rPr>
          <w:b/>
        </w:rPr>
      </w:pPr>
      <w:r w:rsidRPr="006B01DA">
        <w:rPr>
          <w:b/>
        </w:rPr>
        <w:t>Chapter 3.2</w:t>
      </w:r>
    </w:p>
    <w:p w:rsidR="00130DE2" w:rsidRPr="006B01DA" w:rsidRDefault="00130DE2" w:rsidP="00130DE2">
      <w:pPr>
        <w:keepNext/>
        <w:keepLines/>
        <w:tabs>
          <w:tab w:val="left" w:pos="993"/>
          <w:tab w:val="left" w:pos="2410"/>
        </w:tabs>
        <w:jc w:val="center"/>
        <w:rPr>
          <w:b/>
        </w:rPr>
      </w:pPr>
      <w:r w:rsidRPr="006B01DA">
        <w:rPr>
          <w:b/>
        </w:rPr>
        <w:t>Dangerous Goods List</w:t>
      </w:r>
    </w:p>
    <w:p w:rsidR="00130DE2" w:rsidRPr="006B01DA" w:rsidRDefault="00130DE2" w:rsidP="00130DE2">
      <w:pPr>
        <w:pStyle w:val="SingleTxtG"/>
        <w:keepNext/>
        <w:keepLines/>
        <w:tabs>
          <w:tab w:val="left" w:pos="1276"/>
        </w:tabs>
        <w:spacing w:after="0" w:line="240" w:lineRule="auto"/>
        <w:ind w:left="0" w:right="0"/>
      </w:pPr>
    </w:p>
    <w:p w:rsidR="00130DE2" w:rsidRPr="006B01DA" w:rsidRDefault="00130DE2" w:rsidP="00130DE2">
      <w:pPr>
        <w:pStyle w:val="SingleTxtG"/>
        <w:keepNext/>
        <w:keepLines/>
        <w:tabs>
          <w:tab w:val="left" w:pos="851"/>
        </w:tabs>
        <w:spacing w:after="0" w:line="240" w:lineRule="auto"/>
        <w:ind w:left="0" w:right="0"/>
        <w:rPr>
          <w:b/>
        </w:rPr>
      </w:pPr>
      <w:r w:rsidRPr="006B01DA">
        <w:rPr>
          <w:b/>
        </w:rPr>
        <w:t>3.2.1</w:t>
      </w:r>
      <w:r w:rsidRPr="006B01DA">
        <w:rPr>
          <w:b/>
        </w:rPr>
        <w:tab/>
        <w:t>Structure of the Dangerous Goods List</w:t>
      </w:r>
    </w:p>
    <w:p w:rsidR="00130DE2" w:rsidRPr="006B01DA" w:rsidRDefault="00130DE2" w:rsidP="00130DE2">
      <w:pPr>
        <w:pStyle w:val="SingleTxtG"/>
        <w:keepNext/>
        <w:keepLines/>
        <w:spacing w:after="0"/>
        <w:ind w:left="0" w:right="-2"/>
        <w:rPr>
          <w:iCs/>
        </w:rPr>
      </w:pPr>
    </w:p>
    <w:p w:rsidR="00130DE2" w:rsidRPr="006B01DA" w:rsidRDefault="00130DE2" w:rsidP="00130DE2">
      <w:pPr>
        <w:pStyle w:val="SingleTxtG"/>
        <w:keepNext/>
        <w:keepLines/>
        <w:spacing w:after="0"/>
        <w:ind w:left="0" w:right="-2"/>
        <w:rPr>
          <w:iCs/>
        </w:rPr>
      </w:pPr>
      <w:r w:rsidRPr="006B01DA">
        <w:rPr>
          <w:iCs/>
        </w:rPr>
        <w:t>In the Dangerous Goods List, in the heading of column (4), replace "risk" by "hazard", and amend the following entries:</w:t>
      </w:r>
    </w:p>
    <w:p w:rsidR="00130DE2" w:rsidRDefault="00130DE2" w:rsidP="00130DE2">
      <w:pPr>
        <w:pStyle w:val="SingleTxtG"/>
        <w:spacing w:after="0"/>
        <w:ind w:left="0" w:right="0"/>
        <w:rPr>
          <w:rFonts w:ascii="Arial" w:hAnsi="Arial" w:cs="Arial"/>
          <w:iCs/>
          <w:sz w:val="22"/>
          <w:szCs w:val="22"/>
        </w:rPr>
      </w:pPr>
      <w:r>
        <w:rPr>
          <w:rFonts w:ascii="Arial" w:hAnsi="Arial" w:cs="Arial"/>
          <w:iCs/>
          <w:sz w:val="22"/>
          <w:szCs w:val="22"/>
        </w:rPr>
        <w:t xml:space="preserve"> </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7886"/>
      </w:tblGrid>
      <w:tr w:rsidR="00130DE2" w:rsidRPr="00E57595" w:rsidTr="006D7939">
        <w:trPr>
          <w:cantSplit/>
        </w:trPr>
        <w:tc>
          <w:tcPr>
            <w:tcW w:w="1413" w:type="dxa"/>
            <w:vAlign w:val="bottom"/>
          </w:tcPr>
          <w:p w:rsidR="00130DE2" w:rsidRPr="00E57595" w:rsidRDefault="00130DE2" w:rsidP="006D7939">
            <w:pPr>
              <w:jc w:val="center"/>
              <w:rPr>
                <w:rFonts w:cs="Arial"/>
                <w:iCs/>
                <w:szCs w:val="22"/>
              </w:rPr>
            </w:pPr>
            <w:r w:rsidRPr="00E57595">
              <w:rPr>
                <w:rFonts w:cs="Arial"/>
                <w:szCs w:val="22"/>
              </w:rPr>
              <w:t>3090</w:t>
            </w:r>
          </w:p>
        </w:tc>
        <w:tc>
          <w:tcPr>
            <w:tcW w:w="7886" w:type="dxa"/>
            <w:vAlign w:val="bottom"/>
          </w:tcPr>
          <w:p w:rsidR="00130DE2" w:rsidRPr="00E57595" w:rsidRDefault="00130DE2" w:rsidP="006D7939">
            <w:pPr>
              <w:ind w:left="61" w:right="80"/>
              <w:rPr>
                <w:rFonts w:cs="Arial"/>
                <w:szCs w:val="22"/>
              </w:rPr>
            </w:pPr>
            <w:r w:rsidRPr="00E57595">
              <w:rPr>
                <w:rFonts w:cs="Arial"/>
                <w:szCs w:val="22"/>
              </w:rPr>
              <w:t xml:space="preserve">in column (6), insert </w:t>
            </w:r>
            <w:r>
              <w:rPr>
                <w:rFonts w:cs="Arial"/>
                <w:szCs w:val="22"/>
              </w:rPr>
              <w:t>"</w:t>
            </w:r>
            <w:r w:rsidRPr="00E57595">
              <w:rPr>
                <w:rFonts w:cs="Arial"/>
                <w:szCs w:val="22"/>
              </w:rPr>
              <w:t>387</w:t>
            </w:r>
            <w:r>
              <w:rPr>
                <w:rFonts w:cs="Arial"/>
                <w:szCs w:val="22"/>
              </w:rPr>
              <w:t>"</w:t>
            </w:r>
            <w:r w:rsidRPr="00E57595">
              <w:rPr>
                <w:rFonts w:cs="Arial"/>
                <w:szCs w:val="22"/>
              </w:rPr>
              <w:t xml:space="preserve">; </w:t>
            </w:r>
            <w:r w:rsidRPr="00E57595">
              <w:rPr>
                <w:rFonts w:cs="Arial"/>
                <w:szCs w:val="22"/>
                <w:highlight w:val="cyan"/>
              </w:rPr>
              <w:t xml:space="preserve">in column (8), insert </w:t>
            </w:r>
            <w:r>
              <w:rPr>
                <w:rFonts w:cs="Arial"/>
                <w:szCs w:val="22"/>
                <w:highlight w:val="cyan"/>
              </w:rPr>
              <w:t>"</w:t>
            </w:r>
            <w:r w:rsidRPr="00E57595">
              <w:rPr>
                <w:rFonts w:cs="Arial"/>
                <w:szCs w:val="22"/>
                <w:highlight w:val="cyan"/>
              </w:rPr>
              <w:t>P911</w:t>
            </w:r>
            <w:r>
              <w:rPr>
                <w:rFonts w:cs="Arial"/>
                <w:szCs w:val="22"/>
                <w:highlight w:val="cyan"/>
              </w:rPr>
              <w:t>"</w:t>
            </w:r>
            <w:r w:rsidRPr="00E57595">
              <w:rPr>
                <w:rFonts w:cs="Arial"/>
                <w:szCs w:val="22"/>
                <w:highlight w:val="cyan"/>
              </w:rPr>
              <w:t xml:space="preserve">, </w:t>
            </w:r>
            <w:r>
              <w:rPr>
                <w:rFonts w:cs="Arial"/>
                <w:szCs w:val="22"/>
                <w:highlight w:val="cyan"/>
              </w:rPr>
              <w:t>"</w:t>
            </w:r>
            <w:r w:rsidRPr="00E57595">
              <w:rPr>
                <w:rFonts w:cs="Arial"/>
                <w:szCs w:val="22"/>
                <w:highlight w:val="cyan"/>
              </w:rPr>
              <w:t>LP905</w:t>
            </w:r>
            <w:r>
              <w:rPr>
                <w:rFonts w:cs="Arial"/>
                <w:szCs w:val="22"/>
                <w:highlight w:val="cyan"/>
              </w:rPr>
              <w:t>"</w:t>
            </w:r>
            <w:r w:rsidRPr="00E57595">
              <w:rPr>
                <w:rFonts w:cs="Arial"/>
                <w:szCs w:val="22"/>
                <w:highlight w:val="cyan"/>
              </w:rPr>
              <w:t xml:space="preserve"> and </w:t>
            </w:r>
            <w:r>
              <w:rPr>
                <w:rFonts w:cs="Arial"/>
                <w:szCs w:val="22"/>
                <w:highlight w:val="cyan"/>
              </w:rPr>
              <w:t>"</w:t>
            </w:r>
            <w:r w:rsidRPr="00E57595">
              <w:rPr>
                <w:rFonts w:cs="Arial"/>
                <w:szCs w:val="22"/>
                <w:highlight w:val="cyan"/>
              </w:rPr>
              <w:t>LP906</w:t>
            </w:r>
            <w:r>
              <w:rPr>
                <w:rFonts w:cs="Arial"/>
                <w:szCs w:val="22"/>
                <w:highlight w:val="cyan"/>
              </w:rPr>
              <w:t>"</w:t>
            </w:r>
            <w:r w:rsidRPr="00E57595">
              <w:rPr>
                <w:rFonts w:cs="Arial"/>
                <w:szCs w:val="22"/>
                <w:highlight w:val="cyan"/>
              </w:rPr>
              <w:t xml:space="preserve"> </w:t>
            </w:r>
          </w:p>
        </w:tc>
      </w:tr>
      <w:tr w:rsidR="00130DE2" w:rsidRPr="00E57595" w:rsidTr="006D7939">
        <w:trPr>
          <w:cantSplit/>
        </w:trPr>
        <w:tc>
          <w:tcPr>
            <w:tcW w:w="1413" w:type="dxa"/>
            <w:vAlign w:val="bottom"/>
          </w:tcPr>
          <w:p w:rsidR="00130DE2" w:rsidRPr="00E57595" w:rsidRDefault="00130DE2" w:rsidP="006D7939">
            <w:pPr>
              <w:jc w:val="center"/>
              <w:rPr>
                <w:rFonts w:cs="Arial"/>
                <w:iCs/>
                <w:szCs w:val="22"/>
              </w:rPr>
            </w:pPr>
            <w:r w:rsidRPr="00E57595">
              <w:rPr>
                <w:rFonts w:cs="Arial"/>
                <w:szCs w:val="22"/>
              </w:rPr>
              <w:t>3091</w:t>
            </w:r>
          </w:p>
        </w:tc>
        <w:tc>
          <w:tcPr>
            <w:tcW w:w="7886" w:type="dxa"/>
            <w:vAlign w:val="bottom"/>
          </w:tcPr>
          <w:p w:rsidR="00130DE2" w:rsidRPr="00E57595" w:rsidRDefault="00130DE2" w:rsidP="006D7939">
            <w:pPr>
              <w:ind w:left="61" w:right="80"/>
              <w:rPr>
                <w:rFonts w:cs="Arial"/>
                <w:szCs w:val="22"/>
              </w:rPr>
            </w:pPr>
            <w:r w:rsidRPr="00E57595">
              <w:rPr>
                <w:rFonts w:cs="Arial"/>
                <w:szCs w:val="22"/>
              </w:rPr>
              <w:t xml:space="preserve">in column (6), insert </w:t>
            </w:r>
            <w:r>
              <w:rPr>
                <w:rFonts w:cs="Arial"/>
                <w:szCs w:val="22"/>
              </w:rPr>
              <w:t>"</w:t>
            </w:r>
            <w:r w:rsidRPr="00E57595">
              <w:rPr>
                <w:rFonts w:cs="Arial"/>
                <w:szCs w:val="22"/>
              </w:rPr>
              <w:t>387</w:t>
            </w:r>
            <w:r>
              <w:rPr>
                <w:rFonts w:cs="Arial"/>
                <w:szCs w:val="22"/>
              </w:rPr>
              <w:t>"</w:t>
            </w:r>
            <w:r w:rsidRPr="00E57595">
              <w:rPr>
                <w:rFonts w:cs="Arial"/>
                <w:szCs w:val="22"/>
              </w:rPr>
              <w:t xml:space="preserve">; </w:t>
            </w:r>
            <w:r w:rsidRPr="00E57595">
              <w:rPr>
                <w:rFonts w:cs="Arial"/>
                <w:szCs w:val="22"/>
                <w:highlight w:val="cyan"/>
              </w:rPr>
              <w:t xml:space="preserve">in column (8), insert </w:t>
            </w:r>
            <w:r>
              <w:rPr>
                <w:rFonts w:cs="Arial"/>
                <w:szCs w:val="22"/>
                <w:highlight w:val="cyan"/>
              </w:rPr>
              <w:t>"</w:t>
            </w:r>
            <w:r w:rsidRPr="00E57595">
              <w:rPr>
                <w:rFonts w:cs="Arial"/>
                <w:szCs w:val="22"/>
                <w:highlight w:val="cyan"/>
              </w:rPr>
              <w:t>P911</w:t>
            </w:r>
            <w:r>
              <w:rPr>
                <w:rFonts w:cs="Arial"/>
                <w:szCs w:val="22"/>
                <w:highlight w:val="cyan"/>
              </w:rPr>
              <w:t>"</w:t>
            </w:r>
            <w:r w:rsidRPr="00E57595">
              <w:rPr>
                <w:rFonts w:cs="Arial"/>
                <w:szCs w:val="22"/>
                <w:highlight w:val="cyan"/>
              </w:rPr>
              <w:t xml:space="preserve">, </w:t>
            </w:r>
            <w:r>
              <w:rPr>
                <w:rFonts w:cs="Arial"/>
                <w:szCs w:val="22"/>
                <w:highlight w:val="cyan"/>
              </w:rPr>
              <w:t>"</w:t>
            </w:r>
            <w:r w:rsidRPr="00E57595">
              <w:rPr>
                <w:rFonts w:cs="Arial"/>
                <w:szCs w:val="22"/>
                <w:highlight w:val="cyan"/>
              </w:rPr>
              <w:t>LP905</w:t>
            </w:r>
            <w:r>
              <w:rPr>
                <w:rFonts w:cs="Arial"/>
                <w:szCs w:val="22"/>
                <w:highlight w:val="cyan"/>
              </w:rPr>
              <w:t>"</w:t>
            </w:r>
            <w:r w:rsidRPr="00E57595">
              <w:rPr>
                <w:rFonts w:cs="Arial"/>
                <w:szCs w:val="22"/>
                <w:highlight w:val="cyan"/>
              </w:rPr>
              <w:t xml:space="preserve"> and </w:t>
            </w:r>
            <w:r>
              <w:rPr>
                <w:rFonts w:cs="Arial"/>
                <w:szCs w:val="22"/>
                <w:highlight w:val="cyan"/>
              </w:rPr>
              <w:t>"</w:t>
            </w:r>
            <w:r w:rsidRPr="00E57595">
              <w:rPr>
                <w:rFonts w:cs="Arial"/>
                <w:szCs w:val="22"/>
                <w:highlight w:val="cyan"/>
              </w:rPr>
              <w:t>LP906</w:t>
            </w:r>
            <w:r>
              <w:rPr>
                <w:rFonts w:cs="Arial"/>
                <w:szCs w:val="22"/>
                <w:highlight w:val="cyan"/>
              </w:rPr>
              <w:t>"</w:t>
            </w:r>
            <w:r w:rsidRPr="00E57595">
              <w:rPr>
                <w:rFonts w:cs="Arial"/>
                <w:szCs w:val="22"/>
                <w:highlight w:val="cyan"/>
              </w:rPr>
              <w:t xml:space="preserve"> </w:t>
            </w:r>
          </w:p>
        </w:tc>
      </w:tr>
      <w:tr w:rsidR="00130DE2" w:rsidRPr="00E57595" w:rsidTr="006D7939">
        <w:trPr>
          <w:cantSplit/>
        </w:trPr>
        <w:tc>
          <w:tcPr>
            <w:tcW w:w="1413" w:type="dxa"/>
            <w:vAlign w:val="bottom"/>
          </w:tcPr>
          <w:p w:rsidR="00130DE2" w:rsidRPr="00E57595" w:rsidRDefault="00130DE2" w:rsidP="006D7939">
            <w:pPr>
              <w:jc w:val="center"/>
              <w:rPr>
                <w:rFonts w:cs="Arial"/>
                <w:iCs/>
                <w:szCs w:val="22"/>
              </w:rPr>
            </w:pPr>
            <w:r w:rsidRPr="00E57595">
              <w:rPr>
                <w:rFonts w:cs="Arial"/>
                <w:szCs w:val="22"/>
              </w:rPr>
              <w:t>3480</w:t>
            </w:r>
          </w:p>
        </w:tc>
        <w:tc>
          <w:tcPr>
            <w:tcW w:w="7886" w:type="dxa"/>
            <w:vAlign w:val="bottom"/>
          </w:tcPr>
          <w:p w:rsidR="00130DE2" w:rsidRPr="00E57595" w:rsidRDefault="00130DE2" w:rsidP="006D7939">
            <w:pPr>
              <w:ind w:left="61" w:right="80"/>
              <w:rPr>
                <w:rFonts w:cs="Arial"/>
                <w:szCs w:val="22"/>
              </w:rPr>
            </w:pPr>
            <w:r w:rsidRPr="00E57595">
              <w:rPr>
                <w:rFonts w:cs="Arial"/>
                <w:szCs w:val="22"/>
              </w:rPr>
              <w:t xml:space="preserve">in column (6), insert </w:t>
            </w:r>
            <w:r>
              <w:rPr>
                <w:rFonts w:cs="Arial"/>
                <w:szCs w:val="22"/>
              </w:rPr>
              <w:t>"</w:t>
            </w:r>
            <w:r w:rsidRPr="00E57595">
              <w:rPr>
                <w:rFonts w:cs="Arial"/>
                <w:szCs w:val="22"/>
              </w:rPr>
              <w:t>387</w:t>
            </w:r>
            <w:r>
              <w:rPr>
                <w:rFonts w:cs="Arial"/>
                <w:szCs w:val="22"/>
              </w:rPr>
              <w:t>"</w:t>
            </w:r>
            <w:r w:rsidRPr="00E57595">
              <w:rPr>
                <w:rFonts w:cs="Arial"/>
                <w:szCs w:val="22"/>
              </w:rPr>
              <w:t>;</w:t>
            </w:r>
            <w:r w:rsidRPr="00E57595">
              <w:rPr>
                <w:rFonts w:cs="Arial"/>
                <w:szCs w:val="22"/>
                <w:highlight w:val="cyan"/>
              </w:rPr>
              <w:t xml:space="preserve"> in column (8), insert </w:t>
            </w:r>
            <w:r>
              <w:rPr>
                <w:rFonts w:cs="Arial"/>
                <w:szCs w:val="22"/>
                <w:highlight w:val="cyan"/>
              </w:rPr>
              <w:t>"</w:t>
            </w:r>
            <w:r w:rsidRPr="00E57595">
              <w:rPr>
                <w:rFonts w:cs="Arial"/>
                <w:szCs w:val="22"/>
                <w:highlight w:val="cyan"/>
              </w:rPr>
              <w:t>P911</w:t>
            </w:r>
            <w:r>
              <w:rPr>
                <w:rFonts w:cs="Arial"/>
                <w:szCs w:val="22"/>
                <w:highlight w:val="cyan"/>
              </w:rPr>
              <w:t>"</w:t>
            </w:r>
            <w:r w:rsidRPr="00E57595">
              <w:rPr>
                <w:rFonts w:cs="Arial"/>
                <w:szCs w:val="22"/>
                <w:highlight w:val="cyan"/>
              </w:rPr>
              <w:t xml:space="preserve">, </w:t>
            </w:r>
            <w:r>
              <w:rPr>
                <w:rFonts w:cs="Arial"/>
                <w:szCs w:val="22"/>
                <w:highlight w:val="cyan"/>
              </w:rPr>
              <w:t>"</w:t>
            </w:r>
            <w:r w:rsidRPr="00E57595">
              <w:rPr>
                <w:rFonts w:cs="Arial"/>
                <w:szCs w:val="22"/>
                <w:highlight w:val="cyan"/>
              </w:rPr>
              <w:t>LP905</w:t>
            </w:r>
            <w:r>
              <w:rPr>
                <w:rFonts w:cs="Arial"/>
                <w:szCs w:val="22"/>
                <w:highlight w:val="cyan"/>
              </w:rPr>
              <w:t>"</w:t>
            </w:r>
            <w:r w:rsidRPr="00E57595">
              <w:rPr>
                <w:rFonts w:cs="Arial"/>
                <w:szCs w:val="22"/>
                <w:highlight w:val="cyan"/>
              </w:rPr>
              <w:t xml:space="preserve"> and </w:t>
            </w:r>
            <w:r>
              <w:rPr>
                <w:rFonts w:cs="Arial"/>
                <w:szCs w:val="22"/>
                <w:highlight w:val="cyan"/>
              </w:rPr>
              <w:t>"</w:t>
            </w:r>
            <w:r w:rsidRPr="00E57595">
              <w:rPr>
                <w:rFonts w:cs="Arial"/>
                <w:szCs w:val="22"/>
                <w:highlight w:val="cyan"/>
              </w:rPr>
              <w:t>LP906</w:t>
            </w:r>
            <w:r>
              <w:rPr>
                <w:rFonts w:cs="Arial"/>
                <w:szCs w:val="22"/>
                <w:highlight w:val="cyan"/>
              </w:rPr>
              <w:t>"</w:t>
            </w:r>
            <w:r w:rsidRPr="00E57595">
              <w:rPr>
                <w:rFonts w:cs="Arial"/>
                <w:szCs w:val="22"/>
                <w:highlight w:val="cyan"/>
              </w:rPr>
              <w:t xml:space="preserve"> </w:t>
            </w:r>
          </w:p>
        </w:tc>
      </w:tr>
      <w:tr w:rsidR="00130DE2" w:rsidRPr="00E57595" w:rsidTr="006D7939">
        <w:trPr>
          <w:cantSplit/>
        </w:trPr>
        <w:tc>
          <w:tcPr>
            <w:tcW w:w="1413" w:type="dxa"/>
            <w:vAlign w:val="bottom"/>
          </w:tcPr>
          <w:p w:rsidR="00130DE2" w:rsidRPr="00E57595" w:rsidRDefault="00130DE2" w:rsidP="006D7939">
            <w:pPr>
              <w:jc w:val="center"/>
              <w:rPr>
                <w:rFonts w:cs="Arial"/>
                <w:iCs/>
                <w:szCs w:val="22"/>
              </w:rPr>
            </w:pPr>
            <w:r w:rsidRPr="00E57595">
              <w:rPr>
                <w:rFonts w:cs="Arial"/>
                <w:szCs w:val="22"/>
              </w:rPr>
              <w:t>3481</w:t>
            </w:r>
          </w:p>
        </w:tc>
        <w:tc>
          <w:tcPr>
            <w:tcW w:w="7886" w:type="dxa"/>
            <w:vAlign w:val="bottom"/>
          </w:tcPr>
          <w:p w:rsidR="00130DE2" w:rsidRPr="00E57595" w:rsidRDefault="00130DE2" w:rsidP="006D7939">
            <w:pPr>
              <w:ind w:left="61" w:right="80"/>
              <w:rPr>
                <w:rFonts w:cs="Arial"/>
                <w:szCs w:val="22"/>
              </w:rPr>
            </w:pPr>
            <w:r w:rsidRPr="00E57595">
              <w:rPr>
                <w:rFonts w:cs="Arial"/>
                <w:szCs w:val="22"/>
              </w:rPr>
              <w:t xml:space="preserve">in column (6), insert </w:t>
            </w:r>
            <w:r>
              <w:rPr>
                <w:rFonts w:cs="Arial"/>
                <w:szCs w:val="22"/>
              </w:rPr>
              <w:t>"</w:t>
            </w:r>
            <w:r w:rsidRPr="00E57595">
              <w:rPr>
                <w:rFonts w:cs="Arial"/>
                <w:szCs w:val="22"/>
              </w:rPr>
              <w:t>387</w:t>
            </w:r>
            <w:r>
              <w:rPr>
                <w:rFonts w:cs="Arial"/>
                <w:szCs w:val="22"/>
              </w:rPr>
              <w:t>"</w:t>
            </w:r>
            <w:r w:rsidRPr="00E57595">
              <w:rPr>
                <w:rFonts w:cs="Arial"/>
                <w:szCs w:val="22"/>
              </w:rPr>
              <w:t xml:space="preserve">; </w:t>
            </w:r>
            <w:r w:rsidRPr="00E57595">
              <w:rPr>
                <w:rFonts w:cs="Arial"/>
                <w:szCs w:val="22"/>
                <w:highlight w:val="cyan"/>
              </w:rPr>
              <w:t xml:space="preserve">in column (8), insert </w:t>
            </w:r>
            <w:r>
              <w:rPr>
                <w:rFonts w:cs="Arial"/>
                <w:szCs w:val="22"/>
                <w:highlight w:val="cyan"/>
              </w:rPr>
              <w:t>"</w:t>
            </w:r>
            <w:r w:rsidRPr="00E57595">
              <w:rPr>
                <w:rFonts w:cs="Arial"/>
                <w:szCs w:val="22"/>
                <w:highlight w:val="cyan"/>
              </w:rPr>
              <w:t>P911</w:t>
            </w:r>
            <w:r>
              <w:rPr>
                <w:rFonts w:cs="Arial"/>
                <w:szCs w:val="22"/>
                <w:highlight w:val="cyan"/>
              </w:rPr>
              <w:t>"</w:t>
            </w:r>
            <w:r w:rsidRPr="00E57595">
              <w:rPr>
                <w:rFonts w:cs="Arial"/>
                <w:szCs w:val="22"/>
                <w:highlight w:val="cyan"/>
              </w:rPr>
              <w:t xml:space="preserve">, </w:t>
            </w:r>
            <w:r>
              <w:rPr>
                <w:rFonts w:cs="Arial"/>
                <w:szCs w:val="22"/>
                <w:highlight w:val="cyan"/>
              </w:rPr>
              <w:t>"</w:t>
            </w:r>
            <w:r w:rsidRPr="00E57595">
              <w:rPr>
                <w:rFonts w:cs="Arial"/>
                <w:szCs w:val="22"/>
                <w:highlight w:val="cyan"/>
              </w:rPr>
              <w:t>LP905</w:t>
            </w:r>
            <w:r>
              <w:rPr>
                <w:rFonts w:cs="Arial"/>
                <w:szCs w:val="22"/>
                <w:highlight w:val="cyan"/>
              </w:rPr>
              <w:t>"</w:t>
            </w:r>
            <w:r w:rsidRPr="00E57595">
              <w:rPr>
                <w:rFonts w:cs="Arial"/>
                <w:szCs w:val="22"/>
                <w:highlight w:val="cyan"/>
              </w:rPr>
              <w:t xml:space="preserve"> and </w:t>
            </w:r>
            <w:r>
              <w:rPr>
                <w:rFonts w:cs="Arial"/>
                <w:szCs w:val="22"/>
                <w:highlight w:val="cyan"/>
              </w:rPr>
              <w:t>"</w:t>
            </w:r>
            <w:r w:rsidRPr="00E57595">
              <w:rPr>
                <w:rFonts w:cs="Arial"/>
                <w:szCs w:val="22"/>
                <w:highlight w:val="cyan"/>
              </w:rPr>
              <w:t>LP906</w:t>
            </w:r>
            <w:r>
              <w:rPr>
                <w:rFonts w:cs="Arial"/>
                <w:szCs w:val="22"/>
                <w:highlight w:val="cyan"/>
              </w:rPr>
              <w:t>"</w:t>
            </w:r>
            <w:r w:rsidRPr="00E57595">
              <w:rPr>
                <w:rFonts w:cs="Arial"/>
                <w:szCs w:val="22"/>
                <w:highlight w:val="cyan"/>
              </w:rPr>
              <w:t xml:space="preserve"> </w:t>
            </w:r>
          </w:p>
        </w:tc>
      </w:tr>
    </w:tbl>
    <w:p w:rsidR="006B01DA" w:rsidRDefault="006B01DA" w:rsidP="00130DE2">
      <w:pPr>
        <w:keepNext/>
        <w:keepLines/>
        <w:tabs>
          <w:tab w:val="left" w:pos="993"/>
          <w:tab w:val="left" w:pos="2410"/>
        </w:tabs>
        <w:jc w:val="center"/>
        <w:rPr>
          <w:b/>
        </w:rPr>
      </w:pPr>
    </w:p>
    <w:p w:rsidR="006B01DA" w:rsidRDefault="006B01DA">
      <w:pPr>
        <w:suppressAutoHyphens w:val="0"/>
        <w:spacing w:line="240" w:lineRule="auto"/>
        <w:rPr>
          <w:b/>
        </w:rPr>
      </w:pPr>
      <w:r>
        <w:rPr>
          <w:b/>
        </w:rPr>
        <w:br w:type="page"/>
      </w:r>
    </w:p>
    <w:p w:rsidR="00130DE2" w:rsidRPr="006B01DA" w:rsidRDefault="00130DE2" w:rsidP="00130DE2">
      <w:pPr>
        <w:keepNext/>
        <w:keepLines/>
        <w:tabs>
          <w:tab w:val="left" w:pos="993"/>
          <w:tab w:val="left" w:pos="2410"/>
        </w:tabs>
        <w:jc w:val="center"/>
        <w:rPr>
          <w:b/>
        </w:rPr>
      </w:pPr>
      <w:r w:rsidRPr="006B01DA">
        <w:rPr>
          <w:b/>
        </w:rPr>
        <w:lastRenderedPageBreak/>
        <w:t>Chapter 3.3</w:t>
      </w:r>
    </w:p>
    <w:p w:rsidR="00130DE2" w:rsidRPr="006B01DA" w:rsidRDefault="00130DE2" w:rsidP="00130DE2">
      <w:pPr>
        <w:keepNext/>
        <w:keepLines/>
        <w:tabs>
          <w:tab w:val="left" w:pos="993"/>
          <w:tab w:val="left" w:pos="2410"/>
        </w:tabs>
        <w:jc w:val="center"/>
        <w:rPr>
          <w:b/>
        </w:rPr>
      </w:pPr>
      <w:r w:rsidRPr="006B01DA">
        <w:rPr>
          <w:b/>
        </w:rPr>
        <w:t>Special provisions applicable to certain substances, materials or articles</w:t>
      </w:r>
    </w:p>
    <w:p w:rsidR="00130DE2" w:rsidRPr="006B01DA" w:rsidRDefault="00130DE2" w:rsidP="00130DE2">
      <w:pPr>
        <w:pStyle w:val="SingleTxtG"/>
        <w:keepNext/>
        <w:keepLines/>
        <w:tabs>
          <w:tab w:val="left" w:pos="1276"/>
        </w:tabs>
        <w:spacing w:after="0" w:line="240" w:lineRule="auto"/>
        <w:ind w:left="0" w:right="0"/>
      </w:pPr>
    </w:p>
    <w:p w:rsidR="00130DE2" w:rsidRPr="006B01DA" w:rsidRDefault="00130DE2" w:rsidP="00130DE2">
      <w:pPr>
        <w:pStyle w:val="SingleTxtG"/>
        <w:tabs>
          <w:tab w:val="left" w:pos="2268"/>
        </w:tabs>
        <w:spacing w:after="0" w:line="240" w:lineRule="auto"/>
        <w:ind w:left="0" w:right="-2"/>
        <w:rPr>
          <w:iCs/>
        </w:rPr>
      </w:pPr>
    </w:p>
    <w:p w:rsidR="00130DE2" w:rsidRPr="006B01DA" w:rsidRDefault="00130DE2" w:rsidP="00130DE2">
      <w:pPr>
        <w:pStyle w:val="SingleTxtG"/>
        <w:spacing w:after="0" w:line="240" w:lineRule="auto"/>
        <w:ind w:left="848" w:right="0" w:hanging="848"/>
        <w:rPr>
          <w:iCs/>
        </w:rPr>
      </w:pPr>
      <w:r w:rsidRPr="006B01DA">
        <w:rPr>
          <w:iCs/>
        </w:rPr>
        <w:t>SP 188</w:t>
      </w:r>
      <w:r w:rsidRPr="006B01DA">
        <w:rPr>
          <w:iCs/>
        </w:rPr>
        <w:tab/>
      </w:r>
      <w:r w:rsidRPr="006B01DA">
        <w:rPr>
          <w:iCs/>
          <w:highlight w:val="cyan"/>
        </w:rPr>
        <w:t>In sub-paragraph .3, replace "2.9.4.1 and 2.9.4.5" by "2.9.4.1, 2.9.4.5, 2.9.4.6 and 2.9.4.7"</w:t>
      </w:r>
    </w:p>
    <w:p w:rsidR="00130DE2" w:rsidRPr="006B01DA" w:rsidRDefault="00130DE2" w:rsidP="00130DE2">
      <w:pPr>
        <w:pStyle w:val="SingleTxtG"/>
        <w:spacing w:after="0" w:line="240" w:lineRule="auto"/>
        <w:ind w:left="0" w:right="0"/>
        <w:rPr>
          <w:iCs/>
        </w:rPr>
      </w:pPr>
    </w:p>
    <w:p w:rsidR="00130DE2" w:rsidRPr="006B01DA" w:rsidRDefault="00130DE2" w:rsidP="00130DE2">
      <w:pPr>
        <w:pStyle w:val="SingleTxtG"/>
        <w:tabs>
          <w:tab w:val="left" w:pos="2268"/>
        </w:tabs>
        <w:spacing w:after="0" w:line="240" w:lineRule="auto"/>
        <w:ind w:left="0" w:right="0"/>
        <w:rPr>
          <w:iCs/>
        </w:rPr>
      </w:pPr>
    </w:p>
    <w:p w:rsidR="00130DE2" w:rsidRPr="006B01DA" w:rsidRDefault="00130DE2" w:rsidP="00130DE2">
      <w:pPr>
        <w:pStyle w:val="SingleTxtG"/>
        <w:tabs>
          <w:tab w:val="left" w:pos="851"/>
        </w:tabs>
        <w:spacing w:after="0" w:line="240" w:lineRule="auto"/>
        <w:ind w:left="851" w:right="-2"/>
        <w:rPr>
          <w:iCs/>
          <w:highlight w:val="cyan"/>
        </w:rPr>
      </w:pPr>
      <w:r w:rsidRPr="006B01DA">
        <w:rPr>
          <w:iCs/>
          <w:highlight w:val="cyan"/>
        </w:rPr>
        <w:t>In the first paragraph after sub-paragraph .8, at the end, add the following sentence:</w:t>
      </w:r>
    </w:p>
    <w:p w:rsidR="00130DE2" w:rsidRPr="006B01DA" w:rsidRDefault="00130DE2" w:rsidP="00130DE2">
      <w:pPr>
        <w:pStyle w:val="SingleTxtG"/>
        <w:tabs>
          <w:tab w:val="left" w:pos="851"/>
        </w:tabs>
        <w:spacing w:after="0" w:line="240" w:lineRule="auto"/>
        <w:ind w:left="851" w:right="-2"/>
        <w:rPr>
          <w:iCs/>
          <w:highlight w:val="cyan"/>
        </w:rPr>
      </w:pPr>
    </w:p>
    <w:p w:rsidR="00130DE2" w:rsidRPr="006B01DA" w:rsidRDefault="00130DE2" w:rsidP="00130DE2">
      <w:pPr>
        <w:pStyle w:val="SingleTxtG"/>
        <w:tabs>
          <w:tab w:val="left" w:pos="851"/>
        </w:tabs>
        <w:spacing w:after="0" w:line="240" w:lineRule="auto"/>
        <w:ind w:left="1702" w:right="0"/>
        <w:rPr>
          <w:iCs/>
        </w:rPr>
      </w:pPr>
      <w:r w:rsidRPr="006B01DA">
        <w:rPr>
          <w:iCs/>
          <w:highlight w:val="cyan"/>
        </w:rPr>
        <w:t>"As used in this special provision "equipment" means apparatus for which the lithium cells or batteries will provide electrical power for its operation."</w:t>
      </w:r>
    </w:p>
    <w:p w:rsidR="00130DE2" w:rsidRPr="006B01DA" w:rsidRDefault="00130DE2" w:rsidP="00130DE2">
      <w:pPr>
        <w:pStyle w:val="SingleTxtG"/>
        <w:tabs>
          <w:tab w:val="left" w:pos="851"/>
        </w:tabs>
        <w:spacing w:after="0" w:line="240" w:lineRule="auto"/>
        <w:ind w:left="1702" w:right="0"/>
        <w:rPr>
          <w:iCs/>
        </w:rPr>
      </w:pPr>
    </w:p>
    <w:p w:rsidR="00130DE2" w:rsidRPr="006B01DA" w:rsidRDefault="00130DE2" w:rsidP="00130DE2">
      <w:pPr>
        <w:pStyle w:val="SingleTxtG"/>
        <w:tabs>
          <w:tab w:val="left" w:pos="2127"/>
        </w:tabs>
        <w:spacing w:after="0" w:line="240" w:lineRule="auto"/>
        <w:ind w:left="0" w:right="-2"/>
        <w:rPr>
          <w:iCs/>
        </w:rPr>
      </w:pPr>
    </w:p>
    <w:p w:rsidR="00130DE2" w:rsidRPr="006B01DA" w:rsidRDefault="00130DE2" w:rsidP="00130DE2">
      <w:pPr>
        <w:pStyle w:val="SingleTxtG"/>
        <w:tabs>
          <w:tab w:val="left" w:pos="851"/>
        </w:tabs>
        <w:spacing w:after="0" w:line="240" w:lineRule="auto"/>
        <w:ind w:left="0" w:right="-2"/>
        <w:rPr>
          <w:iCs/>
        </w:rPr>
      </w:pPr>
      <w:r w:rsidRPr="006B01DA">
        <w:rPr>
          <w:iCs/>
          <w:highlight w:val="cyan"/>
        </w:rPr>
        <w:t>SP 296</w:t>
      </w:r>
      <w:r w:rsidRPr="006B01DA">
        <w:rPr>
          <w:iCs/>
          <w:highlight w:val="cyan"/>
        </w:rPr>
        <w:tab/>
        <w:t>Replace "risk" by "hazard".</w:t>
      </w:r>
    </w:p>
    <w:p w:rsidR="00130DE2" w:rsidRPr="006B01DA" w:rsidRDefault="00130DE2" w:rsidP="00130DE2">
      <w:pPr>
        <w:pStyle w:val="SingleTxtG"/>
        <w:tabs>
          <w:tab w:val="left" w:pos="2127"/>
        </w:tabs>
        <w:spacing w:after="0" w:line="240" w:lineRule="auto"/>
        <w:ind w:left="0" w:right="-2"/>
        <w:rPr>
          <w:iCs/>
        </w:rPr>
      </w:pPr>
    </w:p>
    <w:p w:rsidR="00130DE2" w:rsidRPr="006B01DA" w:rsidRDefault="00130DE2" w:rsidP="00130DE2">
      <w:pPr>
        <w:pStyle w:val="SingleTxtG"/>
        <w:tabs>
          <w:tab w:val="left" w:pos="2268"/>
        </w:tabs>
        <w:spacing w:after="0" w:line="240" w:lineRule="auto"/>
        <w:ind w:left="0" w:right="-2"/>
        <w:rPr>
          <w:iCs/>
        </w:rPr>
      </w:pPr>
      <w:r w:rsidRPr="006B01DA">
        <w:rPr>
          <w:iCs/>
        </w:rPr>
        <w:t>Add the following new special provisions:</w:t>
      </w:r>
    </w:p>
    <w:p w:rsidR="00130DE2" w:rsidRPr="006B01DA" w:rsidRDefault="00130DE2" w:rsidP="00130DE2">
      <w:pPr>
        <w:pStyle w:val="SingleTxtG"/>
        <w:tabs>
          <w:tab w:val="left" w:pos="2268"/>
        </w:tabs>
        <w:spacing w:after="0" w:line="240" w:lineRule="auto"/>
        <w:ind w:left="0" w:right="-2"/>
        <w:rPr>
          <w:iCs/>
        </w:rPr>
      </w:pPr>
    </w:p>
    <w:p w:rsidR="00130DE2" w:rsidRPr="006B01DA" w:rsidRDefault="00130DE2" w:rsidP="00130DE2">
      <w:pPr>
        <w:pStyle w:val="SingleTxtG"/>
        <w:tabs>
          <w:tab w:val="left" w:pos="2268"/>
        </w:tabs>
        <w:spacing w:after="0" w:line="240" w:lineRule="auto"/>
        <w:ind w:left="1701" w:right="0" w:hanging="850"/>
        <w:rPr>
          <w:iCs/>
        </w:rPr>
      </w:pPr>
      <w:r w:rsidRPr="006B01DA">
        <w:rPr>
          <w:iCs/>
        </w:rPr>
        <w:t>"389</w:t>
      </w:r>
      <w:r w:rsidRPr="006B01DA">
        <w:rPr>
          <w:iCs/>
        </w:rPr>
        <w:tab/>
        <w:t xml:space="preserve">This entry only applies to lithium ion batteries or lithium metal batteries installed in a cargo transport unit and designed only to provide power external to the cargo transport unit. The lithium batteries shall meet the requirements of </w:t>
      </w:r>
      <w:r w:rsidRPr="006B01DA">
        <w:rPr>
          <w:iCs/>
          <w:highlight w:val="cyan"/>
        </w:rPr>
        <w:t>2.9.4.1 to .7</w:t>
      </w:r>
      <w:r w:rsidRPr="006B01DA">
        <w:rPr>
          <w:iCs/>
        </w:rPr>
        <w:t xml:space="preserve"> and contain the necessary systems to prevent overcharge and </w:t>
      </w:r>
      <w:proofErr w:type="spellStart"/>
      <w:r w:rsidRPr="006B01DA">
        <w:rPr>
          <w:iCs/>
        </w:rPr>
        <w:t>overdischarge</w:t>
      </w:r>
      <w:proofErr w:type="spellEnd"/>
      <w:r w:rsidRPr="006B01DA">
        <w:rPr>
          <w:iCs/>
        </w:rPr>
        <w:t xml:space="preserve"> between the batteries.</w:t>
      </w:r>
    </w:p>
    <w:p w:rsidR="00130DE2" w:rsidRPr="006B01DA" w:rsidRDefault="00130DE2" w:rsidP="00130DE2">
      <w:pPr>
        <w:pStyle w:val="SingleTxtG"/>
        <w:tabs>
          <w:tab w:val="left" w:pos="2127"/>
          <w:tab w:val="left" w:pos="2268"/>
        </w:tabs>
        <w:spacing w:after="0" w:line="240" w:lineRule="auto"/>
        <w:ind w:right="0"/>
        <w:rPr>
          <w:iCs/>
        </w:rPr>
      </w:pPr>
    </w:p>
    <w:p w:rsidR="00130DE2" w:rsidRPr="006B01DA" w:rsidRDefault="00130DE2" w:rsidP="00130DE2">
      <w:pPr>
        <w:pStyle w:val="SingleTxtG"/>
        <w:tabs>
          <w:tab w:val="left" w:pos="2127"/>
          <w:tab w:val="left" w:pos="2268"/>
        </w:tabs>
        <w:spacing w:after="0" w:line="240" w:lineRule="auto"/>
        <w:ind w:left="1701" w:right="0"/>
        <w:rPr>
          <w:iCs/>
        </w:rPr>
      </w:pPr>
      <w:r w:rsidRPr="006B01DA">
        <w:rPr>
          <w:iCs/>
        </w:rPr>
        <w:t>..."</w:t>
      </w:r>
    </w:p>
    <w:p w:rsidR="00130DE2" w:rsidRPr="006B01DA" w:rsidRDefault="00130DE2" w:rsidP="00130DE2">
      <w:pPr>
        <w:pStyle w:val="SingleTxtG"/>
        <w:tabs>
          <w:tab w:val="left" w:pos="2127"/>
          <w:tab w:val="left" w:pos="2268"/>
        </w:tabs>
        <w:spacing w:after="0" w:line="240" w:lineRule="auto"/>
        <w:ind w:right="0"/>
        <w:rPr>
          <w:iCs/>
        </w:rPr>
      </w:pPr>
    </w:p>
    <w:p w:rsidR="00130DE2" w:rsidRPr="006B01DA" w:rsidRDefault="00130DE2" w:rsidP="00130DE2">
      <w:pPr>
        <w:pStyle w:val="SingleTxtG"/>
        <w:tabs>
          <w:tab w:val="left" w:pos="2268"/>
        </w:tabs>
        <w:spacing w:after="0" w:line="240" w:lineRule="auto"/>
        <w:ind w:left="1701" w:right="0" w:hanging="850"/>
        <w:rPr>
          <w:iCs/>
        </w:rPr>
      </w:pPr>
      <w:r w:rsidRPr="006B01DA">
        <w:rPr>
          <w:iCs/>
        </w:rPr>
        <w:t xml:space="preserve">"392 </w:t>
      </w:r>
      <w:r w:rsidRPr="006B01DA">
        <w:rPr>
          <w:iCs/>
        </w:rPr>
        <w:tab/>
        <w:t>For the transport of fuel gas containment systems designed and approved to be fitted in motor vehicles containing this gas the provisions of subsection 4.1.4.1 and chapter 6.2 of this Code need not be applied when transported for disposal, recycling, repair, inspection, maintenance or from where they are manufactured to a vehicle assembly plant, provided the following conditions are met:</w:t>
      </w:r>
    </w:p>
    <w:p w:rsidR="00130DE2" w:rsidRPr="006B01DA" w:rsidRDefault="00130DE2" w:rsidP="00130DE2">
      <w:pPr>
        <w:pStyle w:val="SingleTxtG"/>
        <w:tabs>
          <w:tab w:val="left" w:pos="2268"/>
        </w:tabs>
        <w:spacing w:after="0" w:line="240" w:lineRule="auto"/>
        <w:ind w:left="1701" w:right="0" w:hanging="850"/>
        <w:rPr>
          <w:iCs/>
        </w:rPr>
      </w:pPr>
    </w:p>
    <w:p w:rsidR="00130DE2" w:rsidRPr="006B01DA" w:rsidRDefault="00130DE2" w:rsidP="00130DE2">
      <w:pPr>
        <w:pStyle w:val="SingleTxtG"/>
        <w:spacing w:after="0"/>
        <w:ind w:left="1701" w:right="-2"/>
        <w:rPr>
          <w:iCs/>
        </w:rPr>
      </w:pPr>
      <w:r w:rsidRPr="006B01DA">
        <w:rPr>
          <w:iCs/>
        </w:rPr>
        <w:t>…</w:t>
      </w:r>
    </w:p>
    <w:p w:rsidR="00130DE2" w:rsidRPr="006B01DA" w:rsidRDefault="00130DE2" w:rsidP="00130DE2">
      <w:pPr>
        <w:pStyle w:val="SingleTxtG"/>
        <w:tabs>
          <w:tab w:val="left" w:pos="2127"/>
        </w:tabs>
        <w:spacing w:after="0" w:line="240" w:lineRule="auto"/>
        <w:ind w:right="0"/>
        <w:rPr>
          <w:iCs/>
        </w:rPr>
      </w:pPr>
    </w:p>
    <w:p w:rsidR="00130DE2" w:rsidRPr="006B01DA" w:rsidRDefault="00130DE2" w:rsidP="00130DE2">
      <w:pPr>
        <w:pStyle w:val="SingleTxtG"/>
        <w:spacing w:after="0" w:line="240" w:lineRule="auto"/>
        <w:ind w:left="2552" w:right="0" w:hanging="851"/>
        <w:rPr>
          <w:iCs/>
        </w:rPr>
      </w:pPr>
      <w:r w:rsidRPr="006B01DA">
        <w:rPr>
          <w:iCs/>
        </w:rPr>
        <w:t>.3</w:t>
      </w:r>
      <w:r w:rsidRPr="006B01DA">
        <w:rPr>
          <w:iCs/>
        </w:rPr>
        <w:tab/>
        <w:t xml:space="preserve">If a fuel gas containment system is equipped with two valves or more integrated in line, the two valves shall be closed as to be gastight under normal conditions of transport. If only one valve exists or only one valve works, all openings with the exception of the opening of the pressure relief device, </w:t>
      </w:r>
      <w:r w:rsidRPr="006B01DA">
        <w:rPr>
          <w:iCs/>
          <w:highlight w:val="cyan"/>
        </w:rPr>
        <w:t>shall</w:t>
      </w:r>
      <w:r w:rsidRPr="006B01DA">
        <w:rPr>
          <w:iCs/>
        </w:rPr>
        <w:t xml:space="preserve"> be closed as to be gastight under normal conditions of transport;…" </w:t>
      </w:r>
    </w:p>
    <w:p w:rsidR="00130DE2" w:rsidRPr="006B01DA" w:rsidRDefault="00130DE2" w:rsidP="00130DE2">
      <w:pPr>
        <w:pStyle w:val="SingleTxtG"/>
        <w:spacing w:after="0" w:line="240" w:lineRule="auto"/>
        <w:ind w:left="0" w:right="-2"/>
        <w:rPr>
          <w:iCs/>
        </w:rPr>
      </w:pPr>
    </w:p>
    <w:p w:rsidR="00130DE2" w:rsidRPr="006B01DA" w:rsidRDefault="00130DE2" w:rsidP="00130DE2">
      <w:pPr>
        <w:pStyle w:val="SingleTxtG"/>
        <w:spacing w:after="0" w:line="240" w:lineRule="auto"/>
        <w:ind w:left="0" w:right="-2"/>
        <w:rPr>
          <w:iCs/>
        </w:rPr>
      </w:pPr>
    </w:p>
    <w:p w:rsidR="00130DE2" w:rsidRPr="006B01DA" w:rsidRDefault="00130DE2" w:rsidP="00130DE2">
      <w:pPr>
        <w:keepNext/>
        <w:keepLines/>
        <w:jc w:val="center"/>
        <w:rPr>
          <w:b/>
        </w:rPr>
      </w:pPr>
      <w:r w:rsidRPr="006B01DA">
        <w:rPr>
          <w:b/>
        </w:rPr>
        <w:t>Chapter 4.1</w:t>
      </w:r>
    </w:p>
    <w:p w:rsidR="00130DE2" w:rsidRPr="006B01DA" w:rsidRDefault="00130DE2" w:rsidP="00130DE2">
      <w:pPr>
        <w:keepNext/>
        <w:keepLines/>
        <w:jc w:val="center"/>
        <w:rPr>
          <w:b/>
        </w:rPr>
      </w:pPr>
      <w:r w:rsidRPr="006B01DA">
        <w:rPr>
          <w:b/>
        </w:rPr>
        <w:t xml:space="preserve">Use of </w:t>
      </w:r>
      <w:proofErr w:type="spellStart"/>
      <w:r w:rsidRPr="006B01DA">
        <w:rPr>
          <w:b/>
        </w:rPr>
        <w:t>packagings</w:t>
      </w:r>
      <w:proofErr w:type="spellEnd"/>
      <w:r w:rsidRPr="006B01DA">
        <w:rPr>
          <w:b/>
        </w:rPr>
        <w:t xml:space="preserve">, including intermediate bulk containers (IBCs) </w:t>
      </w:r>
      <w:r w:rsidRPr="006B01DA">
        <w:rPr>
          <w:b/>
        </w:rPr>
        <w:br/>
        <w:t xml:space="preserve">and large </w:t>
      </w:r>
      <w:proofErr w:type="spellStart"/>
      <w:r w:rsidRPr="006B01DA">
        <w:rPr>
          <w:b/>
        </w:rPr>
        <w:t>packagings</w:t>
      </w:r>
      <w:proofErr w:type="spellEnd"/>
    </w:p>
    <w:p w:rsidR="00130DE2" w:rsidRPr="006B01DA" w:rsidRDefault="00130DE2" w:rsidP="00130DE2">
      <w:pPr>
        <w:pStyle w:val="SingleTxtG"/>
        <w:keepNext/>
        <w:keepLines/>
        <w:tabs>
          <w:tab w:val="left" w:pos="993"/>
        </w:tabs>
        <w:spacing w:after="0" w:line="240" w:lineRule="auto"/>
        <w:ind w:left="0" w:right="0"/>
        <w:rPr>
          <w:b/>
        </w:rPr>
      </w:pPr>
    </w:p>
    <w:p w:rsidR="00130DE2" w:rsidRPr="006B01DA" w:rsidRDefault="00130DE2" w:rsidP="00130DE2">
      <w:pPr>
        <w:pStyle w:val="SingleTxtG"/>
        <w:keepNext/>
        <w:keepLines/>
        <w:tabs>
          <w:tab w:val="left" w:pos="851"/>
          <w:tab w:val="left" w:pos="2127"/>
        </w:tabs>
        <w:spacing w:after="0" w:line="240" w:lineRule="auto"/>
        <w:ind w:left="0" w:right="0"/>
        <w:rPr>
          <w:rFonts w:eastAsia="Calibri"/>
          <w:b/>
        </w:rPr>
      </w:pPr>
      <w:r w:rsidRPr="006B01DA">
        <w:rPr>
          <w:rFonts w:eastAsia="Calibri"/>
          <w:b/>
        </w:rPr>
        <w:t xml:space="preserve">4.1.4 </w:t>
      </w:r>
      <w:r w:rsidRPr="006B01DA">
        <w:rPr>
          <w:rFonts w:eastAsia="Calibri"/>
          <w:b/>
        </w:rPr>
        <w:tab/>
        <w:t>List of packing instructions</w:t>
      </w:r>
    </w:p>
    <w:p w:rsidR="00130DE2" w:rsidRPr="006B01DA" w:rsidRDefault="00130DE2" w:rsidP="00130DE2">
      <w:pPr>
        <w:pStyle w:val="SingleTxtG"/>
        <w:keepNext/>
        <w:keepLines/>
        <w:tabs>
          <w:tab w:val="left" w:pos="2127"/>
        </w:tabs>
        <w:spacing w:after="0" w:line="240" w:lineRule="auto"/>
        <w:ind w:left="0" w:right="0"/>
        <w:rPr>
          <w:rFonts w:eastAsia="Calibri"/>
          <w:b/>
        </w:rPr>
      </w:pPr>
    </w:p>
    <w:p w:rsidR="00130DE2" w:rsidRPr="006B01DA" w:rsidRDefault="00130DE2" w:rsidP="00130DE2">
      <w:pPr>
        <w:pStyle w:val="SingleTxtG"/>
        <w:keepNext/>
        <w:keepLines/>
        <w:tabs>
          <w:tab w:val="left" w:pos="851"/>
          <w:tab w:val="left" w:pos="2127"/>
        </w:tabs>
        <w:spacing w:after="0" w:line="240" w:lineRule="auto"/>
        <w:ind w:left="0" w:right="0"/>
        <w:rPr>
          <w:rFonts w:eastAsia="Calibri"/>
          <w:b/>
        </w:rPr>
      </w:pPr>
      <w:r w:rsidRPr="006B01DA">
        <w:rPr>
          <w:rFonts w:eastAsia="Calibri"/>
          <w:b/>
        </w:rPr>
        <w:t xml:space="preserve">4.1.4.1 </w:t>
      </w:r>
      <w:r w:rsidRPr="006B01DA">
        <w:rPr>
          <w:rFonts w:eastAsia="Calibri"/>
          <w:b/>
        </w:rPr>
        <w:tab/>
        <w:t xml:space="preserve">Packing instructions concerning the use of </w:t>
      </w:r>
      <w:proofErr w:type="spellStart"/>
      <w:r w:rsidRPr="006B01DA">
        <w:rPr>
          <w:rFonts w:eastAsia="Calibri"/>
          <w:b/>
        </w:rPr>
        <w:t>packagings</w:t>
      </w:r>
      <w:proofErr w:type="spellEnd"/>
      <w:r w:rsidRPr="006B01DA">
        <w:rPr>
          <w:rFonts w:eastAsia="Calibri"/>
          <w:b/>
        </w:rPr>
        <w:t xml:space="preserve"> (except IBCs and large </w:t>
      </w:r>
      <w:proofErr w:type="spellStart"/>
      <w:r w:rsidRPr="006B01DA">
        <w:rPr>
          <w:rFonts w:eastAsia="Calibri"/>
          <w:b/>
        </w:rPr>
        <w:t>packagings</w:t>
      </w:r>
      <w:proofErr w:type="spellEnd"/>
      <w:r w:rsidRPr="006B01DA">
        <w:rPr>
          <w:rFonts w:eastAsia="Calibri"/>
          <w:b/>
        </w:rPr>
        <w:t>)</w:t>
      </w:r>
    </w:p>
    <w:p w:rsidR="00130DE2" w:rsidRPr="006B01DA" w:rsidRDefault="00130DE2" w:rsidP="00130DE2">
      <w:pPr>
        <w:pStyle w:val="SingleTxtG"/>
        <w:keepNext/>
        <w:keepLines/>
        <w:tabs>
          <w:tab w:val="left" w:pos="851"/>
          <w:tab w:val="left" w:pos="2127"/>
        </w:tabs>
        <w:spacing w:after="0" w:line="240" w:lineRule="auto"/>
        <w:ind w:left="0" w:right="0"/>
        <w:rPr>
          <w:rFonts w:eastAsia="Calibri"/>
        </w:rPr>
      </w:pPr>
    </w:p>
    <w:p w:rsidR="00130DE2" w:rsidRPr="006B01DA" w:rsidRDefault="00130DE2" w:rsidP="00130DE2">
      <w:pPr>
        <w:pStyle w:val="SingleTxtG"/>
        <w:tabs>
          <w:tab w:val="left" w:pos="851"/>
        </w:tabs>
        <w:spacing w:after="0" w:line="240" w:lineRule="auto"/>
        <w:ind w:left="0" w:right="-2"/>
        <w:rPr>
          <w:highlight w:val="cyan"/>
        </w:rPr>
      </w:pPr>
      <w:r w:rsidRPr="006B01DA">
        <w:rPr>
          <w:highlight w:val="cyan"/>
        </w:rPr>
        <w:t>P907</w:t>
      </w:r>
      <w:r w:rsidRPr="006B01DA">
        <w:rPr>
          <w:highlight w:val="cyan"/>
        </w:rPr>
        <w:tab/>
        <w:t>At the beginning, add a new box with the following sentence:</w:t>
      </w:r>
    </w:p>
    <w:p w:rsidR="00130DE2" w:rsidRPr="006B01DA" w:rsidRDefault="00130DE2" w:rsidP="00130DE2">
      <w:pPr>
        <w:pStyle w:val="SingleTxtG"/>
        <w:tabs>
          <w:tab w:val="left" w:pos="851"/>
        </w:tabs>
        <w:spacing w:after="0" w:line="240" w:lineRule="auto"/>
        <w:ind w:left="0" w:right="-2"/>
        <w:rPr>
          <w:highlight w:val="cyan"/>
        </w:rPr>
      </w:pPr>
    </w:p>
    <w:p w:rsidR="00130DE2" w:rsidRPr="006B01DA" w:rsidRDefault="00130DE2" w:rsidP="00130DE2">
      <w:pPr>
        <w:pStyle w:val="SingleTxtG"/>
        <w:tabs>
          <w:tab w:val="left" w:pos="851"/>
        </w:tabs>
        <w:spacing w:after="0" w:line="240" w:lineRule="auto"/>
        <w:ind w:left="0" w:right="-2"/>
      </w:pPr>
      <w:r w:rsidRPr="006B01DA">
        <w:rPr>
          <w:highlight w:val="cyan"/>
        </w:rPr>
        <w:tab/>
        <w:t>"This instruction applies to UN 3363."</w:t>
      </w:r>
    </w:p>
    <w:p w:rsidR="00130DE2" w:rsidRPr="006B01DA" w:rsidRDefault="00130DE2" w:rsidP="00130DE2">
      <w:pPr>
        <w:pStyle w:val="SingleTxtG"/>
        <w:tabs>
          <w:tab w:val="left" w:pos="2127"/>
        </w:tabs>
        <w:spacing w:after="0" w:line="240" w:lineRule="auto"/>
        <w:ind w:left="0" w:right="-2"/>
      </w:pPr>
    </w:p>
    <w:p w:rsidR="00130DE2" w:rsidRPr="006B01DA" w:rsidRDefault="00130DE2" w:rsidP="00130DE2">
      <w:pPr>
        <w:pStyle w:val="SingleTxtG"/>
        <w:tabs>
          <w:tab w:val="left" w:pos="851"/>
          <w:tab w:val="left" w:pos="2127"/>
        </w:tabs>
        <w:spacing w:after="0" w:line="240" w:lineRule="auto"/>
        <w:ind w:left="0" w:right="-2"/>
      </w:pPr>
      <w:r w:rsidRPr="006B01DA">
        <w:t>Insert the following new packing instructions:</w:t>
      </w:r>
    </w:p>
    <w:p w:rsidR="00130DE2" w:rsidRDefault="00130DE2" w:rsidP="00130DE2">
      <w:pPr>
        <w:pStyle w:val="SingleTxtG"/>
        <w:tabs>
          <w:tab w:val="left" w:pos="2127"/>
        </w:tabs>
        <w:spacing w:after="0" w:line="240" w:lineRule="auto"/>
        <w:ind w:left="0" w:right="-2"/>
        <w:rPr>
          <w:rFonts w:ascii="Arial" w:hAnsi="Arial" w:cs="Arial"/>
        </w:rPr>
      </w:pPr>
    </w:p>
    <w:p w:rsidR="006B01DA" w:rsidRPr="006B01DA" w:rsidRDefault="006B01DA" w:rsidP="00130DE2">
      <w:pPr>
        <w:pStyle w:val="SingleTxtG"/>
        <w:tabs>
          <w:tab w:val="left" w:pos="2127"/>
        </w:tabs>
        <w:spacing w:after="0" w:line="240" w:lineRule="auto"/>
        <w:ind w:left="0" w:right="-2"/>
        <w:rPr>
          <w:rFonts w:ascii="Arial" w:hAnsi="Arial" w:cs="Arial"/>
        </w:rPr>
      </w:pPr>
    </w:p>
    <w:p w:rsidR="00130DE2" w:rsidRDefault="00130DE2" w:rsidP="00130DE2"/>
    <w:tbl>
      <w:tblPr>
        <w:tblW w:w="9645" w:type="dxa"/>
        <w:jc w:val="center"/>
        <w:tblLayout w:type="fixed"/>
        <w:tblCellMar>
          <w:left w:w="0" w:type="dxa"/>
          <w:right w:w="113" w:type="dxa"/>
        </w:tblCellMar>
        <w:tblLook w:val="01E0" w:firstRow="1" w:lastRow="1" w:firstColumn="1" w:lastColumn="1" w:noHBand="0" w:noVBand="0"/>
      </w:tblPr>
      <w:tblGrid>
        <w:gridCol w:w="3215"/>
        <w:gridCol w:w="3215"/>
        <w:gridCol w:w="3215"/>
      </w:tblGrid>
      <w:tr w:rsidR="00130DE2" w:rsidRPr="00CF4DD4" w:rsidTr="006D7939">
        <w:trPr>
          <w:tblHeader/>
          <w:jc w:val="cent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130DE2" w:rsidRPr="00CF4DD4" w:rsidRDefault="00130DE2" w:rsidP="006D7939">
            <w:pPr>
              <w:tabs>
                <w:tab w:val="left" w:pos="1418"/>
                <w:tab w:val="left" w:pos="1985"/>
                <w:tab w:val="left" w:pos="2552"/>
                <w:tab w:val="left" w:pos="3119"/>
                <w:tab w:val="left" w:pos="3686"/>
                <w:tab w:val="left" w:pos="4253"/>
                <w:tab w:val="left" w:pos="4820"/>
              </w:tabs>
              <w:spacing w:before="60" w:after="60"/>
              <w:ind w:right="-2"/>
              <w:rPr>
                <w:b/>
              </w:rPr>
            </w:pPr>
            <w:r w:rsidRPr="00CF4DD4">
              <w:rPr>
                <w:b/>
              </w:rPr>
              <w:lastRenderedPageBreak/>
              <w:t>P911</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130DE2" w:rsidRPr="00CF4DD4" w:rsidRDefault="00130DE2" w:rsidP="006D7939">
            <w:pPr>
              <w:tabs>
                <w:tab w:val="left" w:pos="1418"/>
                <w:tab w:val="left" w:pos="1985"/>
                <w:tab w:val="left" w:pos="2552"/>
                <w:tab w:val="left" w:pos="3119"/>
                <w:tab w:val="left" w:pos="3686"/>
                <w:tab w:val="left" w:pos="4253"/>
                <w:tab w:val="left" w:pos="4820"/>
              </w:tabs>
              <w:spacing w:before="60" w:after="60"/>
              <w:ind w:right="-2"/>
              <w:jc w:val="center"/>
              <w:rPr>
                <w:b/>
                <w:iCs/>
              </w:rPr>
            </w:pPr>
            <w:r w:rsidRPr="00CF4DD4">
              <w:rPr>
                <w:b/>
                <w:sz w:val="18"/>
                <w:szCs w:val="18"/>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30DE2" w:rsidRPr="00CF4DD4" w:rsidRDefault="00130DE2" w:rsidP="006D7939">
            <w:pPr>
              <w:tabs>
                <w:tab w:val="left" w:pos="1418"/>
                <w:tab w:val="left" w:pos="1985"/>
                <w:tab w:val="left" w:pos="2552"/>
                <w:tab w:val="left" w:pos="3119"/>
                <w:tab w:val="left" w:pos="3686"/>
                <w:tab w:val="left" w:pos="4253"/>
                <w:tab w:val="left" w:pos="4820"/>
              </w:tabs>
              <w:spacing w:before="60" w:after="60"/>
              <w:ind w:right="-2"/>
              <w:jc w:val="right"/>
              <w:rPr>
                <w:b/>
                <w:iCs/>
              </w:rPr>
            </w:pPr>
            <w:r w:rsidRPr="00CF4DD4">
              <w:rPr>
                <w:b/>
                <w:iCs/>
              </w:rPr>
              <w:t>P911</w:t>
            </w:r>
          </w:p>
        </w:tc>
      </w:tr>
      <w:tr w:rsidR="00130DE2" w:rsidRPr="00CF4DD4" w:rsidTr="006D7939">
        <w:trPr>
          <w:jc w:val="center"/>
        </w:trPr>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0DE2" w:rsidRPr="00CF4DD4" w:rsidRDefault="00130DE2" w:rsidP="006D7939">
            <w:pPr>
              <w:tabs>
                <w:tab w:val="left" w:pos="1418"/>
                <w:tab w:val="left" w:pos="1985"/>
                <w:tab w:val="left" w:pos="2552"/>
                <w:tab w:val="left" w:pos="3119"/>
                <w:tab w:val="left" w:pos="3686"/>
                <w:tab w:val="left" w:pos="4253"/>
                <w:tab w:val="left" w:pos="4820"/>
              </w:tabs>
              <w:spacing w:before="60" w:after="60"/>
              <w:ind w:right="-2"/>
              <w:rPr>
                <w:iCs/>
              </w:rPr>
            </w:pPr>
            <w:r w:rsidRPr="00CF4DD4">
              <w:rPr>
                <w:iCs/>
              </w:rPr>
              <w:t>This instruction applies to damaged or defective cells and batteries of UN Nos. 3090, 3091, 3480 and 3481 liable to rapidly disassemble, dangerously react, produce a flame or a dangerous evolution of heat or a dangerous emission of toxic, corrosive or flammable gases or vapours under normal conditions of transport.</w:t>
            </w:r>
          </w:p>
        </w:tc>
      </w:tr>
      <w:tr w:rsidR="00130DE2" w:rsidRPr="00CF4DD4" w:rsidTr="006D7939">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130DE2" w:rsidRPr="00CF4DD4" w:rsidRDefault="00130DE2" w:rsidP="006D7939">
            <w:pPr>
              <w:tabs>
                <w:tab w:val="left" w:pos="1418"/>
                <w:tab w:val="left" w:pos="1985"/>
                <w:tab w:val="left" w:pos="2552"/>
                <w:tab w:val="left" w:pos="3119"/>
                <w:tab w:val="left" w:pos="3686"/>
                <w:tab w:val="left" w:pos="4253"/>
                <w:tab w:val="left" w:pos="4820"/>
              </w:tabs>
              <w:spacing w:before="60" w:after="60"/>
              <w:ind w:right="-2"/>
              <w:rPr>
                <w:iCs/>
              </w:rPr>
            </w:pPr>
            <w:r w:rsidRPr="00CF4DD4">
              <w:rPr>
                <w:iCs/>
              </w:rPr>
              <w:t xml:space="preserve">The following </w:t>
            </w:r>
            <w:proofErr w:type="spellStart"/>
            <w:r w:rsidRPr="00CF4DD4">
              <w:rPr>
                <w:iCs/>
              </w:rPr>
              <w:t>packagings</w:t>
            </w:r>
            <w:proofErr w:type="spellEnd"/>
            <w:r w:rsidRPr="00CF4DD4">
              <w:rPr>
                <w:iCs/>
              </w:rPr>
              <w:t xml:space="preserve"> are authorized, provided that the general provisions of </w:t>
            </w:r>
            <w:r w:rsidRPr="00CF4DD4">
              <w:rPr>
                <w:b/>
                <w:iCs/>
              </w:rPr>
              <w:t>4.1.1</w:t>
            </w:r>
            <w:r w:rsidRPr="00CF4DD4">
              <w:rPr>
                <w:iCs/>
              </w:rPr>
              <w:t xml:space="preserve"> and </w:t>
            </w:r>
            <w:r w:rsidRPr="00CF4DD4">
              <w:rPr>
                <w:b/>
                <w:iCs/>
              </w:rPr>
              <w:t>4.1.3</w:t>
            </w:r>
            <w:r w:rsidRPr="00CF4DD4">
              <w:rPr>
                <w:iCs/>
              </w:rPr>
              <w:t xml:space="preserve"> are met:</w:t>
            </w:r>
          </w:p>
        </w:tc>
      </w:tr>
      <w:tr w:rsidR="00130DE2" w:rsidRPr="00CF4DD4" w:rsidTr="006D7939">
        <w:trPr>
          <w:jc w:val="center"/>
        </w:trPr>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rsidR="00130DE2" w:rsidRPr="00CF4DD4" w:rsidRDefault="00130DE2" w:rsidP="006D7939">
            <w:pPr>
              <w:tabs>
                <w:tab w:val="left" w:pos="1418"/>
                <w:tab w:val="left" w:pos="1985"/>
                <w:tab w:val="left" w:pos="2552"/>
                <w:tab w:val="left" w:pos="3119"/>
                <w:tab w:val="left" w:pos="3686"/>
                <w:tab w:val="left" w:pos="4253"/>
                <w:tab w:val="left" w:pos="4820"/>
              </w:tabs>
              <w:spacing w:before="60" w:after="60"/>
              <w:ind w:right="-2"/>
              <w:rPr>
                <w:iCs/>
              </w:rPr>
            </w:pPr>
            <w:r w:rsidRPr="00CF4DD4">
              <w:rPr>
                <w:bCs/>
                <w:iCs/>
              </w:rPr>
              <w:t>For cells and batteries and equipment containing cells and batteries:</w:t>
            </w:r>
          </w:p>
        </w:tc>
      </w:tr>
      <w:tr w:rsidR="00130DE2" w:rsidRPr="00CF4DD4" w:rsidTr="006D793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130DE2" w:rsidRPr="00CF4DD4" w:rsidRDefault="00130DE2" w:rsidP="006D7939">
            <w:pPr>
              <w:tabs>
                <w:tab w:val="left" w:pos="1418"/>
                <w:tab w:val="left" w:pos="1985"/>
                <w:tab w:val="left" w:pos="2552"/>
                <w:tab w:val="left" w:pos="3119"/>
                <w:tab w:val="left" w:pos="3686"/>
                <w:tab w:val="left" w:pos="4253"/>
                <w:tab w:val="left" w:pos="4820"/>
              </w:tabs>
              <w:spacing w:before="60" w:after="60"/>
              <w:ind w:left="510" w:right="-2"/>
              <w:rPr>
                <w:iCs/>
              </w:rPr>
            </w:pPr>
            <w:r w:rsidRPr="00CF4DD4">
              <w:rPr>
                <w:iCs/>
              </w:rPr>
              <w:t>Drums (1A2, 1B2, 1N2, 1H2, 1D, 1G);</w:t>
            </w:r>
          </w:p>
        </w:tc>
      </w:tr>
      <w:tr w:rsidR="00130DE2" w:rsidRPr="00CF4DD4" w:rsidTr="006D793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130DE2" w:rsidRPr="00CF4DD4" w:rsidRDefault="00130DE2" w:rsidP="006D7939">
            <w:pPr>
              <w:tabs>
                <w:tab w:val="left" w:pos="1418"/>
                <w:tab w:val="left" w:pos="1985"/>
                <w:tab w:val="left" w:pos="2552"/>
                <w:tab w:val="left" w:pos="3119"/>
                <w:tab w:val="left" w:pos="3686"/>
                <w:tab w:val="left" w:pos="4253"/>
                <w:tab w:val="left" w:pos="4820"/>
              </w:tabs>
              <w:spacing w:before="60" w:after="60"/>
              <w:ind w:left="510" w:right="-2"/>
              <w:rPr>
                <w:iCs/>
              </w:rPr>
            </w:pPr>
            <w:r w:rsidRPr="00CF4DD4">
              <w:rPr>
                <w:iCs/>
              </w:rPr>
              <w:t>Boxes (4A, 4B, 4N, 4C1, 4C2, 4D, 4F, 4G, 4H1, 4H2);</w:t>
            </w:r>
          </w:p>
        </w:tc>
      </w:tr>
      <w:tr w:rsidR="00130DE2" w:rsidRPr="00CF4DD4" w:rsidTr="006D7939">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hideMark/>
          </w:tcPr>
          <w:p w:rsidR="00130DE2" w:rsidRPr="00CF4DD4" w:rsidRDefault="00130DE2" w:rsidP="006D7939">
            <w:pPr>
              <w:tabs>
                <w:tab w:val="left" w:pos="1418"/>
                <w:tab w:val="left" w:pos="1985"/>
                <w:tab w:val="left" w:pos="2552"/>
                <w:tab w:val="left" w:pos="3119"/>
                <w:tab w:val="left" w:pos="3686"/>
                <w:tab w:val="left" w:pos="4253"/>
                <w:tab w:val="left" w:pos="4820"/>
              </w:tabs>
              <w:spacing w:before="60" w:after="60"/>
              <w:ind w:left="510" w:right="-2"/>
              <w:rPr>
                <w:iCs/>
              </w:rPr>
            </w:pPr>
            <w:proofErr w:type="spellStart"/>
            <w:r w:rsidRPr="00CF4DD4">
              <w:rPr>
                <w:iCs/>
              </w:rPr>
              <w:t>Jerricans</w:t>
            </w:r>
            <w:proofErr w:type="spellEnd"/>
            <w:r w:rsidRPr="00CF4DD4">
              <w:rPr>
                <w:iCs/>
              </w:rPr>
              <w:t xml:space="preserve"> (3A2, 3B2, 3H2)</w:t>
            </w:r>
            <w:r>
              <w:rPr>
                <w:iCs/>
              </w:rPr>
              <w:t>.</w:t>
            </w:r>
          </w:p>
        </w:tc>
      </w:tr>
      <w:tr w:rsidR="00130DE2" w:rsidRPr="00CF4DD4" w:rsidTr="006D7939">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130DE2" w:rsidRPr="00CF4DD4" w:rsidRDefault="00130DE2" w:rsidP="006D7939">
            <w:pPr>
              <w:tabs>
                <w:tab w:val="left" w:pos="1418"/>
                <w:tab w:val="left" w:pos="1985"/>
                <w:tab w:val="left" w:pos="2552"/>
                <w:tab w:val="left" w:pos="3119"/>
                <w:tab w:val="left" w:pos="3686"/>
                <w:tab w:val="left" w:pos="4253"/>
                <w:tab w:val="left" w:pos="4820"/>
              </w:tabs>
              <w:spacing w:before="60" w:after="60"/>
              <w:ind w:right="-2"/>
              <w:rPr>
                <w:iCs/>
              </w:rPr>
            </w:pPr>
            <w:r w:rsidRPr="00CF4DD4">
              <w:rPr>
                <w:iCs/>
              </w:rPr>
              <w:t xml:space="preserve">The </w:t>
            </w:r>
            <w:proofErr w:type="spellStart"/>
            <w:r w:rsidRPr="00CF4DD4">
              <w:rPr>
                <w:iCs/>
              </w:rPr>
              <w:t>packagings</w:t>
            </w:r>
            <w:proofErr w:type="spellEnd"/>
            <w:r w:rsidRPr="00CF4DD4">
              <w:rPr>
                <w:iCs/>
              </w:rPr>
              <w:t xml:space="preserve"> shall conform to the packing group I performance level.</w:t>
            </w:r>
          </w:p>
        </w:tc>
      </w:tr>
      <w:tr w:rsidR="00130DE2" w:rsidRPr="00CF4DD4" w:rsidTr="006D7939">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rsidR="00130DE2" w:rsidRPr="00CF4DD4" w:rsidRDefault="00130DE2" w:rsidP="006D7939">
            <w:pPr>
              <w:keepNext/>
              <w:keepLines/>
              <w:tabs>
                <w:tab w:val="left" w:pos="513"/>
                <w:tab w:val="left" w:pos="1418"/>
                <w:tab w:val="left" w:pos="1985"/>
                <w:tab w:val="left" w:pos="2552"/>
                <w:tab w:val="left" w:pos="3119"/>
                <w:tab w:val="left" w:pos="3686"/>
                <w:tab w:val="left" w:pos="4253"/>
                <w:tab w:val="left" w:pos="4820"/>
              </w:tabs>
              <w:spacing w:before="30" w:after="30"/>
              <w:ind w:left="510" w:hanging="510"/>
            </w:pPr>
            <w:r w:rsidRPr="00CF4DD4">
              <w:t>(1</w:t>
            </w:r>
            <w:r w:rsidRPr="00A442CC">
              <w:t>)</w:t>
            </w:r>
            <w:r w:rsidRPr="00CF4DD4">
              <w:tab/>
              <w:t xml:space="preserve">The packaging </w:t>
            </w:r>
            <w:r w:rsidRPr="0097768D">
              <w:rPr>
                <w:highlight w:val="cyan"/>
              </w:rPr>
              <w:t>shall</w:t>
            </w:r>
            <w:r w:rsidRPr="00CF4DD4">
              <w:t xml:space="preserve"> be capable of meeting the following additional performance requirements in case of rapid disassembly, dangerous reaction, production of a flame or a dangerous evolution of heat or a dangerous emission of toxic, corrosive or flammable gases or vapours of the cells or batteries:</w:t>
            </w:r>
          </w:p>
        </w:tc>
      </w:tr>
      <w:tr w:rsidR="00130DE2" w:rsidRPr="00CF4DD4" w:rsidTr="006D793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CF4DD4" w:rsidRDefault="00130DE2" w:rsidP="006D7939">
            <w:pPr>
              <w:tabs>
                <w:tab w:val="left" w:pos="1142"/>
                <w:tab w:val="left" w:pos="1985"/>
                <w:tab w:val="left" w:pos="2552"/>
                <w:tab w:val="left" w:pos="3119"/>
                <w:tab w:val="left" w:pos="3686"/>
                <w:tab w:val="left" w:pos="4253"/>
                <w:tab w:val="left" w:pos="4820"/>
              </w:tabs>
              <w:spacing w:before="30" w:after="30"/>
              <w:ind w:left="1142" w:right="-2" w:hanging="635"/>
            </w:pPr>
            <w:r w:rsidRPr="00CF4DD4">
              <w:t>(a)</w:t>
            </w:r>
            <w:r w:rsidRPr="00CF4DD4">
              <w:tab/>
              <w:t>The outside surface temperature of the completed package shall not have a temperature of more than 100°C. A momentary spike in temperature up to 200°C is acceptable;</w:t>
            </w:r>
          </w:p>
        </w:tc>
      </w:tr>
      <w:tr w:rsidR="00130DE2" w:rsidRPr="00CF4DD4" w:rsidTr="006D793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CF4DD4" w:rsidRDefault="00130DE2" w:rsidP="006D7939">
            <w:pPr>
              <w:tabs>
                <w:tab w:val="left" w:pos="1142"/>
                <w:tab w:val="left" w:pos="1985"/>
                <w:tab w:val="left" w:pos="2552"/>
                <w:tab w:val="left" w:pos="3119"/>
                <w:tab w:val="left" w:pos="3686"/>
                <w:tab w:val="left" w:pos="4253"/>
                <w:tab w:val="left" w:pos="4820"/>
              </w:tabs>
              <w:spacing w:before="30" w:after="30"/>
              <w:ind w:left="1142" w:right="-2" w:hanging="635"/>
            </w:pPr>
            <w:r w:rsidRPr="00CF4DD4">
              <w:t xml:space="preserve">(b) </w:t>
            </w:r>
            <w:r w:rsidRPr="00CF4DD4">
              <w:tab/>
              <w:t xml:space="preserve">No flame </w:t>
            </w:r>
            <w:r w:rsidRPr="0097768D">
              <w:rPr>
                <w:highlight w:val="cyan"/>
              </w:rPr>
              <w:t>shall</w:t>
            </w:r>
            <w:r>
              <w:t xml:space="preserve"> </w:t>
            </w:r>
            <w:r w:rsidRPr="00CF4DD4">
              <w:t>occur outside the package;</w:t>
            </w:r>
          </w:p>
        </w:tc>
      </w:tr>
      <w:tr w:rsidR="00130DE2" w:rsidRPr="00CF4DD4" w:rsidTr="006D793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CF4DD4" w:rsidRDefault="00130DE2" w:rsidP="006D7939">
            <w:pPr>
              <w:tabs>
                <w:tab w:val="left" w:pos="1142"/>
                <w:tab w:val="left" w:pos="1985"/>
                <w:tab w:val="left" w:pos="2552"/>
                <w:tab w:val="left" w:pos="3119"/>
                <w:tab w:val="left" w:pos="3686"/>
                <w:tab w:val="left" w:pos="4253"/>
                <w:tab w:val="left" w:pos="4820"/>
              </w:tabs>
              <w:spacing w:before="30" w:after="30"/>
              <w:ind w:left="1142" w:right="-2" w:hanging="635"/>
            </w:pPr>
            <w:r w:rsidRPr="00CF4DD4">
              <w:t xml:space="preserve">(c) </w:t>
            </w:r>
            <w:r w:rsidRPr="00CF4DD4">
              <w:tab/>
              <w:t xml:space="preserve">No projectiles </w:t>
            </w:r>
            <w:r w:rsidRPr="0097768D">
              <w:rPr>
                <w:highlight w:val="cyan"/>
              </w:rPr>
              <w:t>shall</w:t>
            </w:r>
            <w:r w:rsidRPr="00CF4DD4">
              <w:t xml:space="preserve"> exit the package;</w:t>
            </w:r>
          </w:p>
        </w:tc>
      </w:tr>
      <w:tr w:rsidR="00130DE2" w:rsidRPr="00CF4DD4" w:rsidTr="006D793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CF4DD4" w:rsidRDefault="00130DE2" w:rsidP="006D7939">
            <w:pPr>
              <w:tabs>
                <w:tab w:val="left" w:pos="1142"/>
                <w:tab w:val="left" w:pos="1985"/>
                <w:tab w:val="left" w:pos="2552"/>
                <w:tab w:val="left" w:pos="3119"/>
                <w:tab w:val="left" w:pos="3686"/>
                <w:tab w:val="left" w:pos="4253"/>
                <w:tab w:val="left" w:pos="4820"/>
              </w:tabs>
              <w:spacing w:before="30" w:after="30"/>
              <w:ind w:left="1142" w:right="-2" w:hanging="635"/>
            </w:pPr>
            <w:r w:rsidRPr="00CF4DD4">
              <w:t xml:space="preserve">(d) </w:t>
            </w:r>
            <w:r w:rsidRPr="00CF4DD4">
              <w:tab/>
              <w:t>The structural integrity of the package shall be maintained</w:t>
            </w:r>
            <w:r>
              <w:t>;</w:t>
            </w:r>
          </w:p>
        </w:tc>
      </w:tr>
      <w:tr w:rsidR="00130DE2" w:rsidRPr="00CF4DD4" w:rsidTr="006D793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CF4DD4" w:rsidRDefault="00130DE2" w:rsidP="006D7939">
            <w:pPr>
              <w:tabs>
                <w:tab w:val="left" w:pos="1142"/>
                <w:tab w:val="left" w:pos="1985"/>
                <w:tab w:val="left" w:pos="2552"/>
                <w:tab w:val="left" w:pos="3119"/>
                <w:tab w:val="left" w:pos="3686"/>
                <w:tab w:val="left" w:pos="4253"/>
                <w:tab w:val="left" w:pos="4820"/>
              </w:tabs>
              <w:spacing w:before="30" w:after="30"/>
              <w:ind w:left="1142" w:right="-2" w:hanging="635"/>
            </w:pPr>
            <w:r w:rsidRPr="00CF4DD4">
              <w:t xml:space="preserve">(e) </w:t>
            </w:r>
            <w:r w:rsidRPr="00CF4DD4">
              <w:tab/>
              <w:t xml:space="preserve">The </w:t>
            </w:r>
            <w:proofErr w:type="spellStart"/>
            <w:r w:rsidRPr="00CF4DD4">
              <w:t>packagings</w:t>
            </w:r>
            <w:proofErr w:type="spellEnd"/>
            <w:r w:rsidRPr="00CF4DD4">
              <w:t xml:space="preserve"> shall have a gas management system (e.g. filter system, air circulation, containment for gas, gas tight packaging</w:t>
            </w:r>
            <w:r>
              <w:t>,</w:t>
            </w:r>
            <w:r w:rsidRPr="00CF4DD4">
              <w:t xml:space="preserve"> etc.), as appropriate.</w:t>
            </w:r>
          </w:p>
        </w:tc>
      </w:tr>
      <w:tr w:rsidR="00130DE2" w:rsidRPr="00CF4DD4" w:rsidTr="006D793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CF4DD4" w:rsidRDefault="00130DE2" w:rsidP="006D7939">
            <w:pPr>
              <w:tabs>
                <w:tab w:val="left" w:pos="513"/>
                <w:tab w:val="left" w:pos="1418"/>
                <w:tab w:val="left" w:pos="1985"/>
                <w:tab w:val="left" w:pos="2552"/>
                <w:tab w:val="left" w:pos="3119"/>
                <w:tab w:val="left" w:pos="3686"/>
                <w:tab w:val="left" w:pos="4253"/>
                <w:tab w:val="left" w:pos="4820"/>
              </w:tabs>
              <w:spacing w:before="30" w:after="30"/>
              <w:ind w:left="513" w:right="-2" w:hanging="513"/>
            </w:pPr>
            <w:r w:rsidRPr="00CF4DD4">
              <w:t>(2</w:t>
            </w:r>
            <w:r w:rsidRPr="00A442CC">
              <w:t>)</w:t>
            </w:r>
            <w:r w:rsidRPr="00CF4DD4">
              <w:tab/>
              <w:t xml:space="preserve">The additional packaging performance requirements shall be verified by a test as specified by the competent </w:t>
            </w:r>
            <w:proofErr w:type="spellStart"/>
            <w:r w:rsidRPr="00CF4DD4">
              <w:t>authority</w:t>
            </w:r>
            <w:r w:rsidRPr="00CF4DD4">
              <w:rPr>
                <w:b/>
                <w:vertAlign w:val="superscript"/>
              </w:rPr>
              <w:t>a</w:t>
            </w:r>
            <w:proofErr w:type="spellEnd"/>
            <w:r w:rsidRPr="00CF4DD4">
              <w:t xml:space="preserve">. </w:t>
            </w:r>
          </w:p>
        </w:tc>
      </w:tr>
      <w:tr w:rsidR="00130DE2" w:rsidRPr="00CF4DD4" w:rsidTr="006D7939">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130DE2" w:rsidRPr="00CF4DD4" w:rsidRDefault="00130DE2" w:rsidP="006D7939">
            <w:pPr>
              <w:tabs>
                <w:tab w:val="left" w:pos="513"/>
                <w:tab w:val="left" w:pos="1418"/>
                <w:tab w:val="left" w:pos="1985"/>
                <w:tab w:val="left" w:pos="2552"/>
                <w:tab w:val="left" w:pos="3119"/>
                <w:tab w:val="left" w:pos="3686"/>
                <w:tab w:val="left" w:pos="4253"/>
                <w:tab w:val="left" w:pos="4820"/>
              </w:tabs>
              <w:spacing w:before="30" w:after="30"/>
              <w:ind w:left="513" w:right="-2" w:hanging="513"/>
            </w:pPr>
            <w:r w:rsidRPr="00CF4DD4">
              <w:tab/>
              <w:t>A verification report shall be available on request. As a minimum requirement, the cell or battery name, the cell or battery number, the mass, type, energy content of the cells or batteries, the packaging identification and the test data according to the verification method as specified by the competent authority shall be listed in the verification report</w:t>
            </w:r>
            <w:r>
              <w:t>.</w:t>
            </w:r>
          </w:p>
        </w:tc>
      </w:tr>
      <w:tr w:rsidR="00130DE2" w:rsidRPr="00CF4DD4" w:rsidTr="006D7939">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130DE2" w:rsidRPr="00CF4DD4" w:rsidRDefault="00130DE2" w:rsidP="006D7939">
            <w:pPr>
              <w:tabs>
                <w:tab w:val="left" w:pos="513"/>
                <w:tab w:val="left" w:pos="1418"/>
                <w:tab w:val="left" w:pos="1985"/>
                <w:tab w:val="left" w:pos="2552"/>
                <w:tab w:val="left" w:pos="3119"/>
                <w:tab w:val="left" w:pos="3686"/>
                <w:tab w:val="left" w:pos="4253"/>
                <w:tab w:val="left" w:pos="4820"/>
              </w:tabs>
              <w:spacing w:before="30" w:after="30"/>
              <w:ind w:left="513" w:right="-2" w:hanging="513"/>
            </w:pPr>
            <w:r w:rsidRPr="00CF4DD4">
              <w:t>(3</w:t>
            </w:r>
            <w:r w:rsidRPr="00A442CC">
              <w:t>)</w:t>
            </w:r>
            <w:r w:rsidRPr="00CF4DD4">
              <w:t xml:space="preserve"> </w:t>
            </w:r>
            <w:r w:rsidRPr="00CF4DD4">
              <w:tab/>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p>
        </w:tc>
      </w:tr>
      <w:tr w:rsidR="00130DE2" w:rsidRPr="00CF4DD4" w:rsidTr="006D7939">
        <w:trPr>
          <w:jc w:val="center"/>
        </w:trPr>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rsidR="00130DE2" w:rsidRPr="00CF4DD4" w:rsidRDefault="00130DE2" w:rsidP="006D7939">
            <w:pPr>
              <w:tabs>
                <w:tab w:val="left" w:pos="1418"/>
                <w:tab w:val="left" w:pos="1985"/>
                <w:tab w:val="left" w:pos="2552"/>
                <w:tab w:val="left" w:pos="3119"/>
                <w:tab w:val="left" w:pos="3686"/>
                <w:tab w:val="left" w:pos="4253"/>
                <w:tab w:val="left" w:pos="4820"/>
              </w:tabs>
              <w:spacing w:before="30" w:after="30"/>
              <w:ind w:left="507" w:right="-2" w:hanging="507"/>
            </w:pPr>
            <w:r w:rsidRPr="00CF4DD4">
              <w:t>Additional requirement:</w:t>
            </w:r>
          </w:p>
        </w:tc>
      </w:tr>
      <w:tr w:rsidR="00130DE2" w:rsidRPr="00CF4DD4" w:rsidTr="006D7939">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130DE2" w:rsidRPr="00CF4DD4" w:rsidRDefault="00130DE2" w:rsidP="006D7939">
            <w:pPr>
              <w:tabs>
                <w:tab w:val="left" w:pos="1418"/>
                <w:tab w:val="left" w:pos="1985"/>
                <w:tab w:val="left" w:pos="2552"/>
                <w:tab w:val="left" w:pos="3119"/>
                <w:tab w:val="left" w:pos="3686"/>
                <w:tab w:val="left" w:pos="4253"/>
                <w:tab w:val="left" w:pos="4820"/>
              </w:tabs>
              <w:spacing w:before="30" w:after="30"/>
              <w:ind w:left="933" w:right="-2" w:hanging="426"/>
            </w:pPr>
            <w:r w:rsidRPr="00CF4DD4">
              <w:t>Cells or batteries shall be protected against short circuit.</w:t>
            </w:r>
          </w:p>
        </w:tc>
      </w:tr>
      <w:tr w:rsidR="00130DE2" w:rsidRPr="00CF4DD4" w:rsidTr="006D7939">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rsidR="00130DE2" w:rsidRPr="00CF4DD4" w:rsidRDefault="00130DE2" w:rsidP="006D7939">
            <w:pPr>
              <w:tabs>
                <w:tab w:val="left" w:pos="513"/>
                <w:tab w:val="left" w:pos="1418"/>
                <w:tab w:val="left" w:pos="1985"/>
                <w:tab w:val="left" w:pos="2552"/>
                <w:tab w:val="left" w:pos="3119"/>
                <w:tab w:val="left" w:pos="3686"/>
                <w:tab w:val="left" w:pos="4253"/>
                <w:tab w:val="left" w:pos="4820"/>
              </w:tabs>
              <w:spacing w:before="30" w:after="30"/>
              <w:ind w:left="513" w:right="-2" w:hanging="513"/>
              <w:rPr>
                <w:i/>
              </w:rPr>
            </w:pPr>
            <w:proofErr w:type="spellStart"/>
            <w:r w:rsidRPr="00A341B5">
              <w:rPr>
                <w:b/>
                <w:vertAlign w:val="superscript"/>
              </w:rPr>
              <w:t>a</w:t>
            </w:r>
            <w:proofErr w:type="spellEnd"/>
            <w:r w:rsidRPr="00CF4DD4">
              <w:rPr>
                <w:i/>
              </w:rPr>
              <w:tab/>
              <w:t>The following criteria, as relevant, may be considered to assess the performance of the packaging:</w:t>
            </w:r>
          </w:p>
        </w:tc>
      </w:tr>
      <w:tr w:rsidR="00130DE2" w:rsidRPr="00CF4DD4" w:rsidTr="006D793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CF4DD4" w:rsidRDefault="00130DE2" w:rsidP="006D7939">
            <w:pPr>
              <w:tabs>
                <w:tab w:val="left" w:pos="513"/>
                <w:tab w:val="left" w:pos="1418"/>
                <w:tab w:val="left" w:pos="1985"/>
                <w:tab w:val="left" w:pos="2552"/>
                <w:tab w:val="left" w:pos="3119"/>
                <w:tab w:val="left" w:pos="3686"/>
                <w:tab w:val="left" w:pos="4253"/>
                <w:tab w:val="left" w:pos="4820"/>
              </w:tabs>
              <w:spacing w:before="30" w:after="30"/>
              <w:ind w:left="513" w:right="-2" w:hanging="513"/>
              <w:rPr>
                <w:i/>
              </w:rPr>
            </w:pPr>
            <w:r w:rsidRPr="00CF4DD4">
              <w:rPr>
                <w:i/>
              </w:rPr>
              <w:tab/>
              <w:t xml:space="preserve">(a) </w:t>
            </w:r>
            <w:r w:rsidRPr="00CF4DD4">
              <w:rPr>
                <w:i/>
              </w:rPr>
              <w:tab/>
              <w:t xml:space="preserve">The assessment shall be done under a quality management system (as </w:t>
            </w:r>
            <w:r>
              <w:rPr>
                <w:i/>
              </w:rPr>
              <w:t xml:space="preserve">described e.g. in </w:t>
            </w:r>
            <w:r w:rsidRPr="0097768D">
              <w:rPr>
                <w:i/>
              </w:rPr>
              <w:t>section 2.9.4.5)</w:t>
            </w:r>
            <w:r w:rsidRPr="00CF4DD4">
              <w:rPr>
                <w:i/>
              </w:rPr>
              <w:t xml:space="preserve"> allowing for the traceability of tests results, reference data and characterization models used;</w:t>
            </w:r>
          </w:p>
        </w:tc>
      </w:tr>
      <w:tr w:rsidR="00130DE2" w:rsidRPr="00CF4DD4" w:rsidTr="006D793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CF4DD4" w:rsidRDefault="00130DE2" w:rsidP="006D7939">
            <w:pPr>
              <w:tabs>
                <w:tab w:val="left" w:pos="513"/>
                <w:tab w:val="left" w:pos="1418"/>
                <w:tab w:val="left" w:pos="1985"/>
                <w:tab w:val="left" w:pos="2552"/>
                <w:tab w:val="left" w:pos="3119"/>
                <w:tab w:val="left" w:pos="3686"/>
                <w:tab w:val="left" w:pos="4253"/>
                <w:tab w:val="left" w:pos="4820"/>
              </w:tabs>
              <w:spacing w:before="30" w:after="30"/>
              <w:ind w:left="513" w:right="-2" w:hanging="513"/>
              <w:rPr>
                <w:i/>
              </w:rPr>
            </w:pPr>
            <w:r w:rsidRPr="00CF4DD4">
              <w:rPr>
                <w:i/>
              </w:rPr>
              <w:tab/>
              <w:t xml:space="preserve">(b) </w:t>
            </w:r>
            <w:r w:rsidRPr="00CF4DD4">
              <w:rPr>
                <w:i/>
              </w:rPr>
              <w:tab/>
              <w:t>The list of hazards expected in case of thermal runaway for the cell or battery type, in the condition it is transported (e.g. usage of an inner packaging, state of charge (SOC), use of sufficient non-combustible, electrically non-conductive and absorbent cushioning material</w:t>
            </w:r>
            <w:r>
              <w:rPr>
                <w:i/>
              </w:rPr>
              <w:t>,</w:t>
            </w:r>
            <w:r w:rsidRPr="00CF4DD4">
              <w:rPr>
                <w:i/>
              </w:rPr>
              <w:t xml:space="preserve"> etc.), shall be clearly identified and quantified; the reference list of  possible hazards for lithium cells or batteries (rapidly disassemble, dangerously react, produce a flame or a dangerous evolution of heat or a dangerous emission of toxic, corrosive or flammable gases or vapours) can be used for this purpose. The quantification of </w:t>
            </w:r>
            <w:r w:rsidRPr="0097768D">
              <w:rPr>
                <w:i/>
                <w:highlight w:val="cyan"/>
              </w:rPr>
              <w:t>these</w:t>
            </w:r>
            <w:r w:rsidRPr="00CF4DD4">
              <w:rPr>
                <w:i/>
              </w:rPr>
              <w:t xml:space="preserve"> hazards shall rely on available scientific literature;</w:t>
            </w:r>
          </w:p>
        </w:tc>
      </w:tr>
      <w:tr w:rsidR="00130DE2" w:rsidRPr="00CF4DD4" w:rsidTr="006D793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CF4DD4" w:rsidRDefault="00130DE2" w:rsidP="006D7939">
            <w:pPr>
              <w:tabs>
                <w:tab w:val="left" w:pos="513"/>
                <w:tab w:val="left" w:pos="1418"/>
                <w:tab w:val="left" w:pos="1985"/>
                <w:tab w:val="left" w:pos="2552"/>
                <w:tab w:val="left" w:pos="3119"/>
                <w:tab w:val="left" w:pos="3686"/>
                <w:tab w:val="left" w:pos="4253"/>
                <w:tab w:val="left" w:pos="4820"/>
              </w:tabs>
              <w:spacing w:before="30" w:after="30"/>
              <w:ind w:left="513" w:right="-2" w:hanging="513"/>
              <w:rPr>
                <w:i/>
              </w:rPr>
            </w:pPr>
            <w:r w:rsidRPr="00CF4DD4">
              <w:rPr>
                <w:i/>
              </w:rPr>
              <w:tab/>
              <w:t xml:space="preserve">(c) </w:t>
            </w:r>
            <w:r w:rsidRPr="00CF4DD4">
              <w:rPr>
                <w:i/>
              </w:rPr>
              <w:tab/>
              <w:t xml:space="preserve">The </w:t>
            </w:r>
            <w:r w:rsidRPr="0097768D">
              <w:rPr>
                <w:i/>
                <w:highlight w:val="cyan"/>
              </w:rPr>
              <w:t>mitigating</w:t>
            </w:r>
            <w:r w:rsidRPr="00CF4DD4">
              <w:rPr>
                <w:i/>
              </w:rPr>
              <w:t xml:space="preserve"> effects of the packaging shall be identified and characterized, based on the nature of the protections provided and the construction material properties. A list of technical characteristics and drawings shall be used to support this assessment (Density [kg·m</w:t>
            </w:r>
            <w:r w:rsidRPr="00CF4DD4">
              <w:rPr>
                <w:i/>
                <w:vertAlign w:val="superscript"/>
              </w:rPr>
              <w:t>-3</w:t>
            </w:r>
            <w:r w:rsidRPr="00CF4DD4">
              <w:rPr>
                <w:i/>
              </w:rPr>
              <w:t>], specific heat capacity [J·kg</w:t>
            </w:r>
            <w:r w:rsidRPr="00CF4DD4">
              <w:rPr>
                <w:i/>
                <w:vertAlign w:val="superscript"/>
              </w:rPr>
              <w:t>-1</w:t>
            </w:r>
            <w:r w:rsidRPr="00CF4DD4">
              <w:rPr>
                <w:i/>
              </w:rPr>
              <w:t>·K</w:t>
            </w:r>
            <w:r w:rsidRPr="00CF4DD4">
              <w:rPr>
                <w:i/>
                <w:vertAlign w:val="superscript"/>
              </w:rPr>
              <w:t>-1</w:t>
            </w:r>
            <w:r w:rsidRPr="00CF4DD4">
              <w:rPr>
                <w:i/>
              </w:rPr>
              <w:t>], heating value [kJ·kg</w:t>
            </w:r>
            <w:r w:rsidRPr="00CF4DD4">
              <w:rPr>
                <w:i/>
                <w:vertAlign w:val="superscript"/>
              </w:rPr>
              <w:t>-1</w:t>
            </w:r>
            <w:r w:rsidRPr="00CF4DD4">
              <w:rPr>
                <w:i/>
              </w:rPr>
              <w:t>], thermal conductivity</w:t>
            </w:r>
            <w:r>
              <w:rPr>
                <w:i/>
              </w:rPr>
              <w:t> </w:t>
            </w:r>
            <w:r w:rsidRPr="00CF4DD4">
              <w:rPr>
                <w:i/>
              </w:rPr>
              <w:t>[</w:t>
            </w:r>
            <w:proofErr w:type="spellStart"/>
            <w:r w:rsidRPr="00CF4DD4">
              <w:rPr>
                <w:i/>
              </w:rPr>
              <w:t>W·m</w:t>
            </w:r>
            <w:proofErr w:type="spellEnd"/>
            <w:r w:rsidRPr="00CF4DD4">
              <w:rPr>
                <w:i/>
                <w:vertAlign w:val="superscript"/>
              </w:rPr>
              <w:t>-</w:t>
            </w:r>
            <w:r>
              <w:rPr>
                <w:i/>
                <w:vertAlign w:val="superscript"/>
              </w:rPr>
              <w:t> </w:t>
            </w:r>
            <w:r w:rsidRPr="00CF4DD4">
              <w:rPr>
                <w:i/>
                <w:vertAlign w:val="superscript"/>
              </w:rPr>
              <w:t>1</w:t>
            </w:r>
            <w:r w:rsidRPr="00CF4DD4">
              <w:rPr>
                <w:i/>
              </w:rPr>
              <w:t>·K</w:t>
            </w:r>
            <w:r w:rsidRPr="00CF4DD4">
              <w:rPr>
                <w:i/>
                <w:vertAlign w:val="superscript"/>
              </w:rPr>
              <w:t>-1</w:t>
            </w:r>
            <w:r w:rsidRPr="00CF4DD4">
              <w:rPr>
                <w:i/>
              </w:rPr>
              <w:t xml:space="preserve">], melting temperature and flammability temperature [K], heat </w:t>
            </w:r>
            <w:r w:rsidRPr="00CF4DD4">
              <w:rPr>
                <w:i/>
              </w:rPr>
              <w:lastRenderedPageBreak/>
              <w:t>transfer coefficient of the outer packaging [W·m</w:t>
            </w:r>
            <w:r w:rsidRPr="00CF4DD4">
              <w:rPr>
                <w:i/>
                <w:vertAlign w:val="superscript"/>
              </w:rPr>
              <w:t>-2</w:t>
            </w:r>
            <w:r w:rsidRPr="00CF4DD4">
              <w:rPr>
                <w:i/>
              </w:rPr>
              <w:t>·K</w:t>
            </w:r>
            <w:r w:rsidRPr="00CF4DD4">
              <w:rPr>
                <w:i/>
                <w:vertAlign w:val="superscript"/>
              </w:rPr>
              <w:t>-1</w:t>
            </w:r>
            <w:r w:rsidRPr="00CF4DD4">
              <w:rPr>
                <w:i/>
              </w:rPr>
              <w:t>], …);</w:t>
            </w:r>
          </w:p>
        </w:tc>
      </w:tr>
      <w:tr w:rsidR="00130DE2" w:rsidRPr="00CF4DD4" w:rsidTr="006D7939">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130DE2" w:rsidRPr="00CF4DD4" w:rsidRDefault="00130DE2" w:rsidP="006D7939">
            <w:pPr>
              <w:tabs>
                <w:tab w:val="left" w:pos="513"/>
                <w:tab w:val="left" w:pos="1418"/>
                <w:tab w:val="left" w:pos="1985"/>
                <w:tab w:val="left" w:pos="2552"/>
                <w:tab w:val="left" w:pos="3119"/>
                <w:tab w:val="left" w:pos="3686"/>
                <w:tab w:val="left" w:pos="4253"/>
                <w:tab w:val="left" w:pos="4820"/>
              </w:tabs>
              <w:spacing w:before="30" w:after="30"/>
              <w:ind w:left="513" w:right="-2" w:hanging="513"/>
              <w:rPr>
                <w:i/>
              </w:rPr>
            </w:pPr>
            <w:r w:rsidRPr="00CF4DD4">
              <w:rPr>
                <w:i/>
              </w:rPr>
              <w:lastRenderedPageBreak/>
              <w:tab/>
              <w:t xml:space="preserve">(d) </w:t>
            </w:r>
            <w:r w:rsidRPr="00CF4DD4">
              <w:rPr>
                <w:i/>
              </w:rPr>
              <w:tab/>
              <w:t>The test and any supporting calculations shall assess the result of a thermal runaway of the cell or battery inside the packaging in the normal conditions of transport;</w:t>
            </w:r>
          </w:p>
        </w:tc>
      </w:tr>
      <w:tr w:rsidR="00130DE2" w:rsidRPr="00CF4DD4" w:rsidTr="006D7939">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130DE2" w:rsidRPr="00CF4DD4" w:rsidRDefault="00130DE2" w:rsidP="006D7939">
            <w:pPr>
              <w:tabs>
                <w:tab w:val="left" w:pos="513"/>
                <w:tab w:val="left" w:pos="1418"/>
                <w:tab w:val="left" w:pos="1985"/>
                <w:tab w:val="left" w:pos="2552"/>
                <w:tab w:val="left" w:pos="3119"/>
                <w:tab w:val="left" w:pos="3686"/>
                <w:tab w:val="left" w:pos="4253"/>
                <w:tab w:val="left" w:pos="4820"/>
              </w:tabs>
              <w:spacing w:before="30" w:after="30"/>
              <w:ind w:left="513" w:right="-2" w:hanging="513"/>
              <w:rPr>
                <w:i/>
              </w:rPr>
            </w:pPr>
            <w:r w:rsidRPr="00CF4DD4">
              <w:rPr>
                <w:i/>
              </w:rPr>
              <w:tab/>
              <w:t xml:space="preserve">(e) </w:t>
            </w:r>
            <w:r w:rsidRPr="00CF4DD4">
              <w:rPr>
                <w:i/>
              </w:rPr>
              <w:tab/>
              <w:t xml:space="preserve">In case the SOC of the cell or battery is not known, the assessment used shall be done with the </w:t>
            </w:r>
            <w:r w:rsidRPr="0097768D">
              <w:rPr>
                <w:i/>
                <w:highlight w:val="cyan"/>
              </w:rPr>
              <w:t>highest</w:t>
            </w:r>
            <w:r w:rsidRPr="00CF4DD4">
              <w:rPr>
                <w:i/>
              </w:rPr>
              <w:t xml:space="preserve"> possible SOC corresponding to the cell or battery use conditions;</w:t>
            </w:r>
          </w:p>
        </w:tc>
      </w:tr>
      <w:tr w:rsidR="00130DE2" w:rsidRPr="00CF4DD4" w:rsidTr="006D7939">
        <w:trPr>
          <w:jc w:val="center"/>
        </w:trPr>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tcPr>
          <w:p w:rsidR="00130DE2" w:rsidRPr="00CF4DD4" w:rsidRDefault="00130DE2" w:rsidP="006D7939">
            <w:pPr>
              <w:tabs>
                <w:tab w:val="left" w:pos="513"/>
                <w:tab w:val="left" w:pos="1418"/>
                <w:tab w:val="left" w:pos="1985"/>
                <w:tab w:val="left" w:pos="2552"/>
                <w:tab w:val="left" w:pos="3119"/>
                <w:tab w:val="left" w:pos="3686"/>
                <w:tab w:val="left" w:pos="4253"/>
                <w:tab w:val="left" w:pos="4820"/>
              </w:tabs>
              <w:spacing w:before="30" w:after="30"/>
              <w:ind w:left="513" w:right="-2" w:hanging="513"/>
              <w:rPr>
                <w:i/>
              </w:rPr>
            </w:pPr>
            <w:r w:rsidRPr="00CF4DD4">
              <w:rPr>
                <w:i/>
              </w:rPr>
              <w:tab/>
              <w:t xml:space="preserve">(f) </w:t>
            </w:r>
            <w:r w:rsidRPr="00CF4DD4">
              <w:rPr>
                <w:i/>
              </w:rPr>
              <w:tab/>
              <w:t>The surrounding conditions in which the packaging may be used and transported shall be described (including for possible consequences of gas or smoke emissions on the environment, such as ventilation or other methods) according to the gas management system of the packaging;</w:t>
            </w:r>
          </w:p>
        </w:tc>
      </w:tr>
      <w:tr w:rsidR="00130DE2" w:rsidRPr="00CF4DD4" w:rsidTr="006D7939">
        <w:trPr>
          <w:jc w:val="center"/>
        </w:trPr>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CF4DD4" w:rsidRDefault="00130DE2" w:rsidP="006D7939">
            <w:pPr>
              <w:tabs>
                <w:tab w:val="left" w:pos="513"/>
                <w:tab w:val="left" w:pos="1418"/>
                <w:tab w:val="left" w:pos="1985"/>
                <w:tab w:val="left" w:pos="2552"/>
                <w:tab w:val="left" w:pos="3119"/>
                <w:tab w:val="left" w:pos="3686"/>
                <w:tab w:val="left" w:pos="4253"/>
                <w:tab w:val="left" w:pos="4820"/>
              </w:tabs>
              <w:spacing w:before="30" w:after="30"/>
              <w:ind w:left="513" w:right="-2" w:hanging="513"/>
              <w:rPr>
                <w:i/>
              </w:rPr>
            </w:pPr>
            <w:r w:rsidRPr="00CF4DD4">
              <w:rPr>
                <w:i/>
              </w:rPr>
              <w:tab/>
              <w:t xml:space="preserve">(g) </w:t>
            </w:r>
            <w:r w:rsidRPr="00CF4DD4">
              <w:rPr>
                <w:i/>
              </w:rPr>
              <w:tab/>
              <w:t>The tests or the model calculation shall consider the worst case scenario for the thermal runaway triggering and propagation inside the cell or battery: this scenario includes the worst possible failure in the normal transport condition, the maximum heat and flame emissions for the possible propagation of the reaction;</w:t>
            </w:r>
          </w:p>
        </w:tc>
      </w:tr>
      <w:tr w:rsidR="00130DE2" w:rsidRPr="00CF4DD4" w:rsidTr="006D7939">
        <w:trPr>
          <w:jc w:val="center"/>
        </w:trPr>
        <w:tc>
          <w:tcPr>
            <w:tcW w:w="9645" w:type="dxa"/>
            <w:gridSpan w:val="3"/>
            <w:tcBorders>
              <w:top w:val="nil"/>
              <w:left w:val="single" w:sz="4" w:space="0" w:color="auto"/>
              <w:right w:val="single" w:sz="4" w:space="0" w:color="auto"/>
            </w:tcBorders>
            <w:tcMar>
              <w:top w:w="0" w:type="dxa"/>
              <w:left w:w="57" w:type="dxa"/>
              <w:bottom w:w="0" w:type="dxa"/>
              <w:right w:w="57" w:type="dxa"/>
            </w:tcMar>
          </w:tcPr>
          <w:p w:rsidR="00130DE2" w:rsidRPr="00CF4DD4" w:rsidRDefault="00130DE2" w:rsidP="006D7939">
            <w:pPr>
              <w:tabs>
                <w:tab w:val="left" w:pos="513"/>
                <w:tab w:val="left" w:pos="1418"/>
                <w:tab w:val="left" w:pos="1985"/>
                <w:tab w:val="left" w:pos="2552"/>
                <w:tab w:val="left" w:pos="3119"/>
                <w:tab w:val="left" w:pos="3686"/>
                <w:tab w:val="left" w:pos="4253"/>
                <w:tab w:val="left" w:pos="4820"/>
              </w:tabs>
              <w:spacing w:before="30" w:after="30"/>
              <w:ind w:left="513" w:right="-2" w:hanging="513"/>
              <w:rPr>
                <w:i/>
              </w:rPr>
            </w:pPr>
            <w:r w:rsidRPr="00CF4DD4">
              <w:rPr>
                <w:i/>
              </w:rPr>
              <w:tab/>
              <w:t xml:space="preserve">(h) </w:t>
            </w:r>
            <w:r w:rsidRPr="00CF4DD4">
              <w:rPr>
                <w:i/>
              </w:rPr>
              <w:tab/>
            </w:r>
            <w:r w:rsidRPr="0097768D">
              <w:rPr>
                <w:i/>
                <w:highlight w:val="cyan"/>
              </w:rPr>
              <w:t>These scenarios shall be assessed over a period long enough to allow all the possible consequences to occur (e.g. 24 hours).</w:t>
            </w:r>
          </w:p>
        </w:tc>
      </w:tr>
      <w:tr w:rsidR="00130DE2" w:rsidRPr="00CF4DD4" w:rsidTr="006D7939">
        <w:trPr>
          <w:jc w:val="center"/>
        </w:trPr>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tcPr>
          <w:p w:rsidR="00130DE2" w:rsidRPr="00CF4DD4" w:rsidRDefault="00130DE2" w:rsidP="006D7939">
            <w:pPr>
              <w:tabs>
                <w:tab w:val="left" w:pos="1418"/>
                <w:tab w:val="left" w:pos="1985"/>
                <w:tab w:val="left" w:pos="2552"/>
                <w:tab w:val="left" w:pos="3119"/>
                <w:tab w:val="left" w:pos="3686"/>
                <w:tab w:val="left" w:pos="4253"/>
                <w:tab w:val="left" w:pos="4820"/>
              </w:tabs>
              <w:spacing w:before="30" w:after="30"/>
              <w:ind w:right="-2"/>
            </w:pPr>
          </w:p>
        </w:tc>
      </w:tr>
    </w:tbl>
    <w:p w:rsidR="00130DE2" w:rsidRDefault="00130DE2" w:rsidP="00130DE2">
      <w:pPr>
        <w:pStyle w:val="SingleTxtG"/>
        <w:tabs>
          <w:tab w:val="left" w:pos="2127"/>
        </w:tabs>
        <w:spacing w:after="0" w:line="240" w:lineRule="auto"/>
        <w:ind w:left="0" w:right="-2"/>
        <w:rPr>
          <w:rFonts w:ascii="Arial" w:hAnsi="Arial" w:cs="Arial"/>
          <w:b/>
          <w:sz w:val="22"/>
          <w:szCs w:val="22"/>
        </w:rPr>
      </w:pPr>
    </w:p>
    <w:p w:rsidR="00130DE2" w:rsidRPr="006B01DA" w:rsidRDefault="00130DE2" w:rsidP="00130DE2">
      <w:pPr>
        <w:pStyle w:val="SingleTxtG"/>
        <w:keepNext/>
        <w:tabs>
          <w:tab w:val="left" w:pos="851"/>
          <w:tab w:val="left" w:pos="2127"/>
        </w:tabs>
        <w:spacing w:after="0" w:line="240" w:lineRule="auto"/>
        <w:ind w:left="0" w:right="0"/>
        <w:rPr>
          <w:b/>
        </w:rPr>
      </w:pPr>
      <w:r w:rsidRPr="006B01DA">
        <w:rPr>
          <w:b/>
        </w:rPr>
        <w:t xml:space="preserve">4.1.4.3 </w:t>
      </w:r>
      <w:r w:rsidRPr="006B01DA">
        <w:rPr>
          <w:b/>
        </w:rPr>
        <w:tab/>
        <w:t xml:space="preserve">Packing instructions concerning the use of large </w:t>
      </w:r>
      <w:proofErr w:type="spellStart"/>
      <w:r w:rsidRPr="006B01DA">
        <w:rPr>
          <w:b/>
        </w:rPr>
        <w:t>packagings</w:t>
      </w:r>
      <w:proofErr w:type="spellEnd"/>
    </w:p>
    <w:p w:rsidR="00130DE2" w:rsidRPr="006B01DA" w:rsidRDefault="00130DE2" w:rsidP="00130DE2">
      <w:pPr>
        <w:pStyle w:val="SingleTxtG"/>
        <w:keepNext/>
        <w:tabs>
          <w:tab w:val="left" w:pos="2127"/>
        </w:tabs>
        <w:spacing w:after="0" w:line="240" w:lineRule="auto"/>
        <w:ind w:left="0" w:right="0"/>
      </w:pPr>
    </w:p>
    <w:p w:rsidR="00130DE2" w:rsidRPr="006B01DA" w:rsidRDefault="00130DE2" w:rsidP="00130DE2">
      <w:pPr>
        <w:pStyle w:val="SingleTxtG"/>
        <w:tabs>
          <w:tab w:val="left" w:pos="2127"/>
        </w:tabs>
        <w:spacing w:after="0" w:line="240" w:lineRule="auto"/>
        <w:ind w:left="0" w:right="0"/>
      </w:pPr>
      <w:r w:rsidRPr="006B01DA">
        <w:t>Insert the following new packing instructions:</w:t>
      </w:r>
    </w:p>
    <w:p w:rsidR="00130DE2" w:rsidRPr="006B01DA" w:rsidRDefault="00130DE2" w:rsidP="00130DE2"/>
    <w:tbl>
      <w:tblPr>
        <w:tblW w:w="9645" w:type="dxa"/>
        <w:tblLayout w:type="fixed"/>
        <w:tblCellMar>
          <w:left w:w="0" w:type="dxa"/>
          <w:right w:w="113" w:type="dxa"/>
        </w:tblCellMar>
        <w:tblLook w:val="01E0" w:firstRow="1" w:lastRow="1" w:firstColumn="1" w:lastColumn="1" w:noHBand="0" w:noVBand="0"/>
      </w:tblPr>
      <w:tblGrid>
        <w:gridCol w:w="3215"/>
        <w:gridCol w:w="3215"/>
        <w:gridCol w:w="3215"/>
      </w:tblGrid>
      <w:tr w:rsidR="00130DE2" w:rsidRPr="00CF4DD4" w:rsidTr="006D7939">
        <w:trPr>
          <w:tblHeader/>
        </w:trPr>
        <w:tc>
          <w:tcPr>
            <w:tcW w:w="3215" w:type="dxa"/>
            <w:tcBorders>
              <w:top w:val="single" w:sz="4" w:space="0" w:color="auto"/>
              <w:left w:val="single" w:sz="4" w:space="0" w:color="auto"/>
              <w:bottom w:val="single" w:sz="4" w:space="0" w:color="auto"/>
              <w:right w:val="nil"/>
            </w:tcBorders>
            <w:tcMar>
              <w:top w:w="0" w:type="dxa"/>
              <w:left w:w="57" w:type="dxa"/>
              <w:bottom w:w="0" w:type="dxa"/>
              <w:right w:w="57" w:type="dxa"/>
            </w:tcMar>
            <w:vAlign w:val="center"/>
            <w:hideMark/>
          </w:tcPr>
          <w:p w:rsidR="00130DE2" w:rsidRPr="00CF4DD4" w:rsidRDefault="00130DE2" w:rsidP="006D7939">
            <w:pPr>
              <w:keepNext/>
              <w:keepLines/>
              <w:tabs>
                <w:tab w:val="left" w:pos="1418"/>
                <w:tab w:val="left" w:pos="1985"/>
                <w:tab w:val="left" w:pos="2552"/>
                <w:tab w:val="left" w:pos="3119"/>
                <w:tab w:val="left" w:pos="3686"/>
                <w:tab w:val="left" w:pos="4253"/>
                <w:tab w:val="left" w:pos="4820"/>
              </w:tabs>
              <w:spacing w:before="60" w:after="60"/>
              <w:rPr>
                <w:b/>
                <w:lang w:val="fr-FR"/>
              </w:rPr>
            </w:pPr>
            <w:r w:rsidRPr="00CF4DD4">
              <w:rPr>
                <w:b/>
                <w:lang w:val="fr-FR"/>
              </w:rPr>
              <w:t>LP906</w:t>
            </w:r>
          </w:p>
        </w:tc>
        <w:tc>
          <w:tcPr>
            <w:tcW w:w="3215" w:type="dxa"/>
            <w:tcBorders>
              <w:top w:val="single" w:sz="4" w:space="0" w:color="auto"/>
              <w:left w:val="nil"/>
              <w:bottom w:val="single" w:sz="4" w:space="0" w:color="auto"/>
              <w:right w:val="nil"/>
            </w:tcBorders>
            <w:tcMar>
              <w:top w:w="0" w:type="dxa"/>
              <w:left w:w="57" w:type="dxa"/>
              <w:bottom w:w="0" w:type="dxa"/>
              <w:right w:w="57" w:type="dxa"/>
            </w:tcMar>
            <w:vAlign w:val="center"/>
            <w:hideMark/>
          </w:tcPr>
          <w:p w:rsidR="00130DE2" w:rsidRPr="00CF4DD4" w:rsidRDefault="00130DE2" w:rsidP="006D7939">
            <w:pPr>
              <w:keepNext/>
              <w:keepLines/>
              <w:tabs>
                <w:tab w:val="left" w:pos="1418"/>
                <w:tab w:val="left" w:pos="1985"/>
                <w:tab w:val="left" w:pos="2552"/>
                <w:tab w:val="left" w:pos="3119"/>
                <w:tab w:val="left" w:pos="3686"/>
                <w:tab w:val="left" w:pos="4253"/>
                <w:tab w:val="left" w:pos="4820"/>
              </w:tabs>
              <w:spacing w:before="60" w:after="60"/>
              <w:jc w:val="center"/>
              <w:rPr>
                <w:b/>
                <w:iCs/>
                <w:lang w:val="fr-FR"/>
              </w:rPr>
            </w:pPr>
            <w:r w:rsidRPr="00CF4DD4">
              <w:rPr>
                <w:b/>
                <w:iCs/>
                <w:lang w:val="fr-FR"/>
              </w:rPr>
              <w:t>PACKING INSTRUCTION</w:t>
            </w:r>
          </w:p>
        </w:tc>
        <w:tc>
          <w:tcPr>
            <w:tcW w:w="3215" w:type="dxa"/>
            <w:tcBorders>
              <w:top w:val="single" w:sz="4" w:space="0" w:color="auto"/>
              <w:left w:val="nil"/>
              <w:bottom w:val="single" w:sz="4" w:space="0" w:color="auto"/>
              <w:right w:val="single" w:sz="4" w:space="0" w:color="auto"/>
            </w:tcBorders>
            <w:tcMar>
              <w:top w:w="0" w:type="dxa"/>
              <w:left w:w="57" w:type="dxa"/>
              <w:bottom w:w="0" w:type="dxa"/>
              <w:right w:w="57" w:type="dxa"/>
            </w:tcMar>
            <w:vAlign w:val="center"/>
            <w:hideMark/>
          </w:tcPr>
          <w:p w:rsidR="00130DE2" w:rsidRPr="00CF4DD4" w:rsidRDefault="00130DE2" w:rsidP="006D7939">
            <w:pPr>
              <w:keepNext/>
              <w:keepLines/>
              <w:tabs>
                <w:tab w:val="left" w:pos="1418"/>
                <w:tab w:val="left" w:pos="1985"/>
                <w:tab w:val="left" w:pos="2552"/>
                <w:tab w:val="left" w:pos="3119"/>
                <w:tab w:val="left" w:pos="3686"/>
                <w:tab w:val="left" w:pos="4253"/>
                <w:tab w:val="left" w:pos="4820"/>
              </w:tabs>
              <w:spacing w:before="60" w:after="60"/>
              <w:jc w:val="right"/>
              <w:rPr>
                <w:b/>
                <w:iCs/>
                <w:lang w:val="fr-FR"/>
              </w:rPr>
            </w:pPr>
            <w:r w:rsidRPr="00CF4DD4">
              <w:rPr>
                <w:b/>
                <w:iCs/>
                <w:lang w:val="fr-FR"/>
              </w:rPr>
              <w:t>LP906</w:t>
            </w:r>
          </w:p>
        </w:tc>
      </w:tr>
      <w:tr w:rsidR="00130DE2" w:rsidRPr="00CF4DD4" w:rsidTr="006D7939">
        <w:tc>
          <w:tcPr>
            <w:tcW w:w="964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130DE2" w:rsidRPr="00A442CC" w:rsidRDefault="00130DE2" w:rsidP="006D7939">
            <w:pPr>
              <w:tabs>
                <w:tab w:val="left" w:pos="1418"/>
                <w:tab w:val="left" w:pos="1985"/>
                <w:tab w:val="left" w:pos="2552"/>
                <w:tab w:val="left" w:pos="3119"/>
                <w:tab w:val="left" w:pos="3686"/>
                <w:tab w:val="left" w:pos="4253"/>
                <w:tab w:val="left" w:pos="4820"/>
              </w:tabs>
              <w:spacing w:before="60" w:after="60"/>
              <w:ind w:left="80" w:right="-2"/>
              <w:rPr>
                <w:iCs/>
              </w:rPr>
            </w:pPr>
            <w:r w:rsidRPr="00CF4DD4">
              <w:rPr>
                <w:iCs/>
              </w:rPr>
              <w:t xml:space="preserve">This instruction </w:t>
            </w:r>
            <w:r w:rsidRPr="0097768D">
              <w:rPr>
                <w:iCs/>
                <w:highlight w:val="cyan"/>
              </w:rPr>
              <w:t>applies to damaged</w:t>
            </w:r>
            <w:r w:rsidRPr="00CF4DD4">
              <w:rPr>
                <w:iCs/>
              </w:rPr>
              <w:t xml:space="preserve"> or defective batteries of UN Nos. 3090, 3091, 3480 and 3481 liable to rapidly disassemble, dangerously react, produce a flame or a dangerous evolution of heat or a dangerous emission of toxic, corrosive or flammable gases or vapours under normal conditions of transport</w:t>
            </w:r>
            <w:r w:rsidRPr="00A442CC">
              <w:t>.</w:t>
            </w:r>
          </w:p>
        </w:tc>
      </w:tr>
      <w:tr w:rsidR="00130DE2" w:rsidRPr="00CF4DD4" w:rsidTr="006D7939">
        <w:tc>
          <w:tcPr>
            <w:tcW w:w="9645" w:type="dxa"/>
            <w:gridSpan w:val="3"/>
            <w:tcBorders>
              <w:top w:val="single" w:sz="4" w:space="0" w:color="auto"/>
              <w:left w:val="single" w:sz="4" w:space="0" w:color="auto"/>
              <w:bottom w:val="nil"/>
              <w:right w:val="single" w:sz="4" w:space="0" w:color="auto"/>
            </w:tcBorders>
            <w:tcMar>
              <w:top w:w="0" w:type="dxa"/>
              <w:left w:w="57" w:type="dxa"/>
              <w:bottom w:w="0" w:type="dxa"/>
              <w:right w:w="57" w:type="dxa"/>
            </w:tcMar>
            <w:hideMark/>
          </w:tcPr>
          <w:p w:rsidR="00130DE2" w:rsidRPr="00F15B75" w:rsidRDefault="00130DE2" w:rsidP="006D7939">
            <w:pPr>
              <w:tabs>
                <w:tab w:val="left" w:pos="1418"/>
                <w:tab w:val="left" w:pos="1985"/>
                <w:tab w:val="left" w:pos="2552"/>
                <w:tab w:val="left" w:pos="3119"/>
                <w:tab w:val="left" w:pos="3686"/>
                <w:tab w:val="left" w:pos="4253"/>
                <w:tab w:val="left" w:pos="4820"/>
              </w:tabs>
              <w:spacing w:before="60" w:after="60"/>
              <w:ind w:right="-2"/>
              <w:rPr>
                <w:iCs/>
              </w:rPr>
            </w:pPr>
            <w:r w:rsidRPr="00F15B75">
              <w:rPr>
                <w:iCs/>
              </w:rPr>
              <w:t xml:space="preserve">The following large </w:t>
            </w:r>
            <w:proofErr w:type="spellStart"/>
            <w:r w:rsidRPr="00F15B75">
              <w:rPr>
                <w:iCs/>
              </w:rPr>
              <w:t>packagings</w:t>
            </w:r>
            <w:proofErr w:type="spellEnd"/>
            <w:r w:rsidRPr="00F15B75">
              <w:rPr>
                <w:iCs/>
              </w:rPr>
              <w:t xml:space="preserve"> are authorized, provided that the general provisions of </w:t>
            </w:r>
            <w:r w:rsidRPr="00F15B75">
              <w:rPr>
                <w:b/>
                <w:iCs/>
              </w:rPr>
              <w:t>4.1.1</w:t>
            </w:r>
            <w:r w:rsidRPr="00F15B75">
              <w:rPr>
                <w:iCs/>
              </w:rPr>
              <w:t xml:space="preserve"> and </w:t>
            </w:r>
            <w:r w:rsidRPr="00F15B75">
              <w:rPr>
                <w:b/>
                <w:iCs/>
              </w:rPr>
              <w:t>4.1.3</w:t>
            </w:r>
            <w:r w:rsidRPr="00F15B75">
              <w:rPr>
                <w:iCs/>
              </w:rPr>
              <w:t xml:space="preserve"> are met:</w:t>
            </w:r>
          </w:p>
        </w:tc>
      </w:tr>
      <w:tr w:rsidR="00130DE2" w:rsidRPr="00CF4DD4" w:rsidTr="006D7939">
        <w:tc>
          <w:tcPr>
            <w:tcW w:w="9645" w:type="dxa"/>
            <w:gridSpan w:val="3"/>
            <w:tcBorders>
              <w:left w:val="single" w:sz="4" w:space="0" w:color="auto"/>
              <w:right w:val="single" w:sz="4" w:space="0" w:color="auto"/>
            </w:tcBorders>
            <w:tcMar>
              <w:top w:w="0" w:type="dxa"/>
              <w:left w:w="57" w:type="dxa"/>
              <w:bottom w:w="0" w:type="dxa"/>
              <w:right w:w="57" w:type="dxa"/>
            </w:tcMar>
            <w:hideMark/>
          </w:tcPr>
          <w:p w:rsidR="00130DE2" w:rsidRPr="00F15B75" w:rsidRDefault="00130DE2" w:rsidP="006D7939">
            <w:pPr>
              <w:tabs>
                <w:tab w:val="left" w:pos="1418"/>
                <w:tab w:val="left" w:pos="1985"/>
                <w:tab w:val="left" w:pos="2552"/>
                <w:tab w:val="left" w:pos="3119"/>
                <w:tab w:val="left" w:pos="3686"/>
                <w:tab w:val="left" w:pos="4253"/>
                <w:tab w:val="left" w:pos="4820"/>
              </w:tabs>
              <w:ind w:right="-2"/>
              <w:rPr>
                <w:iCs/>
              </w:rPr>
            </w:pPr>
            <w:r w:rsidRPr="00F15B75">
              <w:rPr>
                <w:bCs/>
                <w:iCs/>
              </w:rPr>
              <w:t>For a single battery and batteries contained in a [</w:t>
            </w:r>
            <w:r w:rsidRPr="007D4A81">
              <w:rPr>
                <w:bCs/>
                <w:iCs/>
              </w:rPr>
              <w:t>single item of equipment</w:t>
            </w:r>
            <w:r w:rsidRPr="00F15B75">
              <w:rPr>
                <w:bCs/>
                <w:iCs/>
              </w:rPr>
              <w:t xml:space="preserve">]: </w:t>
            </w:r>
          </w:p>
        </w:tc>
      </w:tr>
      <w:tr w:rsidR="00130DE2" w:rsidRPr="00CF4DD4" w:rsidTr="006D7939">
        <w:tc>
          <w:tcPr>
            <w:tcW w:w="9645" w:type="dxa"/>
            <w:gridSpan w:val="3"/>
            <w:tcBorders>
              <w:left w:val="single" w:sz="4" w:space="0" w:color="auto"/>
              <w:right w:val="single" w:sz="4" w:space="0" w:color="auto"/>
            </w:tcBorders>
            <w:tcMar>
              <w:top w:w="0" w:type="dxa"/>
              <w:left w:w="57" w:type="dxa"/>
              <w:bottom w:w="0" w:type="dxa"/>
              <w:right w:w="57" w:type="dxa"/>
            </w:tcMar>
          </w:tcPr>
          <w:p w:rsidR="00130DE2" w:rsidRPr="00F15B75" w:rsidRDefault="00130DE2" w:rsidP="006D7939">
            <w:pPr>
              <w:tabs>
                <w:tab w:val="left" w:pos="1418"/>
                <w:tab w:val="left" w:pos="1985"/>
                <w:tab w:val="left" w:pos="2552"/>
                <w:tab w:val="left" w:pos="3119"/>
                <w:tab w:val="left" w:pos="3686"/>
                <w:tab w:val="left" w:pos="4253"/>
                <w:tab w:val="left" w:pos="4820"/>
              </w:tabs>
              <w:ind w:right="-2"/>
              <w:rPr>
                <w:bCs/>
                <w:iCs/>
              </w:rPr>
            </w:pPr>
            <w:r w:rsidRPr="00F15B75">
              <w:t xml:space="preserve">Rigid large </w:t>
            </w:r>
            <w:proofErr w:type="spellStart"/>
            <w:r w:rsidRPr="00F15B75">
              <w:t>packagings</w:t>
            </w:r>
            <w:proofErr w:type="spellEnd"/>
            <w:r w:rsidRPr="00F15B75">
              <w:t xml:space="preserve"> conforming to the packing group I performance level, made of:</w:t>
            </w:r>
          </w:p>
        </w:tc>
      </w:tr>
      <w:tr w:rsidR="00130DE2" w:rsidRPr="00CF4DD4" w:rsidTr="006D7939">
        <w:tc>
          <w:tcPr>
            <w:tcW w:w="9645" w:type="dxa"/>
            <w:gridSpan w:val="3"/>
            <w:tcBorders>
              <w:top w:val="nil"/>
              <w:left w:val="single" w:sz="4" w:space="0" w:color="auto"/>
              <w:right w:val="single" w:sz="4" w:space="0" w:color="auto"/>
            </w:tcBorders>
            <w:tcMar>
              <w:top w:w="0" w:type="dxa"/>
              <w:left w:w="57" w:type="dxa"/>
              <w:bottom w:w="0" w:type="dxa"/>
              <w:right w:w="57" w:type="dxa"/>
            </w:tcMar>
            <w:hideMark/>
          </w:tcPr>
          <w:p w:rsidR="00130DE2" w:rsidRPr="00F70F0E" w:rsidRDefault="00130DE2" w:rsidP="006D7939">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24" w:after="24" w:line="234" w:lineRule="auto"/>
              <w:ind w:left="622" w:right="-2"/>
            </w:pPr>
            <w:r w:rsidRPr="00F70F0E">
              <w:t xml:space="preserve">steel </w:t>
            </w:r>
            <w:r w:rsidRPr="00CF4DD4">
              <w:t>(50A);</w:t>
            </w:r>
          </w:p>
        </w:tc>
      </w:tr>
      <w:tr w:rsidR="00130DE2" w:rsidRPr="00CF4DD4" w:rsidTr="006D7939">
        <w:tc>
          <w:tcPr>
            <w:tcW w:w="9645" w:type="dxa"/>
            <w:gridSpan w:val="3"/>
            <w:tcBorders>
              <w:left w:val="single" w:sz="4" w:space="0" w:color="auto"/>
              <w:bottom w:val="nil"/>
              <w:right w:val="single" w:sz="4" w:space="0" w:color="auto"/>
            </w:tcBorders>
            <w:tcMar>
              <w:top w:w="0" w:type="dxa"/>
              <w:left w:w="57" w:type="dxa"/>
              <w:bottom w:w="0" w:type="dxa"/>
              <w:right w:w="57" w:type="dxa"/>
            </w:tcMar>
            <w:hideMark/>
          </w:tcPr>
          <w:p w:rsidR="00130DE2" w:rsidRPr="00F70F0E" w:rsidRDefault="00130DE2" w:rsidP="006D7939">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24" w:after="24" w:line="234" w:lineRule="auto"/>
              <w:ind w:left="622" w:right="-2"/>
            </w:pPr>
            <w:r w:rsidRPr="00F70F0E">
              <w:t xml:space="preserve">aluminium </w:t>
            </w:r>
            <w:r w:rsidRPr="00CF4DD4">
              <w:t>(50B);</w:t>
            </w:r>
          </w:p>
        </w:tc>
      </w:tr>
      <w:tr w:rsidR="00130DE2" w:rsidRPr="00CF4DD4" w:rsidTr="006D7939">
        <w:tc>
          <w:tcPr>
            <w:tcW w:w="9645" w:type="dxa"/>
            <w:gridSpan w:val="3"/>
            <w:tcBorders>
              <w:top w:val="nil"/>
              <w:left w:val="single" w:sz="4" w:space="0" w:color="auto"/>
              <w:bottom w:val="nil"/>
              <w:right w:val="single" w:sz="4" w:space="0" w:color="auto"/>
            </w:tcBorders>
            <w:tcMar>
              <w:top w:w="0" w:type="dxa"/>
              <w:left w:w="57" w:type="dxa"/>
              <w:bottom w:w="0" w:type="dxa"/>
              <w:right w:w="57" w:type="dxa"/>
            </w:tcMar>
            <w:hideMark/>
          </w:tcPr>
          <w:p w:rsidR="00130DE2" w:rsidRPr="00F70F0E" w:rsidRDefault="00130DE2" w:rsidP="006D7939">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24" w:after="24" w:line="234" w:lineRule="auto"/>
              <w:ind w:left="622" w:right="-2"/>
            </w:pPr>
            <w:r w:rsidRPr="00F70F0E">
              <w:t xml:space="preserve">metal other than steel or aluminium </w:t>
            </w:r>
            <w:r w:rsidRPr="00CF4DD4">
              <w:t>(50N);</w:t>
            </w:r>
          </w:p>
        </w:tc>
      </w:tr>
      <w:tr w:rsidR="00130DE2" w:rsidRPr="00CF4DD4" w:rsidTr="006D7939">
        <w:tc>
          <w:tcPr>
            <w:tcW w:w="9645" w:type="dxa"/>
            <w:gridSpan w:val="3"/>
            <w:tcBorders>
              <w:top w:val="nil"/>
              <w:left w:val="single" w:sz="4" w:space="0" w:color="auto"/>
              <w:right w:val="single" w:sz="4" w:space="0" w:color="auto"/>
            </w:tcBorders>
            <w:tcMar>
              <w:top w:w="0" w:type="dxa"/>
              <w:left w:w="57" w:type="dxa"/>
              <w:bottom w:w="0" w:type="dxa"/>
              <w:right w:w="57" w:type="dxa"/>
            </w:tcMar>
          </w:tcPr>
          <w:p w:rsidR="00130DE2" w:rsidRPr="00CF4DD4" w:rsidRDefault="00130DE2" w:rsidP="006D7939">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24" w:after="24" w:line="234" w:lineRule="auto"/>
              <w:ind w:left="622" w:right="-2"/>
            </w:pPr>
            <w:r w:rsidRPr="00F70F0E">
              <w:t xml:space="preserve">rigid plastics </w:t>
            </w:r>
            <w:r w:rsidRPr="00CF4DD4">
              <w:t>(50H);</w:t>
            </w:r>
          </w:p>
        </w:tc>
      </w:tr>
      <w:tr w:rsidR="00130DE2" w:rsidRPr="00CF4DD4" w:rsidTr="006D7939">
        <w:tc>
          <w:tcPr>
            <w:tcW w:w="9645" w:type="dxa"/>
            <w:gridSpan w:val="3"/>
            <w:tcBorders>
              <w:left w:val="single" w:sz="4" w:space="0" w:color="auto"/>
              <w:bottom w:val="nil"/>
              <w:right w:val="single" w:sz="4" w:space="0" w:color="auto"/>
            </w:tcBorders>
            <w:tcMar>
              <w:top w:w="0" w:type="dxa"/>
              <w:left w:w="57" w:type="dxa"/>
              <w:bottom w:w="0" w:type="dxa"/>
              <w:right w:w="57" w:type="dxa"/>
            </w:tcMar>
          </w:tcPr>
          <w:p w:rsidR="00130DE2" w:rsidRPr="00CF4DD4" w:rsidRDefault="00130DE2" w:rsidP="006D7939">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24" w:after="24" w:line="234" w:lineRule="auto"/>
              <w:ind w:left="622" w:right="-2"/>
            </w:pPr>
            <w:r w:rsidRPr="00F70F0E">
              <w:t xml:space="preserve">plywood </w:t>
            </w:r>
            <w:r w:rsidRPr="00CF4DD4">
              <w:t>(50D);</w:t>
            </w:r>
          </w:p>
        </w:tc>
      </w:tr>
      <w:tr w:rsidR="00130DE2" w:rsidRPr="00CF4DD4" w:rsidTr="006D7939">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CF4DD4" w:rsidRDefault="00130DE2" w:rsidP="006D7939">
            <w:pPr>
              <w:tabs>
                <w:tab w:val="left" w:pos="-1246"/>
                <w:tab w:val="left" w:pos="-720"/>
                <w:tab w:val="left" w:pos="0"/>
                <w:tab w:val="left" w:pos="622"/>
                <w:tab w:val="left" w:pos="1190"/>
                <w:tab w:val="left" w:pos="1418"/>
                <w:tab w:val="left" w:pos="1473"/>
                <w:tab w:val="left" w:pos="1985"/>
                <w:tab w:val="left" w:pos="2552"/>
                <w:tab w:val="left" w:pos="3119"/>
                <w:tab w:val="left" w:pos="3686"/>
                <w:tab w:val="left" w:pos="4253"/>
                <w:tab w:val="left" w:pos="4820"/>
                <w:tab w:val="left" w:pos="6350"/>
                <w:tab w:val="left" w:pos="6916"/>
              </w:tabs>
              <w:spacing w:before="24" w:after="24" w:line="234" w:lineRule="auto"/>
              <w:ind w:left="622" w:right="-2"/>
            </w:pPr>
            <w:proofErr w:type="gramStart"/>
            <w:r w:rsidRPr="00F70F0E">
              <w:t>rigid</w:t>
            </w:r>
            <w:proofErr w:type="gramEnd"/>
            <w:r w:rsidRPr="00F70F0E">
              <w:t xml:space="preserve"> fibreboard </w:t>
            </w:r>
            <w:r w:rsidRPr="00CF4DD4">
              <w:t>(50G)</w:t>
            </w:r>
            <w:r>
              <w:t>.</w:t>
            </w:r>
          </w:p>
        </w:tc>
      </w:tr>
      <w:tr w:rsidR="00130DE2" w:rsidRPr="00CF4DD4" w:rsidTr="006D7939">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A442CC" w:rsidRDefault="00130DE2" w:rsidP="006D7939">
            <w:pPr>
              <w:tabs>
                <w:tab w:val="left" w:pos="513"/>
                <w:tab w:val="left" w:pos="1418"/>
                <w:tab w:val="left" w:pos="1985"/>
                <w:tab w:val="left" w:pos="2552"/>
                <w:tab w:val="left" w:pos="3119"/>
                <w:tab w:val="left" w:pos="3686"/>
                <w:tab w:val="left" w:pos="4253"/>
                <w:tab w:val="left" w:pos="4820"/>
              </w:tabs>
              <w:spacing w:before="30" w:after="30"/>
              <w:ind w:left="513" w:right="-2" w:hanging="513"/>
            </w:pPr>
            <w:r w:rsidRPr="00A442CC">
              <w:t>(1)</w:t>
            </w:r>
            <w:r w:rsidRPr="00A442CC">
              <w:tab/>
            </w:r>
            <w:r w:rsidRPr="00CF4DD4">
              <w:t xml:space="preserve">The large packaging </w:t>
            </w:r>
            <w:r w:rsidRPr="0097768D">
              <w:rPr>
                <w:highlight w:val="cyan"/>
              </w:rPr>
              <w:t>shall</w:t>
            </w:r>
            <w:r w:rsidRPr="00CF4DD4">
              <w:t xml:space="preserve"> be capable of meeting the following additional performance requirements in case of rapid disassembly, dangerous reaction, production of a flame or a dangerous evolution of heat or a dangerous emission of toxic, corrosive or flammable gases or vapours of the battery</w:t>
            </w:r>
            <w:r w:rsidRPr="00A442CC">
              <w:t>:</w:t>
            </w:r>
          </w:p>
        </w:tc>
      </w:tr>
      <w:tr w:rsidR="00130DE2" w:rsidRPr="00CF4DD4" w:rsidTr="006D7939">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A442CC" w:rsidRDefault="00130DE2" w:rsidP="006D7939">
            <w:pPr>
              <w:spacing w:before="30" w:after="30"/>
              <w:ind w:left="933" w:right="-2" w:hanging="426"/>
            </w:pPr>
            <w:r w:rsidRPr="00A442CC">
              <w:t>(a)</w:t>
            </w:r>
            <w:r w:rsidRPr="00A442CC">
              <w:tab/>
            </w:r>
            <w:r w:rsidRPr="00CF4DD4">
              <w:t>The outside surface temperature of the completed package shall not have a temperature of more than 100 °C. A momentary spike in temperature up to 200°C is acceptable</w:t>
            </w:r>
            <w:r w:rsidRPr="00A442CC">
              <w:t>;</w:t>
            </w:r>
          </w:p>
        </w:tc>
      </w:tr>
      <w:tr w:rsidR="00130DE2" w:rsidRPr="00CF4DD4" w:rsidTr="006D7939">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A442CC" w:rsidRDefault="00130DE2" w:rsidP="006D7939">
            <w:pPr>
              <w:spacing w:before="30" w:after="30"/>
              <w:ind w:left="933" w:right="-2" w:hanging="426"/>
            </w:pPr>
            <w:r w:rsidRPr="00A442CC">
              <w:t xml:space="preserve">(b) </w:t>
            </w:r>
            <w:r w:rsidRPr="00A442CC">
              <w:tab/>
            </w:r>
            <w:r w:rsidRPr="00CF4DD4">
              <w:t>No flame shall occur outside the package</w:t>
            </w:r>
            <w:r w:rsidRPr="00A442CC">
              <w:t>;</w:t>
            </w:r>
          </w:p>
        </w:tc>
      </w:tr>
      <w:tr w:rsidR="00130DE2" w:rsidRPr="00CF4DD4" w:rsidTr="006D7939">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A442CC" w:rsidRDefault="00130DE2" w:rsidP="006D7939">
            <w:pPr>
              <w:spacing w:before="30" w:after="30"/>
              <w:ind w:left="933" w:right="-2" w:hanging="426"/>
            </w:pPr>
            <w:r w:rsidRPr="00A442CC">
              <w:t xml:space="preserve">(c) </w:t>
            </w:r>
            <w:r w:rsidRPr="00A442CC">
              <w:tab/>
            </w:r>
            <w:r w:rsidRPr="00CF4DD4">
              <w:t>No projectiles shall exit the package</w:t>
            </w:r>
            <w:r w:rsidRPr="00A442CC">
              <w:t>;</w:t>
            </w:r>
          </w:p>
        </w:tc>
      </w:tr>
      <w:tr w:rsidR="00130DE2" w:rsidRPr="00CF4DD4" w:rsidTr="006D7939">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A442CC" w:rsidRDefault="00130DE2" w:rsidP="006D7939">
            <w:pPr>
              <w:spacing w:before="30" w:after="30"/>
              <w:ind w:left="933" w:right="-2" w:hanging="426"/>
            </w:pPr>
            <w:r w:rsidRPr="00A442CC">
              <w:t xml:space="preserve">(d) </w:t>
            </w:r>
            <w:r w:rsidRPr="00A442CC">
              <w:tab/>
            </w:r>
            <w:r w:rsidRPr="00CF4DD4">
              <w:t>The structural integrity of the package shall be maintained; and</w:t>
            </w:r>
          </w:p>
        </w:tc>
      </w:tr>
      <w:tr w:rsidR="00130DE2" w:rsidRPr="00CF4DD4" w:rsidTr="006D7939">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A442CC" w:rsidRDefault="00130DE2" w:rsidP="006D7939">
            <w:pPr>
              <w:spacing w:before="30" w:after="30"/>
              <w:ind w:left="933" w:right="-2" w:hanging="426"/>
            </w:pPr>
            <w:r w:rsidRPr="00A442CC">
              <w:t xml:space="preserve">(e) </w:t>
            </w:r>
            <w:r w:rsidRPr="00A442CC">
              <w:tab/>
            </w:r>
            <w:r w:rsidRPr="00CF4DD4">
              <w:t xml:space="preserve">The large </w:t>
            </w:r>
            <w:proofErr w:type="spellStart"/>
            <w:r w:rsidRPr="00CF4DD4">
              <w:t>packagings</w:t>
            </w:r>
            <w:proofErr w:type="spellEnd"/>
            <w:r w:rsidRPr="00CF4DD4">
              <w:t xml:space="preserve"> shall have a gas management system (e.g. filter system, air circulation, containment for gas, gas tight packaging etc.), as appropriate</w:t>
            </w:r>
            <w:r w:rsidRPr="00A442CC">
              <w:t>.</w:t>
            </w:r>
          </w:p>
        </w:tc>
      </w:tr>
      <w:tr w:rsidR="00130DE2" w:rsidRPr="00CF4DD4" w:rsidTr="006D7939">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A442CC" w:rsidRDefault="00130DE2" w:rsidP="006D7939">
            <w:pPr>
              <w:tabs>
                <w:tab w:val="left" w:pos="513"/>
                <w:tab w:val="left" w:pos="1418"/>
                <w:tab w:val="left" w:pos="1985"/>
                <w:tab w:val="left" w:pos="2552"/>
                <w:tab w:val="left" w:pos="3119"/>
                <w:tab w:val="left" w:pos="3686"/>
                <w:tab w:val="left" w:pos="4253"/>
                <w:tab w:val="left" w:pos="4820"/>
              </w:tabs>
              <w:spacing w:before="30" w:after="30"/>
              <w:ind w:left="513" w:right="-2" w:hanging="513"/>
            </w:pPr>
            <w:r w:rsidRPr="00A442CC">
              <w:t xml:space="preserve">(2) </w:t>
            </w:r>
            <w:r w:rsidRPr="00A442CC">
              <w:tab/>
            </w:r>
            <w:r w:rsidRPr="00CF4DD4">
              <w:t>The additional large packaging performance requirements shall be verified by a test as specified by the competent authority</w:t>
            </w:r>
            <w:r w:rsidRPr="00A442CC">
              <w:rPr>
                <w:b/>
                <w:vertAlign w:val="superscript"/>
              </w:rPr>
              <w:t xml:space="preserve"> a</w:t>
            </w:r>
            <w:r w:rsidRPr="00A442CC">
              <w:t xml:space="preserve">. </w:t>
            </w:r>
          </w:p>
        </w:tc>
      </w:tr>
      <w:tr w:rsidR="00130DE2" w:rsidRPr="00CF4DD4" w:rsidTr="006D7939">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A442CC" w:rsidRDefault="00130DE2" w:rsidP="006D7939">
            <w:pPr>
              <w:tabs>
                <w:tab w:val="left" w:pos="513"/>
                <w:tab w:val="left" w:pos="1418"/>
                <w:tab w:val="left" w:pos="1985"/>
                <w:tab w:val="left" w:pos="2552"/>
                <w:tab w:val="left" w:pos="3119"/>
                <w:tab w:val="left" w:pos="3686"/>
                <w:tab w:val="left" w:pos="4253"/>
                <w:tab w:val="left" w:pos="4820"/>
              </w:tabs>
              <w:spacing w:before="30" w:after="30"/>
              <w:ind w:left="513" w:right="-2" w:hanging="513"/>
            </w:pPr>
            <w:r w:rsidRPr="00A442CC">
              <w:tab/>
            </w:r>
            <w:r w:rsidRPr="00CF4DD4">
              <w:t xml:space="preserve">A verification report shall be available on request. As a minimum requirement, the battery name, the battery </w:t>
            </w:r>
            <w:r w:rsidRPr="00CF4DD4">
              <w:lastRenderedPageBreak/>
              <w:t>number, the mass, type, energy content of the batteries, the large packaging identification and the test data according to the verification method as specified by the competent authority shall be listed in the verification report.</w:t>
            </w:r>
          </w:p>
        </w:tc>
      </w:tr>
      <w:tr w:rsidR="00130DE2" w:rsidRPr="00CF4DD4" w:rsidTr="006D7939">
        <w:tc>
          <w:tcPr>
            <w:tcW w:w="9645" w:type="dxa"/>
            <w:gridSpan w:val="3"/>
            <w:tcBorders>
              <w:top w:val="nil"/>
              <w:left w:val="single" w:sz="4" w:space="0" w:color="auto"/>
              <w:bottom w:val="nil"/>
              <w:right w:val="single" w:sz="4" w:space="0" w:color="auto"/>
            </w:tcBorders>
            <w:tcMar>
              <w:top w:w="0" w:type="dxa"/>
              <w:left w:w="57" w:type="dxa"/>
              <w:bottom w:w="0" w:type="dxa"/>
              <w:right w:w="57" w:type="dxa"/>
            </w:tcMar>
          </w:tcPr>
          <w:p w:rsidR="00130DE2" w:rsidRPr="00A442CC" w:rsidRDefault="00130DE2" w:rsidP="006D7939">
            <w:pPr>
              <w:tabs>
                <w:tab w:val="left" w:pos="513"/>
                <w:tab w:val="left" w:pos="1418"/>
                <w:tab w:val="left" w:pos="1985"/>
                <w:tab w:val="left" w:pos="2552"/>
                <w:tab w:val="left" w:pos="3119"/>
                <w:tab w:val="left" w:pos="3686"/>
                <w:tab w:val="left" w:pos="4253"/>
                <w:tab w:val="left" w:pos="4820"/>
              </w:tabs>
              <w:spacing w:before="30" w:after="30"/>
              <w:ind w:left="513" w:right="-2" w:hanging="513"/>
            </w:pPr>
            <w:r w:rsidRPr="00A442CC">
              <w:lastRenderedPageBreak/>
              <w:t xml:space="preserve">(3) </w:t>
            </w:r>
            <w:r w:rsidRPr="00A442CC">
              <w:tab/>
            </w:r>
            <w:r w:rsidRPr="00CF4DD4">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r w:rsidRPr="00A442CC">
              <w:t>.</w:t>
            </w:r>
          </w:p>
        </w:tc>
      </w:tr>
      <w:tr w:rsidR="00130DE2" w:rsidRPr="00CF4DD4" w:rsidTr="006D7939">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hideMark/>
          </w:tcPr>
          <w:p w:rsidR="00130DE2" w:rsidRPr="00CF4DD4" w:rsidRDefault="00130DE2" w:rsidP="006D7939">
            <w:pPr>
              <w:tabs>
                <w:tab w:val="left" w:pos="1418"/>
                <w:tab w:val="left" w:pos="1985"/>
                <w:tab w:val="left" w:pos="2552"/>
                <w:tab w:val="left" w:pos="3119"/>
                <w:tab w:val="left" w:pos="3686"/>
                <w:tab w:val="left" w:pos="4253"/>
                <w:tab w:val="left" w:pos="4820"/>
              </w:tabs>
              <w:spacing w:before="60" w:after="60"/>
              <w:ind w:right="-2"/>
              <w:rPr>
                <w:b/>
                <w:iCs/>
                <w:lang w:val="fr-FR"/>
              </w:rPr>
            </w:pPr>
            <w:r w:rsidRPr="00CF4DD4">
              <w:rPr>
                <w:b/>
                <w:iCs/>
              </w:rPr>
              <w:t>Additional requirement</w:t>
            </w:r>
            <w:r w:rsidRPr="00CF4DD4">
              <w:rPr>
                <w:b/>
                <w:iCs/>
                <w:lang w:val="fr-FR"/>
              </w:rPr>
              <w:t>:</w:t>
            </w:r>
          </w:p>
        </w:tc>
      </w:tr>
      <w:tr w:rsidR="00130DE2" w:rsidRPr="00CF4DD4" w:rsidTr="006D7939">
        <w:tc>
          <w:tcPr>
            <w:tcW w:w="9645" w:type="dxa"/>
            <w:gridSpan w:val="3"/>
            <w:tcBorders>
              <w:top w:val="nil"/>
              <w:left w:val="single" w:sz="4" w:space="0" w:color="auto"/>
              <w:bottom w:val="single" w:sz="4" w:space="0" w:color="auto"/>
              <w:right w:val="single" w:sz="4" w:space="0" w:color="auto"/>
            </w:tcBorders>
            <w:tcMar>
              <w:top w:w="0" w:type="dxa"/>
              <w:left w:w="57" w:type="dxa"/>
              <w:bottom w:w="0" w:type="dxa"/>
              <w:right w:w="57" w:type="dxa"/>
            </w:tcMar>
            <w:hideMark/>
          </w:tcPr>
          <w:p w:rsidR="00130DE2" w:rsidRPr="00A442CC" w:rsidRDefault="00130DE2" w:rsidP="006D7939">
            <w:pPr>
              <w:tabs>
                <w:tab w:val="left" w:pos="1418"/>
                <w:tab w:val="left" w:pos="1985"/>
                <w:tab w:val="left" w:pos="2552"/>
                <w:tab w:val="left" w:pos="3119"/>
                <w:tab w:val="left" w:pos="3686"/>
                <w:tab w:val="left" w:pos="4253"/>
                <w:tab w:val="left" w:pos="4820"/>
              </w:tabs>
              <w:spacing w:before="60" w:after="60"/>
              <w:ind w:right="-2"/>
              <w:rPr>
                <w:iCs/>
              </w:rPr>
            </w:pPr>
            <w:r w:rsidRPr="00CF4DD4">
              <w:rPr>
                <w:iCs/>
              </w:rPr>
              <w:t>Batteries shall be protected against short circuit.</w:t>
            </w:r>
          </w:p>
        </w:tc>
      </w:tr>
      <w:tr w:rsidR="00130DE2" w:rsidRPr="00CF4DD4" w:rsidTr="006D7939">
        <w:tc>
          <w:tcPr>
            <w:tcW w:w="9645" w:type="dxa"/>
            <w:gridSpan w:val="3"/>
            <w:tcBorders>
              <w:top w:val="single" w:sz="4" w:space="0" w:color="auto"/>
              <w:left w:val="single" w:sz="4" w:space="0" w:color="auto"/>
              <w:right w:val="single" w:sz="4" w:space="0" w:color="auto"/>
            </w:tcBorders>
            <w:tcMar>
              <w:top w:w="0" w:type="dxa"/>
              <w:left w:w="57" w:type="dxa"/>
              <w:bottom w:w="0" w:type="dxa"/>
              <w:right w:w="57" w:type="dxa"/>
            </w:tcMar>
          </w:tcPr>
          <w:p w:rsidR="00130DE2" w:rsidRPr="00C101B4" w:rsidRDefault="00130DE2" w:rsidP="006D7939">
            <w:pPr>
              <w:tabs>
                <w:tab w:val="left" w:pos="366"/>
                <w:tab w:val="left" w:pos="1985"/>
                <w:tab w:val="left" w:pos="2552"/>
                <w:tab w:val="left" w:pos="3119"/>
                <w:tab w:val="left" w:pos="3686"/>
                <w:tab w:val="left" w:pos="4253"/>
                <w:tab w:val="left" w:pos="4820"/>
              </w:tabs>
              <w:spacing w:before="60" w:after="60"/>
              <w:ind w:right="-2"/>
            </w:pPr>
            <w:proofErr w:type="spellStart"/>
            <w:r w:rsidRPr="0097768D">
              <w:rPr>
                <w:b/>
                <w:vertAlign w:val="superscript"/>
              </w:rPr>
              <w:t>a</w:t>
            </w:r>
            <w:proofErr w:type="spellEnd"/>
            <w:r w:rsidRPr="00C101B4">
              <w:tab/>
            </w:r>
            <w:r w:rsidRPr="00C101B4">
              <w:rPr>
                <w:i/>
              </w:rPr>
              <w:t>The following criteria, as relevant, may be considered to assess the performance of the large packaging</w:t>
            </w:r>
            <w:r w:rsidRPr="00C101B4">
              <w:t>:</w:t>
            </w:r>
          </w:p>
        </w:tc>
      </w:tr>
      <w:tr w:rsidR="00130DE2" w:rsidRPr="00CF4DD4" w:rsidTr="006D7939">
        <w:tc>
          <w:tcPr>
            <w:tcW w:w="9645" w:type="dxa"/>
            <w:gridSpan w:val="3"/>
            <w:tcBorders>
              <w:left w:val="single" w:sz="4" w:space="0" w:color="auto"/>
              <w:right w:val="single" w:sz="4" w:space="0" w:color="auto"/>
            </w:tcBorders>
            <w:tcMar>
              <w:top w:w="0" w:type="dxa"/>
              <w:left w:w="57" w:type="dxa"/>
              <w:bottom w:w="0" w:type="dxa"/>
              <w:right w:w="57" w:type="dxa"/>
            </w:tcMar>
          </w:tcPr>
          <w:p w:rsidR="00130DE2" w:rsidRPr="00C101B4" w:rsidRDefault="00130DE2" w:rsidP="006D7939">
            <w:pPr>
              <w:tabs>
                <w:tab w:val="left" w:pos="366"/>
                <w:tab w:val="left" w:pos="791"/>
                <w:tab w:val="left" w:pos="2552"/>
                <w:tab w:val="left" w:pos="3119"/>
                <w:tab w:val="left" w:pos="3686"/>
                <w:tab w:val="left" w:pos="4253"/>
                <w:tab w:val="left" w:pos="4820"/>
              </w:tabs>
              <w:spacing w:before="60" w:after="60"/>
              <w:ind w:left="366" w:right="-2" w:hanging="426"/>
              <w:rPr>
                <w:b/>
                <w:i/>
                <w:vertAlign w:val="superscript"/>
              </w:rPr>
            </w:pPr>
            <w:r w:rsidRPr="00C101B4">
              <w:rPr>
                <w:i/>
              </w:rPr>
              <w:tab/>
              <w:t xml:space="preserve">(a) </w:t>
            </w:r>
            <w:r w:rsidRPr="00C101B4">
              <w:rPr>
                <w:i/>
              </w:rPr>
              <w:tab/>
              <w:t>The assessment shall be done under a quality management system (as described e.g. in section 2.9.4.</w:t>
            </w:r>
            <w:r w:rsidRPr="0097768D">
              <w:rPr>
                <w:i/>
              </w:rPr>
              <w:t>5</w:t>
            </w:r>
            <w:r w:rsidRPr="00C101B4">
              <w:rPr>
                <w:i/>
              </w:rPr>
              <w:t>) allowing for the traceability of tests results, reference data and characterization models used;</w:t>
            </w:r>
          </w:p>
        </w:tc>
      </w:tr>
      <w:tr w:rsidR="00130DE2" w:rsidRPr="00CF4DD4" w:rsidTr="006D7939">
        <w:tc>
          <w:tcPr>
            <w:tcW w:w="9645" w:type="dxa"/>
            <w:gridSpan w:val="3"/>
            <w:tcBorders>
              <w:left w:val="single" w:sz="4" w:space="0" w:color="auto"/>
              <w:right w:val="single" w:sz="4" w:space="0" w:color="auto"/>
            </w:tcBorders>
            <w:tcMar>
              <w:top w:w="0" w:type="dxa"/>
              <w:left w:w="57" w:type="dxa"/>
              <w:bottom w:w="0" w:type="dxa"/>
              <w:right w:w="57" w:type="dxa"/>
            </w:tcMar>
          </w:tcPr>
          <w:p w:rsidR="00130DE2" w:rsidRPr="00C101B4" w:rsidRDefault="00130DE2" w:rsidP="006D7939">
            <w:pPr>
              <w:tabs>
                <w:tab w:val="left" w:pos="366"/>
                <w:tab w:val="left" w:pos="791"/>
                <w:tab w:val="left" w:pos="2552"/>
                <w:tab w:val="left" w:pos="3119"/>
                <w:tab w:val="left" w:pos="3686"/>
                <w:tab w:val="left" w:pos="4253"/>
                <w:tab w:val="left" w:pos="4820"/>
              </w:tabs>
              <w:spacing w:before="60" w:after="60"/>
              <w:ind w:left="366" w:right="-2" w:hanging="426"/>
              <w:rPr>
                <w:i/>
              </w:rPr>
            </w:pPr>
            <w:r w:rsidRPr="00C101B4">
              <w:rPr>
                <w:i/>
              </w:rPr>
              <w:tab/>
              <w:t xml:space="preserve">(b) </w:t>
            </w:r>
            <w:r w:rsidRPr="00C101B4">
              <w:rPr>
                <w:i/>
              </w:rPr>
              <w:tab/>
              <w:t xml:space="preserve">The list of hazards expected in case of thermal runaway for the battery type, in the condition it is transported (e.g. usage of an inner packaging, state of charge (SOC), use of sufficient </w:t>
            </w:r>
            <w:r w:rsidRPr="006A3DB1">
              <w:rPr>
                <w:i/>
              </w:rPr>
              <w:t>non</w:t>
            </w:r>
            <w:r w:rsidRPr="006A3DB1">
              <w:rPr>
                <w:i/>
              </w:rPr>
              <w:noBreakHyphen/>
              <w:t xml:space="preserve">combustible, electrically non-conductive and absorbent cushioning material etc.), shall be clearly identified and quantified; the reference list of possible hazards for lithium batteries (rapidly disassemble, dangerously react, produce a flame or a dangerous evolution of heat or a dangerous emission of toxic, corrosive or flammable gases or vapours) can be used for this purpose. The quantification of </w:t>
            </w:r>
            <w:r w:rsidRPr="006A3DB1">
              <w:rPr>
                <w:i/>
                <w:highlight w:val="cyan"/>
              </w:rPr>
              <w:t>these</w:t>
            </w:r>
            <w:r w:rsidRPr="006A3DB1">
              <w:rPr>
                <w:i/>
              </w:rPr>
              <w:t xml:space="preserve"> hazards shall rely on available scientific literature;</w:t>
            </w:r>
          </w:p>
        </w:tc>
      </w:tr>
      <w:tr w:rsidR="00130DE2" w:rsidRPr="00CF4DD4" w:rsidTr="006D7939">
        <w:tc>
          <w:tcPr>
            <w:tcW w:w="9645" w:type="dxa"/>
            <w:gridSpan w:val="3"/>
            <w:tcBorders>
              <w:left w:val="single" w:sz="4" w:space="0" w:color="auto"/>
              <w:right w:val="single" w:sz="4" w:space="0" w:color="auto"/>
            </w:tcBorders>
            <w:tcMar>
              <w:top w:w="0" w:type="dxa"/>
              <w:left w:w="57" w:type="dxa"/>
              <w:bottom w:w="0" w:type="dxa"/>
              <w:right w:w="57" w:type="dxa"/>
            </w:tcMar>
          </w:tcPr>
          <w:p w:rsidR="00130DE2" w:rsidRPr="00A442CC" w:rsidRDefault="00130DE2" w:rsidP="006D7939">
            <w:pPr>
              <w:tabs>
                <w:tab w:val="left" w:pos="366"/>
                <w:tab w:val="left" w:pos="791"/>
                <w:tab w:val="left" w:pos="2552"/>
                <w:tab w:val="left" w:pos="3119"/>
                <w:tab w:val="left" w:pos="3686"/>
                <w:tab w:val="left" w:pos="4253"/>
                <w:tab w:val="left" w:pos="4820"/>
              </w:tabs>
              <w:spacing w:before="60" w:after="60"/>
              <w:ind w:left="366" w:right="-2" w:hanging="426"/>
              <w:rPr>
                <w:i/>
              </w:rPr>
            </w:pPr>
            <w:r w:rsidRPr="00A442CC">
              <w:rPr>
                <w:i/>
              </w:rPr>
              <w:tab/>
              <w:t xml:space="preserve">(c) </w:t>
            </w:r>
            <w:r w:rsidRPr="00A442CC">
              <w:rPr>
                <w:i/>
              </w:rPr>
              <w:tab/>
            </w:r>
            <w:r w:rsidRPr="00CF4DD4">
              <w:rPr>
                <w:i/>
              </w:rPr>
              <w:t xml:space="preserve">The </w:t>
            </w:r>
            <w:r w:rsidRPr="0097768D">
              <w:rPr>
                <w:i/>
                <w:highlight w:val="cyan"/>
              </w:rPr>
              <w:t>mitigating</w:t>
            </w:r>
            <w:r w:rsidRPr="00CF4DD4">
              <w:rPr>
                <w:i/>
              </w:rPr>
              <w:t xml:space="preserve"> effects of the large packaging shall be identified and characterized, based on the nature of the protections provided and the construction material properties. A list of technical characteristics and drawings shall be used to support this assessment (Density [kg·m³], specific heat capacity [J·kg</w:t>
            </w:r>
            <w:r w:rsidRPr="00CF4DD4">
              <w:rPr>
                <w:i/>
                <w:vertAlign w:val="superscript"/>
              </w:rPr>
              <w:t>-1</w:t>
            </w:r>
            <w:r w:rsidRPr="00CF4DD4">
              <w:rPr>
                <w:i/>
              </w:rPr>
              <w:t>·K</w:t>
            </w:r>
            <w:r w:rsidRPr="00CF4DD4">
              <w:rPr>
                <w:i/>
                <w:vertAlign w:val="superscript"/>
              </w:rPr>
              <w:t>-1</w:t>
            </w:r>
            <w:r w:rsidRPr="00CF4DD4">
              <w:rPr>
                <w:i/>
              </w:rPr>
              <w:t>], heating value [kJ·kg</w:t>
            </w:r>
            <w:r w:rsidRPr="00CF4DD4">
              <w:rPr>
                <w:i/>
                <w:vertAlign w:val="superscript"/>
              </w:rPr>
              <w:t>-1</w:t>
            </w:r>
            <w:r w:rsidRPr="00CF4DD4">
              <w:rPr>
                <w:i/>
              </w:rPr>
              <w:t>], thermal conductivity [W·m</w:t>
            </w:r>
            <w:r w:rsidRPr="00CF4DD4">
              <w:rPr>
                <w:i/>
                <w:vertAlign w:val="superscript"/>
              </w:rPr>
              <w:t>1</w:t>
            </w:r>
            <w:r w:rsidRPr="00CF4DD4">
              <w:rPr>
                <w:i/>
              </w:rPr>
              <w:t>·K</w:t>
            </w:r>
            <w:r w:rsidRPr="00CF4DD4">
              <w:rPr>
                <w:i/>
                <w:vertAlign w:val="superscript"/>
              </w:rPr>
              <w:t>1</w:t>
            </w:r>
            <w:r w:rsidRPr="00CF4DD4">
              <w:rPr>
                <w:i/>
              </w:rPr>
              <w:t>], melting temperature and flammability temperature [K], heat transfer coefficient of the outer packaging [W·m</w:t>
            </w:r>
            <w:r w:rsidRPr="00CF4DD4">
              <w:rPr>
                <w:i/>
                <w:vertAlign w:val="superscript"/>
              </w:rPr>
              <w:t>-2</w:t>
            </w:r>
            <w:r w:rsidRPr="00CF4DD4">
              <w:rPr>
                <w:i/>
              </w:rPr>
              <w:t>·K</w:t>
            </w:r>
            <w:r w:rsidRPr="00CF4DD4">
              <w:rPr>
                <w:i/>
                <w:vertAlign w:val="superscript"/>
              </w:rPr>
              <w:t>-1</w:t>
            </w:r>
            <w:r w:rsidRPr="00CF4DD4">
              <w:rPr>
                <w:i/>
              </w:rPr>
              <w:t>], …)</w:t>
            </w:r>
            <w:r w:rsidRPr="00A442CC">
              <w:rPr>
                <w:i/>
              </w:rPr>
              <w:t>;</w:t>
            </w:r>
          </w:p>
        </w:tc>
      </w:tr>
      <w:tr w:rsidR="00130DE2" w:rsidRPr="00CF4DD4" w:rsidTr="006D7939">
        <w:tc>
          <w:tcPr>
            <w:tcW w:w="9645" w:type="dxa"/>
            <w:gridSpan w:val="3"/>
            <w:tcBorders>
              <w:left w:val="single" w:sz="4" w:space="0" w:color="auto"/>
              <w:right w:val="single" w:sz="4" w:space="0" w:color="auto"/>
            </w:tcBorders>
            <w:tcMar>
              <w:top w:w="0" w:type="dxa"/>
              <w:left w:w="57" w:type="dxa"/>
              <w:bottom w:w="0" w:type="dxa"/>
              <w:right w:w="57" w:type="dxa"/>
            </w:tcMar>
          </w:tcPr>
          <w:p w:rsidR="00130DE2" w:rsidRPr="00A442CC" w:rsidRDefault="00130DE2" w:rsidP="006D7939">
            <w:pPr>
              <w:tabs>
                <w:tab w:val="left" w:pos="366"/>
                <w:tab w:val="left" w:pos="791"/>
                <w:tab w:val="left" w:pos="2552"/>
                <w:tab w:val="left" w:pos="3119"/>
                <w:tab w:val="left" w:pos="3686"/>
                <w:tab w:val="left" w:pos="4253"/>
                <w:tab w:val="left" w:pos="4820"/>
              </w:tabs>
              <w:spacing w:before="60" w:after="60"/>
              <w:ind w:left="366" w:right="-2" w:hanging="426"/>
              <w:rPr>
                <w:i/>
              </w:rPr>
            </w:pPr>
            <w:r w:rsidRPr="00A442CC">
              <w:rPr>
                <w:i/>
              </w:rPr>
              <w:tab/>
              <w:t xml:space="preserve">(d) </w:t>
            </w:r>
            <w:r w:rsidRPr="00A442CC">
              <w:rPr>
                <w:i/>
              </w:rPr>
              <w:tab/>
            </w:r>
            <w:r w:rsidRPr="00CF4DD4">
              <w:rPr>
                <w:i/>
              </w:rPr>
              <w:t>The test and any supporting calculations shall assess the result of a thermal run-away of the battery inside the large packaging in the normal conditions of transport</w:t>
            </w:r>
            <w:r w:rsidRPr="00A442CC">
              <w:rPr>
                <w:i/>
              </w:rPr>
              <w:t>;</w:t>
            </w:r>
          </w:p>
        </w:tc>
      </w:tr>
      <w:tr w:rsidR="00130DE2" w:rsidRPr="00CF4DD4" w:rsidTr="006D7939">
        <w:tc>
          <w:tcPr>
            <w:tcW w:w="9645" w:type="dxa"/>
            <w:gridSpan w:val="3"/>
            <w:tcBorders>
              <w:left w:val="single" w:sz="4" w:space="0" w:color="auto"/>
              <w:right w:val="single" w:sz="4" w:space="0" w:color="auto"/>
            </w:tcBorders>
            <w:tcMar>
              <w:top w:w="0" w:type="dxa"/>
              <w:left w:w="57" w:type="dxa"/>
              <w:bottom w:w="0" w:type="dxa"/>
              <w:right w:w="57" w:type="dxa"/>
            </w:tcMar>
          </w:tcPr>
          <w:p w:rsidR="00130DE2" w:rsidRPr="00A442CC" w:rsidRDefault="00130DE2" w:rsidP="006D7939">
            <w:pPr>
              <w:tabs>
                <w:tab w:val="left" w:pos="366"/>
                <w:tab w:val="left" w:pos="791"/>
                <w:tab w:val="left" w:pos="2552"/>
                <w:tab w:val="left" w:pos="3119"/>
                <w:tab w:val="left" w:pos="3686"/>
                <w:tab w:val="left" w:pos="4253"/>
                <w:tab w:val="left" w:pos="4820"/>
              </w:tabs>
              <w:spacing w:before="60" w:after="60"/>
              <w:ind w:left="366" w:right="-2" w:hanging="426"/>
              <w:rPr>
                <w:i/>
              </w:rPr>
            </w:pPr>
            <w:r w:rsidRPr="00A442CC">
              <w:rPr>
                <w:i/>
              </w:rPr>
              <w:tab/>
              <w:t xml:space="preserve">(e) </w:t>
            </w:r>
            <w:r w:rsidRPr="00A442CC">
              <w:rPr>
                <w:i/>
              </w:rPr>
              <w:tab/>
            </w:r>
            <w:r w:rsidRPr="00CF4DD4">
              <w:rPr>
                <w:i/>
              </w:rPr>
              <w:t xml:space="preserve">In case the SOC of the battery is not known, the assessment used shall be done with the </w:t>
            </w:r>
            <w:r w:rsidRPr="0097768D">
              <w:rPr>
                <w:i/>
                <w:highlight w:val="cyan"/>
              </w:rPr>
              <w:t>highest</w:t>
            </w:r>
            <w:r w:rsidRPr="00CF4DD4">
              <w:rPr>
                <w:i/>
              </w:rPr>
              <w:t xml:space="preserve"> possible SOC corresponding to the battery use conditions</w:t>
            </w:r>
            <w:r w:rsidRPr="00A442CC">
              <w:rPr>
                <w:i/>
              </w:rPr>
              <w:t>;</w:t>
            </w:r>
          </w:p>
        </w:tc>
      </w:tr>
      <w:tr w:rsidR="00130DE2" w:rsidRPr="00CF4DD4" w:rsidTr="006D7939">
        <w:tc>
          <w:tcPr>
            <w:tcW w:w="9645" w:type="dxa"/>
            <w:gridSpan w:val="3"/>
            <w:tcBorders>
              <w:left w:val="single" w:sz="4" w:space="0" w:color="auto"/>
              <w:right w:val="single" w:sz="4" w:space="0" w:color="auto"/>
            </w:tcBorders>
            <w:tcMar>
              <w:top w:w="0" w:type="dxa"/>
              <w:left w:w="57" w:type="dxa"/>
              <w:bottom w:w="0" w:type="dxa"/>
              <w:right w:w="57" w:type="dxa"/>
            </w:tcMar>
          </w:tcPr>
          <w:p w:rsidR="00130DE2" w:rsidRPr="00A442CC" w:rsidRDefault="00130DE2" w:rsidP="006D7939">
            <w:pPr>
              <w:tabs>
                <w:tab w:val="left" w:pos="366"/>
                <w:tab w:val="left" w:pos="791"/>
                <w:tab w:val="left" w:pos="2552"/>
                <w:tab w:val="left" w:pos="3119"/>
                <w:tab w:val="left" w:pos="3686"/>
                <w:tab w:val="left" w:pos="4253"/>
                <w:tab w:val="left" w:pos="4820"/>
              </w:tabs>
              <w:spacing w:before="60" w:after="60"/>
              <w:ind w:left="366" w:right="-2" w:hanging="426"/>
              <w:rPr>
                <w:i/>
              </w:rPr>
            </w:pPr>
            <w:r w:rsidRPr="00A442CC">
              <w:rPr>
                <w:i/>
              </w:rPr>
              <w:tab/>
              <w:t xml:space="preserve">(f) </w:t>
            </w:r>
            <w:r w:rsidRPr="00A442CC">
              <w:rPr>
                <w:i/>
              </w:rPr>
              <w:tab/>
            </w:r>
            <w:r w:rsidRPr="00CF4DD4">
              <w:rPr>
                <w:i/>
              </w:rPr>
              <w:t>The surrounding conditions in which the large packaging may be used</w:t>
            </w:r>
            <w:r w:rsidRPr="00CF4DD4">
              <w:rPr>
                <w:i/>
                <w:color w:val="FF0000"/>
              </w:rPr>
              <w:t xml:space="preserve"> </w:t>
            </w:r>
            <w:r w:rsidRPr="00CF4DD4">
              <w:rPr>
                <w:i/>
              </w:rPr>
              <w:t xml:space="preserve">and transported shall be described (including for possible consequences of gas or smoke emissions on the environment, such as ventilation or other methods) according to the gas management system of the </w:t>
            </w:r>
            <w:r w:rsidRPr="0097768D">
              <w:rPr>
                <w:i/>
                <w:highlight w:val="cyan"/>
              </w:rPr>
              <w:t>large</w:t>
            </w:r>
            <w:r>
              <w:rPr>
                <w:i/>
              </w:rPr>
              <w:t xml:space="preserve"> </w:t>
            </w:r>
            <w:r w:rsidRPr="00CF4DD4">
              <w:rPr>
                <w:i/>
              </w:rPr>
              <w:t>packaging</w:t>
            </w:r>
            <w:r w:rsidRPr="00A442CC">
              <w:rPr>
                <w:i/>
              </w:rPr>
              <w:t>;</w:t>
            </w:r>
          </w:p>
        </w:tc>
      </w:tr>
      <w:tr w:rsidR="00130DE2" w:rsidRPr="00CF4DD4" w:rsidTr="006D7939">
        <w:tc>
          <w:tcPr>
            <w:tcW w:w="9645" w:type="dxa"/>
            <w:gridSpan w:val="3"/>
            <w:tcBorders>
              <w:left w:val="single" w:sz="4" w:space="0" w:color="auto"/>
              <w:right w:val="single" w:sz="4" w:space="0" w:color="auto"/>
            </w:tcBorders>
            <w:tcMar>
              <w:top w:w="0" w:type="dxa"/>
              <w:left w:w="57" w:type="dxa"/>
              <w:bottom w:w="0" w:type="dxa"/>
              <w:right w:w="57" w:type="dxa"/>
            </w:tcMar>
          </w:tcPr>
          <w:p w:rsidR="00130DE2" w:rsidRPr="00A442CC" w:rsidRDefault="00130DE2" w:rsidP="006D7939">
            <w:pPr>
              <w:tabs>
                <w:tab w:val="left" w:pos="366"/>
                <w:tab w:val="left" w:pos="791"/>
                <w:tab w:val="left" w:pos="2552"/>
                <w:tab w:val="left" w:pos="3119"/>
                <w:tab w:val="left" w:pos="3686"/>
                <w:tab w:val="left" w:pos="4253"/>
                <w:tab w:val="left" w:pos="4820"/>
              </w:tabs>
              <w:spacing w:before="60" w:after="60"/>
              <w:ind w:left="366" w:right="-2" w:hanging="426"/>
              <w:rPr>
                <w:i/>
              </w:rPr>
            </w:pPr>
            <w:r w:rsidRPr="00A442CC">
              <w:rPr>
                <w:i/>
              </w:rPr>
              <w:tab/>
              <w:t xml:space="preserve">(g) </w:t>
            </w:r>
            <w:r w:rsidRPr="00A442CC">
              <w:rPr>
                <w:i/>
              </w:rPr>
              <w:tab/>
            </w:r>
            <w:r w:rsidRPr="00CF4DD4">
              <w:rPr>
                <w:i/>
              </w:rPr>
              <w:t>The tests or the model calculation shall consider the worst case scenario for the thermal runaway triggering and propagation inside the battery: this scenario includes the worst possible failure in the normal transport condition, the maximum heat and flame emissions for the possible propagation of the reaction</w:t>
            </w:r>
            <w:r w:rsidRPr="00A442CC">
              <w:rPr>
                <w:i/>
              </w:rPr>
              <w:t>;</w:t>
            </w:r>
          </w:p>
        </w:tc>
      </w:tr>
      <w:tr w:rsidR="00130DE2" w:rsidRPr="00CF4DD4" w:rsidTr="006D7939">
        <w:tc>
          <w:tcPr>
            <w:tcW w:w="9645" w:type="dxa"/>
            <w:gridSpan w:val="3"/>
            <w:tcBorders>
              <w:left w:val="single" w:sz="4" w:space="0" w:color="auto"/>
              <w:bottom w:val="single" w:sz="4" w:space="0" w:color="auto"/>
              <w:right w:val="single" w:sz="4" w:space="0" w:color="auto"/>
            </w:tcBorders>
            <w:tcMar>
              <w:top w:w="0" w:type="dxa"/>
              <w:left w:w="57" w:type="dxa"/>
              <w:bottom w:w="0" w:type="dxa"/>
              <w:right w:w="57" w:type="dxa"/>
            </w:tcMar>
          </w:tcPr>
          <w:p w:rsidR="00130DE2" w:rsidRPr="0078655F" w:rsidRDefault="00130DE2" w:rsidP="006D7939">
            <w:pPr>
              <w:tabs>
                <w:tab w:val="left" w:pos="791"/>
              </w:tabs>
              <w:spacing w:before="60" w:after="60"/>
              <w:ind w:left="366" w:right="-2" w:hanging="426"/>
              <w:rPr>
                <w:i/>
              </w:rPr>
            </w:pPr>
            <w:r w:rsidRPr="00A442CC">
              <w:rPr>
                <w:i/>
              </w:rPr>
              <w:tab/>
            </w:r>
            <w:r w:rsidRPr="0097768D">
              <w:rPr>
                <w:i/>
                <w:highlight w:val="cyan"/>
              </w:rPr>
              <w:t xml:space="preserve">(h) </w:t>
            </w:r>
            <w:r w:rsidRPr="0097768D">
              <w:rPr>
                <w:i/>
                <w:highlight w:val="cyan"/>
              </w:rPr>
              <w:tab/>
              <w:t>The scenario consequences shall be assessed over a period covering all possible consequences (e.g. 24 hours).</w:t>
            </w:r>
          </w:p>
        </w:tc>
      </w:tr>
    </w:tbl>
    <w:p w:rsidR="00130DE2" w:rsidRPr="00597CEE" w:rsidRDefault="00130DE2" w:rsidP="00130DE2">
      <w:pPr>
        <w:tabs>
          <w:tab w:val="left" w:pos="1276"/>
        </w:tabs>
        <w:ind w:right="-2"/>
        <w:rPr>
          <w:rFonts w:cs="Arial"/>
          <w:szCs w:val="22"/>
          <w:lang w:val="en-US"/>
        </w:rPr>
      </w:pPr>
    </w:p>
    <w:p w:rsidR="00130DE2" w:rsidRPr="006B01DA" w:rsidRDefault="00130DE2" w:rsidP="00130DE2">
      <w:pPr>
        <w:keepNext/>
        <w:keepLines/>
        <w:tabs>
          <w:tab w:val="left" w:pos="1276"/>
        </w:tabs>
        <w:jc w:val="center"/>
        <w:rPr>
          <w:b/>
        </w:rPr>
      </w:pPr>
      <w:r w:rsidRPr="006B01DA">
        <w:rPr>
          <w:b/>
        </w:rPr>
        <w:t>Chapter 5.2</w:t>
      </w:r>
    </w:p>
    <w:p w:rsidR="00130DE2" w:rsidRPr="006B01DA" w:rsidRDefault="00130DE2" w:rsidP="00130DE2">
      <w:pPr>
        <w:keepNext/>
        <w:keepLines/>
        <w:tabs>
          <w:tab w:val="left" w:pos="1276"/>
        </w:tabs>
        <w:jc w:val="center"/>
        <w:rPr>
          <w:b/>
        </w:rPr>
      </w:pPr>
      <w:r w:rsidRPr="006B01DA">
        <w:rPr>
          <w:b/>
        </w:rPr>
        <w:t>Marking and labelling of packages including IBCs</w:t>
      </w:r>
    </w:p>
    <w:p w:rsidR="00130DE2" w:rsidRPr="006B01DA" w:rsidRDefault="00130DE2" w:rsidP="00130DE2">
      <w:pPr>
        <w:keepNext/>
        <w:keepLines/>
        <w:tabs>
          <w:tab w:val="left" w:pos="1276"/>
        </w:tabs>
      </w:pPr>
    </w:p>
    <w:p w:rsidR="00130DE2" w:rsidRPr="006B01DA" w:rsidRDefault="00130DE2" w:rsidP="00130DE2">
      <w:pPr>
        <w:pStyle w:val="SingleTxtG"/>
        <w:tabs>
          <w:tab w:val="left" w:pos="851"/>
          <w:tab w:val="left" w:pos="2127"/>
        </w:tabs>
        <w:spacing w:after="0" w:line="240" w:lineRule="auto"/>
        <w:ind w:left="0" w:right="-2"/>
        <w:rPr>
          <w:b/>
        </w:rPr>
      </w:pPr>
      <w:r w:rsidRPr="006B01DA">
        <w:rPr>
          <w:b/>
        </w:rPr>
        <w:t xml:space="preserve">5.2.2 </w:t>
      </w:r>
      <w:r w:rsidRPr="006B01DA">
        <w:rPr>
          <w:b/>
        </w:rPr>
        <w:tab/>
        <w:t>Labelling of packages including IBCs</w:t>
      </w:r>
    </w:p>
    <w:p w:rsidR="00130DE2" w:rsidRPr="006B01DA" w:rsidRDefault="00130DE2" w:rsidP="00130DE2">
      <w:pPr>
        <w:pStyle w:val="SingleTxtG"/>
        <w:tabs>
          <w:tab w:val="left" w:pos="2127"/>
        </w:tabs>
        <w:spacing w:after="0" w:line="240" w:lineRule="auto"/>
        <w:ind w:left="0" w:right="-2"/>
      </w:pPr>
    </w:p>
    <w:p w:rsidR="00130DE2" w:rsidRPr="006B01DA" w:rsidRDefault="00130DE2" w:rsidP="00130DE2">
      <w:pPr>
        <w:pStyle w:val="SingleTxtG"/>
        <w:tabs>
          <w:tab w:val="left" w:pos="2127"/>
        </w:tabs>
        <w:spacing w:after="0"/>
        <w:ind w:left="0" w:right="-2"/>
      </w:pPr>
      <w:r w:rsidRPr="006B01DA">
        <w:t>Add the following new subsection 5.2.2.1.13:</w:t>
      </w:r>
    </w:p>
    <w:p w:rsidR="00130DE2" w:rsidRPr="006B01DA" w:rsidRDefault="00130DE2" w:rsidP="00130DE2">
      <w:pPr>
        <w:pStyle w:val="SingleTxtG"/>
        <w:tabs>
          <w:tab w:val="left" w:pos="2127"/>
        </w:tabs>
        <w:spacing w:after="0" w:line="240" w:lineRule="auto"/>
        <w:ind w:left="0" w:right="0"/>
      </w:pPr>
    </w:p>
    <w:p w:rsidR="00130DE2" w:rsidRPr="006B01DA" w:rsidRDefault="00130DE2" w:rsidP="00130DE2">
      <w:pPr>
        <w:pStyle w:val="SingleTxtG"/>
        <w:spacing w:after="0" w:line="240" w:lineRule="auto"/>
        <w:ind w:left="1701" w:right="0" w:hanging="850"/>
        <w:rPr>
          <w:spacing w:val="-2"/>
        </w:rPr>
      </w:pPr>
      <w:r w:rsidRPr="006B01DA">
        <w:rPr>
          <w:spacing w:val="-2"/>
        </w:rPr>
        <w:t>"5.2.2.1.13 Labels for articles containing dangerous goods transported as UN Nos. 3537, 3538, 3539, 3540, 3541, 3542, 3543, 3544, 3545, 3546, 3547 and 3548</w:t>
      </w:r>
    </w:p>
    <w:p w:rsidR="00130DE2" w:rsidRPr="000136F1" w:rsidRDefault="00130DE2" w:rsidP="00130DE2">
      <w:pPr>
        <w:pStyle w:val="SingleTxtG"/>
        <w:tabs>
          <w:tab w:val="left" w:pos="2127"/>
        </w:tabs>
        <w:spacing w:after="0" w:line="240" w:lineRule="auto"/>
        <w:ind w:left="851" w:right="0"/>
        <w:rPr>
          <w:rFonts w:ascii="Arial" w:hAnsi="Arial" w:cs="Arial"/>
          <w:sz w:val="22"/>
          <w:szCs w:val="22"/>
        </w:rPr>
      </w:pPr>
    </w:p>
    <w:p w:rsidR="00130DE2" w:rsidRPr="006B01DA" w:rsidRDefault="00130DE2" w:rsidP="00130DE2">
      <w:pPr>
        <w:pStyle w:val="SingleTxtG"/>
        <w:spacing w:after="0" w:line="240" w:lineRule="auto"/>
        <w:ind w:left="2552" w:right="0" w:hanging="851"/>
        <w:rPr>
          <w:sz w:val="22"/>
          <w:szCs w:val="22"/>
        </w:rPr>
      </w:pPr>
      <w:r w:rsidRPr="006B01DA">
        <w:rPr>
          <w:sz w:val="22"/>
          <w:szCs w:val="22"/>
        </w:rPr>
        <w:lastRenderedPageBreak/>
        <w:t>.1</w:t>
      </w:r>
      <w:r w:rsidRPr="006B01DA">
        <w:rPr>
          <w:sz w:val="22"/>
          <w:szCs w:val="22"/>
        </w:rPr>
        <w:tab/>
      </w:r>
      <w:r w:rsidRPr="006B01DA">
        <w:rPr>
          <w:sz w:val="22"/>
          <w:szCs w:val="22"/>
          <w:highlight w:val="cyan"/>
        </w:rPr>
        <w:t xml:space="preserve">Packages containing articles or articles </w:t>
      </w:r>
      <w:r w:rsidRPr="006B01DA">
        <w:rPr>
          <w:sz w:val="22"/>
          <w:szCs w:val="22"/>
        </w:rPr>
        <w:t>transported unpackaged shall bear labels according to 5.2.2.1.2 reflecting the hazards established according to 2.0.6. If the article contains one or more lithium batteries with, for lithium metal batteries, an aggregate lithium content of 2 g or less, and for lithium ion batteries, a Watt-hour rating of 100Wh or less, the lithium battery mark (5.2.1.10.2) shall be affixed to the package or unpackaged article. If the article contains one or more lithium batteries with, for lithium metal batteries, an aggregate lithium content of more than 2 g and for lithium ion batteries, a Watt-hour rating of more than 100Wh, the lithium battery label (5.2.2.2.2 No. 9A) shall be affixed to the package or unpackaged article.</w:t>
      </w:r>
    </w:p>
    <w:p w:rsidR="00130DE2" w:rsidRPr="006B01DA" w:rsidRDefault="00130DE2" w:rsidP="00130DE2">
      <w:pPr>
        <w:pStyle w:val="SingleTxtG"/>
        <w:tabs>
          <w:tab w:val="left" w:pos="2127"/>
        </w:tabs>
        <w:spacing w:after="0" w:line="240" w:lineRule="auto"/>
        <w:ind w:left="851" w:right="0"/>
        <w:rPr>
          <w:sz w:val="22"/>
          <w:szCs w:val="22"/>
        </w:rPr>
      </w:pPr>
    </w:p>
    <w:p w:rsidR="00130DE2" w:rsidRPr="006B01DA" w:rsidRDefault="00130DE2" w:rsidP="00130DE2">
      <w:pPr>
        <w:pStyle w:val="SingleTxtG"/>
        <w:spacing w:after="0" w:line="240" w:lineRule="auto"/>
        <w:ind w:left="2552" w:right="0" w:hanging="851"/>
        <w:rPr>
          <w:sz w:val="22"/>
          <w:szCs w:val="22"/>
        </w:rPr>
      </w:pPr>
      <w:r w:rsidRPr="006B01DA">
        <w:rPr>
          <w:sz w:val="22"/>
          <w:szCs w:val="22"/>
        </w:rPr>
        <w:t>.2</w:t>
      </w:r>
      <w:r w:rsidRPr="006B01DA">
        <w:rPr>
          <w:sz w:val="22"/>
          <w:szCs w:val="22"/>
        </w:rPr>
        <w:tab/>
      </w:r>
      <w:proofErr w:type="gramStart"/>
      <w:r w:rsidRPr="006B01DA">
        <w:rPr>
          <w:sz w:val="22"/>
          <w:szCs w:val="22"/>
        </w:rPr>
        <w:t>When</w:t>
      </w:r>
      <w:proofErr w:type="gramEnd"/>
      <w:r w:rsidRPr="006B01DA">
        <w:rPr>
          <w:sz w:val="22"/>
          <w:szCs w:val="22"/>
        </w:rPr>
        <w:t xml:space="preserve"> it is required to ensure articles containing liquid dangerous goods remain in their intended orientation, orientation marks meeting 5.2.1.7.1 shall be affixed and visible on at least two opposite vertical sides of the package or of the unpackaged article where possible, with the arrows pointing in the correct upright direction."</w:t>
      </w:r>
    </w:p>
    <w:p w:rsidR="00130DE2" w:rsidRPr="006B01DA" w:rsidRDefault="00130DE2" w:rsidP="00130DE2">
      <w:pPr>
        <w:pStyle w:val="SingleTxtG"/>
        <w:spacing w:after="0" w:line="240" w:lineRule="auto"/>
        <w:ind w:left="2552" w:right="0" w:hanging="851"/>
        <w:rPr>
          <w:sz w:val="22"/>
          <w:szCs w:val="22"/>
        </w:rPr>
      </w:pPr>
    </w:p>
    <w:p w:rsidR="00130DE2" w:rsidRPr="006B01DA" w:rsidRDefault="00130DE2" w:rsidP="00130DE2">
      <w:pPr>
        <w:pStyle w:val="H1G"/>
        <w:spacing w:before="0" w:after="0" w:line="240" w:lineRule="auto"/>
        <w:ind w:left="0" w:right="-2" w:firstLine="0"/>
        <w:jc w:val="center"/>
        <w:rPr>
          <w:sz w:val="20"/>
        </w:rPr>
      </w:pPr>
      <w:r w:rsidRPr="006B01DA">
        <w:rPr>
          <w:sz w:val="20"/>
        </w:rPr>
        <w:t>Chapter 5.3</w:t>
      </w:r>
    </w:p>
    <w:p w:rsidR="00130DE2" w:rsidRPr="006B01DA" w:rsidRDefault="00130DE2" w:rsidP="00130DE2">
      <w:pPr>
        <w:ind w:right="-2"/>
        <w:jc w:val="center"/>
        <w:rPr>
          <w:b/>
        </w:rPr>
      </w:pPr>
      <w:r w:rsidRPr="006B01DA">
        <w:rPr>
          <w:b/>
        </w:rPr>
        <w:t>Placarding and marking of cargo transport units</w:t>
      </w:r>
    </w:p>
    <w:p w:rsidR="00130DE2" w:rsidRPr="006B01DA" w:rsidRDefault="00130DE2" w:rsidP="00130DE2">
      <w:pPr>
        <w:ind w:right="-2"/>
        <w:jc w:val="center"/>
        <w:rPr>
          <w:b/>
        </w:rPr>
      </w:pPr>
    </w:p>
    <w:p w:rsidR="00130DE2" w:rsidRPr="006B01DA" w:rsidRDefault="00130DE2" w:rsidP="00130DE2">
      <w:pPr>
        <w:ind w:right="-2"/>
      </w:pPr>
      <w:r w:rsidRPr="006B01DA">
        <w:t xml:space="preserve">Amend the title of </w:t>
      </w:r>
      <w:bookmarkStart w:id="5" w:name="OLE_LINK3"/>
      <w:bookmarkStart w:id="6" w:name="OLE_LINK4"/>
      <w:r w:rsidRPr="006B01DA">
        <w:t xml:space="preserve">chapter </w:t>
      </w:r>
      <w:bookmarkEnd w:id="5"/>
      <w:bookmarkEnd w:id="6"/>
      <w:r w:rsidRPr="006B01DA">
        <w:t>5.3 to read "Placarding and marking of cargo transport units and bulk containers".</w:t>
      </w:r>
    </w:p>
    <w:p w:rsidR="00130DE2" w:rsidRPr="006B01DA" w:rsidRDefault="00130DE2" w:rsidP="00130DE2">
      <w:pPr>
        <w:ind w:right="-2"/>
      </w:pPr>
    </w:p>
    <w:p w:rsidR="00130DE2" w:rsidRPr="006B01DA" w:rsidRDefault="00130DE2" w:rsidP="00130DE2">
      <w:pPr>
        <w:ind w:right="-2"/>
        <w:rPr>
          <w:b/>
        </w:rPr>
      </w:pPr>
      <w:r w:rsidRPr="006B01DA">
        <w:rPr>
          <w:b/>
        </w:rPr>
        <w:t xml:space="preserve">5.3.1 </w:t>
      </w:r>
      <w:r w:rsidRPr="006B01DA">
        <w:rPr>
          <w:b/>
        </w:rPr>
        <w:tab/>
        <w:t>Placarding</w:t>
      </w:r>
    </w:p>
    <w:p w:rsidR="00130DE2" w:rsidRPr="006B01DA" w:rsidRDefault="00130DE2" w:rsidP="00130DE2">
      <w:pPr>
        <w:ind w:right="-2"/>
      </w:pPr>
    </w:p>
    <w:p w:rsidR="00130DE2" w:rsidRPr="006B01DA" w:rsidRDefault="00130DE2" w:rsidP="00130DE2">
      <w:pPr>
        <w:ind w:right="-2"/>
      </w:pPr>
      <w:proofErr w:type="gramStart"/>
      <w:r w:rsidRPr="006B01DA">
        <w:t>5.3.1.1.1  Replace</w:t>
      </w:r>
      <w:proofErr w:type="gramEnd"/>
      <w:r w:rsidRPr="006B01DA">
        <w:t xml:space="preserve"> the sub-paragraphs .1 to .3 as follows: </w:t>
      </w:r>
    </w:p>
    <w:p w:rsidR="00130DE2" w:rsidRDefault="00130DE2" w:rsidP="00130DE2">
      <w:pPr>
        <w:ind w:right="-2"/>
        <w:rPr>
          <w:rFonts w:cs="Arial"/>
          <w:szCs w:val="22"/>
        </w:rPr>
      </w:pPr>
    </w:p>
    <w:p w:rsidR="00130DE2" w:rsidRDefault="00130DE2" w:rsidP="00130DE2">
      <w:pPr>
        <w:ind w:left="1702" w:right="-2" w:hanging="1702"/>
        <w:rPr>
          <w:rFonts w:cs="Arial"/>
          <w:szCs w:val="22"/>
        </w:rPr>
      </w:pPr>
      <w:r>
        <w:rPr>
          <w:rFonts w:cs="Arial"/>
          <w:szCs w:val="22"/>
        </w:rPr>
        <w:tab/>
        <w:t>".1</w:t>
      </w:r>
      <w:r>
        <w:rPr>
          <w:rFonts w:cs="Arial"/>
          <w:szCs w:val="22"/>
        </w:rPr>
        <w:tab/>
      </w:r>
      <w:r w:rsidRPr="00B264B2">
        <w:rPr>
          <w:rFonts w:cs="Arial"/>
          <w:szCs w:val="22"/>
        </w:rPr>
        <w:t>Enlarged labels (placards) and marks and signs shall be affixed to the exterior surfaces of a cargo</w:t>
      </w:r>
      <w:r>
        <w:rPr>
          <w:rFonts w:cs="Arial"/>
          <w:szCs w:val="22"/>
        </w:rPr>
        <w:t xml:space="preserve"> </w:t>
      </w:r>
      <w:r w:rsidRPr="00B264B2">
        <w:rPr>
          <w:rFonts w:cs="Arial"/>
          <w:szCs w:val="22"/>
        </w:rPr>
        <w:t>transport unit</w:t>
      </w:r>
      <w:r>
        <w:rPr>
          <w:rFonts w:cs="Arial"/>
          <w:szCs w:val="22"/>
        </w:rPr>
        <w:t xml:space="preserve"> or bulk container</w:t>
      </w:r>
      <w:r w:rsidRPr="00B264B2">
        <w:rPr>
          <w:rFonts w:cs="Arial"/>
          <w:szCs w:val="22"/>
        </w:rPr>
        <w:t xml:space="preserve"> to provide a warning that the contents of the unit</w:t>
      </w:r>
      <w:r>
        <w:rPr>
          <w:rFonts w:cs="Arial"/>
          <w:szCs w:val="22"/>
        </w:rPr>
        <w:t xml:space="preserve"> or bulk container</w:t>
      </w:r>
      <w:r w:rsidRPr="00B264B2">
        <w:rPr>
          <w:rFonts w:cs="Arial"/>
          <w:szCs w:val="22"/>
        </w:rPr>
        <w:t xml:space="preserve"> are dangerous goods and present </w:t>
      </w:r>
      <w:r w:rsidRPr="004C1367">
        <w:rPr>
          <w:rFonts w:cs="Arial"/>
          <w:szCs w:val="22"/>
          <w:highlight w:val="cyan"/>
        </w:rPr>
        <w:t>hazards</w:t>
      </w:r>
      <w:r w:rsidRPr="00B264B2">
        <w:rPr>
          <w:rFonts w:cs="Arial"/>
          <w:szCs w:val="22"/>
        </w:rPr>
        <w:t>,</w:t>
      </w:r>
      <w:r>
        <w:rPr>
          <w:rFonts w:cs="Arial"/>
          <w:szCs w:val="22"/>
        </w:rPr>
        <w:t xml:space="preserve"> </w:t>
      </w:r>
      <w:r w:rsidRPr="00B264B2">
        <w:rPr>
          <w:rFonts w:cs="Arial"/>
          <w:szCs w:val="22"/>
        </w:rPr>
        <w:t>unless the labels and/or marks affixed to the packages are clearly visible from the exterior of the cargo</w:t>
      </w:r>
      <w:r>
        <w:rPr>
          <w:rFonts w:cs="Arial"/>
          <w:szCs w:val="22"/>
        </w:rPr>
        <w:t xml:space="preserve"> </w:t>
      </w:r>
      <w:r w:rsidRPr="00B264B2">
        <w:rPr>
          <w:rFonts w:cs="Arial"/>
          <w:szCs w:val="22"/>
        </w:rPr>
        <w:t>transport unit</w:t>
      </w:r>
      <w:r>
        <w:rPr>
          <w:rFonts w:cs="Arial"/>
          <w:szCs w:val="22"/>
        </w:rPr>
        <w:t xml:space="preserve"> or bulk container</w:t>
      </w:r>
      <w:r w:rsidRPr="00B264B2">
        <w:rPr>
          <w:rFonts w:cs="Arial"/>
          <w:szCs w:val="22"/>
        </w:rPr>
        <w:t>.</w:t>
      </w:r>
      <w:r>
        <w:rPr>
          <w:rFonts w:cs="Arial"/>
          <w:szCs w:val="22"/>
        </w:rPr>
        <w:t>…</w:t>
      </w:r>
      <w:r w:rsidRPr="00A16CED">
        <w:rPr>
          <w:rFonts w:cs="Arial"/>
          <w:szCs w:val="22"/>
        </w:rPr>
        <w:t xml:space="preserve"> </w:t>
      </w:r>
      <w:r>
        <w:rPr>
          <w:rFonts w:cs="Arial"/>
          <w:szCs w:val="22"/>
        </w:rPr>
        <w:t>"</w:t>
      </w:r>
    </w:p>
    <w:p w:rsidR="00130DE2" w:rsidRPr="006B01DA" w:rsidRDefault="00130DE2" w:rsidP="00130DE2">
      <w:pPr>
        <w:ind w:right="-2"/>
      </w:pPr>
    </w:p>
    <w:p w:rsidR="00130DE2" w:rsidRPr="006B01DA" w:rsidRDefault="00130DE2" w:rsidP="00130DE2">
      <w:pPr>
        <w:pStyle w:val="SingleTxtG"/>
        <w:tabs>
          <w:tab w:val="left" w:pos="2127"/>
        </w:tabs>
        <w:spacing w:after="0" w:line="240" w:lineRule="auto"/>
        <w:ind w:left="0" w:right="-2"/>
        <w:jc w:val="center"/>
        <w:rPr>
          <w:rFonts w:eastAsia="Calibri"/>
          <w:b/>
          <w:lang w:val="fr-FR"/>
        </w:rPr>
      </w:pPr>
      <w:proofErr w:type="spellStart"/>
      <w:r w:rsidRPr="006B01DA">
        <w:rPr>
          <w:rFonts w:eastAsia="Calibri"/>
          <w:b/>
          <w:lang w:val="fr-FR"/>
        </w:rPr>
        <w:t>Chapter</w:t>
      </w:r>
      <w:proofErr w:type="spellEnd"/>
      <w:r w:rsidRPr="006B01DA">
        <w:rPr>
          <w:rFonts w:eastAsia="Calibri"/>
          <w:b/>
          <w:lang w:val="fr-FR"/>
        </w:rPr>
        <w:t xml:space="preserve"> 5.4</w:t>
      </w:r>
    </w:p>
    <w:p w:rsidR="00130DE2" w:rsidRPr="006B01DA" w:rsidRDefault="00130DE2" w:rsidP="00130DE2">
      <w:pPr>
        <w:pStyle w:val="SingleTxtG"/>
        <w:tabs>
          <w:tab w:val="left" w:pos="2127"/>
        </w:tabs>
        <w:spacing w:after="0" w:line="240" w:lineRule="auto"/>
        <w:ind w:left="0" w:right="-2"/>
        <w:jc w:val="center"/>
        <w:rPr>
          <w:rFonts w:eastAsia="Calibri"/>
          <w:b/>
          <w:lang w:val="fr-FR"/>
        </w:rPr>
      </w:pPr>
      <w:r w:rsidRPr="006B01DA">
        <w:rPr>
          <w:rFonts w:eastAsia="Calibri"/>
          <w:b/>
          <w:lang w:val="fr-FR"/>
        </w:rPr>
        <w:t>Documentation</w:t>
      </w:r>
    </w:p>
    <w:p w:rsidR="00130DE2" w:rsidRPr="006B01DA" w:rsidRDefault="00130DE2" w:rsidP="00130DE2">
      <w:pPr>
        <w:pStyle w:val="SingleTxtG"/>
        <w:tabs>
          <w:tab w:val="left" w:pos="2127"/>
        </w:tabs>
        <w:spacing w:after="0" w:line="240" w:lineRule="auto"/>
        <w:ind w:left="0" w:right="-2"/>
        <w:rPr>
          <w:rFonts w:eastAsia="Calibri"/>
          <w:lang w:val="fr-FR"/>
        </w:rPr>
      </w:pPr>
    </w:p>
    <w:p w:rsidR="00130DE2" w:rsidRPr="006B01DA" w:rsidRDefault="00130DE2" w:rsidP="00130DE2">
      <w:pPr>
        <w:pStyle w:val="SingleTxtG"/>
        <w:tabs>
          <w:tab w:val="left" w:pos="851"/>
          <w:tab w:val="left" w:pos="2127"/>
        </w:tabs>
        <w:spacing w:after="0" w:line="240" w:lineRule="auto"/>
        <w:ind w:left="0" w:right="-2"/>
        <w:rPr>
          <w:rFonts w:eastAsia="Calibri"/>
          <w:b/>
          <w:lang w:val="fr-FR"/>
        </w:rPr>
      </w:pPr>
      <w:r w:rsidRPr="006B01DA">
        <w:rPr>
          <w:rFonts w:eastAsia="Calibri"/>
          <w:b/>
          <w:lang w:val="fr-FR"/>
        </w:rPr>
        <w:t xml:space="preserve">5.4.1 </w:t>
      </w:r>
      <w:r w:rsidRPr="006B01DA">
        <w:rPr>
          <w:rFonts w:eastAsia="Calibri"/>
          <w:b/>
          <w:lang w:val="fr-FR"/>
        </w:rPr>
        <w:tab/>
      </w:r>
      <w:proofErr w:type="spellStart"/>
      <w:r w:rsidRPr="006B01DA">
        <w:rPr>
          <w:rFonts w:eastAsia="Calibri"/>
          <w:b/>
          <w:lang w:val="fr-FR"/>
        </w:rPr>
        <w:t>Dangerous</w:t>
      </w:r>
      <w:proofErr w:type="spellEnd"/>
      <w:r w:rsidRPr="006B01DA">
        <w:rPr>
          <w:rFonts w:eastAsia="Calibri"/>
          <w:b/>
          <w:lang w:val="fr-FR"/>
        </w:rPr>
        <w:t xml:space="preserve"> </w:t>
      </w:r>
      <w:proofErr w:type="spellStart"/>
      <w:r w:rsidRPr="006B01DA">
        <w:rPr>
          <w:rFonts w:eastAsia="Calibri"/>
          <w:b/>
          <w:lang w:val="fr-FR"/>
        </w:rPr>
        <w:t>goods</w:t>
      </w:r>
      <w:proofErr w:type="spellEnd"/>
      <w:r w:rsidRPr="006B01DA">
        <w:rPr>
          <w:rFonts w:eastAsia="Calibri"/>
          <w:b/>
          <w:lang w:val="fr-FR"/>
        </w:rPr>
        <w:t xml:space="preserve"> transport information</w:t>
      </w:r>
    </w:p>
    <w:p w:rsidR="00130DE2" w:rsidRPr="006B01DA" w:rsidRDefault="00130DE2" w:rsidP="00130DE2">
      <w:pPr>
        <w:pStyle w:val="SingleTxtG"/>
        <w:tabs>
          <w:tab w:val="left" w:pos="2127"/>
        </w:tabs>
        <w:spacing w:after="0" w:line="240" w:lineRule="auto"/>
        <w:ind w:left="0" w:right="-2"/>
        <w:rPr>
          <w:rFonts w:eastAsia="Calibri"/>
          <w:b/>
          <w:lang w:val="fr-FR"/>
        </w:rPr>
      </w:pPr>
    </w:p>
    <w:p w:rsidR="00130DE2" w:rsidRPr="006B01DA" w:rsidRDefault="00130DE2" w:rsidP="00130DE2">
      <w:pPr>
        <w:pStyle w:val="SingleTxtG"/>
        <w:tabs>
          <w:tab w:val="left" w:pos="851"/>
          <w:tab w:val="left" w:pos="2127"/>
        </w:tabs>
        <w:spacing w:after="0" w:line="240" w:lineRule="auto"/>
        <w:ind w:left="0" w:right="-2"/>
        <w:rPr>
          <w:rFonts w:eastAsia="Calibri"/>
          <w:b/>
        </w:rPr>
      </w:pPr>
      <w:r w:rsidRPr="006B01DA">
        <w:rPr>
          <w:rFonts w:eastAsia="Calibri"/>
          <w:b/>
        </w:rPr>
        <w:t xml:space="preserve">5.4.1.5 </w:t>
      </w:r>
      <w:r w:rsidRPr="006B01DA">
        <w:rPr>
          <w:rFonts w:eastAsia="Calibri"/>
          <w:b/>
        </w:rPr>
        <w:tab/>
        <w:t>Information required in addition to the dangerous goods description</w:t>
      </w:r>
    </w:p>
    <w:p w:rsidR="00130DE2" w:rsidRPr="006B01DA" w:rsidRDefault="00130DE2" w:rsidP="00130DE2">
      <w:pPr>
        <w:pStyle w:val="SingleTxtG"/>
        <w:tabs>
          <w:tab w:val="left" w:pos="2127"/>
          <w:tab w:val="left" w:pos="2694"/>
        </w:tabs>
        <w:spacing w:after="0" w:line="240" w:lineRule="auto"/>
        <w:ind w:left="0" w:right="-2"/>
        <w:rPr>
          <w:rFonts w:eastAsia="Calibri"/>
        </w:rPr>
      </w:pPr>
    </w:p>
    <w:p w:rsidR="00130DE2" w:rsidRPr="006B01DA" w:rsidRDefault="00130DE2" w:rsidP="00130DE2">
      <w:pPr>
        <w:pStyle w:val="SingleTxtG"/>
        <w:tabs>
          <w:tab w:val="left" w:pos="2127"/>
          <w:tab w:val="left" w:pos="2694"/>
        </w:tabs>
        <w:spacing w:after="0" w:line="240" w:lineRule="auto"/>
        <w:ind w:left="0" w:right="0"/>
        <w:rPr>
          <w:rFonts w:eastAsia="Calibri"/>
        </w:rPr>
      </w:pPr>
      <w:proofErr w:type="gramStart"/>
      <w:r w:rsidRPr="006B01DA">
        <w:rPr>
          <w:rFonts w:eastAsia="Calibri"/>
        </w:rPr>
        <w:t>5.4.1.5.5  Replace</w:t>
      </w:r>
      <w:proofErr w:type="gramEnd"/>
      <w:r w:rsidRPr="006B01DA">
        <w:rPr>
          <w:rFonts w:eastAsia="Calibri"/>
        </w:rPr>
        <w:t xml:space="preserve"> the paragraph as follows:</w:t>
      </w:r>
    </w:p>
    <w:p w:rsidR="00130DE2" w:rsidRPr="006B01DA" w:rsidRDefault="00130DE2" w:rsidP="00130DE2">
      <w:pPr>
        <w:pStyle w:val="SingleTxtG"/>
        <w:tabs>
          <w:tab w:val="left" w:pos="2127"/>
          <w:tab w:val="left" w:pos="2694"/>
        </w:tabs>
        <w:spacing w:after="0" w:line="240" w:lineRule="auto"/>
        <w:ind w:left="0" w:right="0"/>
        <w:rPr>
          <w:rFonts w:eastAsia="Calibri"/>
        </w:rPr>
      </w:pPr>
    </w:p>
    <w:p w:rsidR="00130DE2" w:rsidRPr="006B01DA" w:rsidRDefault="00130DE2" w:rsidP="00130DE2">
      <w:pPr>
        <w:pStyle w:val="SingleTxtG"/>
        <w:tabs>
          <w:tab w:val="left" w:pos="2127"/>
          <w:tab w:val="left" w:pos="2694"/>
        </w:tabs>
        <w:spacing w:after="0" w:line="240" w:lineRule="auto"/>
        <w:ind w:left="851" w:right="0"/>
        <w:rPr>
          <w:rFonts w:eastAsia="Calibri"/>
        </w:rPr>
      </w:pPr>
      <w:r w:rsidRPr="006B01DA">
        <w:rPr>
          <w:rFonts w:eastAsia="Calibri"/>
        </w:rPr>
        <w:t>"</w:t>
      </w:r>
      <w:r w:rsidRPr="006B01DA">
        <w:rPr>
          <w:rFonts w:eastAsia="Calibri"/>
          <w:highlight w:val="cyan"/>
        </w:rPr>
        <w:t>For self-reactive substances, organic peroxides and polymerizing substances</w:t>
      </w:r>
      <w:r w:rsidRPr="006B01DA">
        <w:rPr>
          <w:rFonts w:eastAsia="Calibri"/>
        </w:rPr>
        <w:t xml:space="preserve"> which require temperature control during transport, the control and emergency temperatures (see 7.3.7.2) shall be indicated on the dangerous goods transport document, as follows:</w:t>
      </w:r>
    </w:p>
    <w:p w:rsidR="00130DE2" w:rsidRPr="006B01DA" w:rsidRDefault="00130DE2" w:rsidP="00130DE2">
      <w:pPr>
        <w:pStyle w:val="SingleTxtG"/>
        <w:tabs>
          <w:tab w:val="left" w:pos="2127"/>
          <w:tab w:val="left" w:pos="2694"/>
        </w:tabs>
        <w:spacing w:after="0" w:line="240" w:lineRule="auto"/>
        <w:ind w:left="851" w:right="0"/>
        <w:rPr>
          <w:rFonts w:eastAsia="Calibri"/>
        </w:rPr>
      </w:pPr>
    </w:p>
    <w:p w:rsidR="00130DE2" w:rsidRPr="006B01DA" w:rsidRDefault="00130DE2" w:rsidP="00130DE2">
      <w:pPr>
        <w:pStyle w:val="SingleTxtG"/>
        <w:tabs>
          <w:tab w:val="left" w:pos="2127"/>
          <w:tab w:val="left" w:pos="2694"/>
        </w:tabs>
        <w:spacing w:after="0" w:line="240" w:lineRule="auto"/>
        <w:ind w:left="0" w:right="0"/>
        <w:rPr>
          <w:rFonts w:eastAsia="Calibri"/>
          <w:highlight w:val="yellow"/>
        </w:rPr>
      </w:pPr>
      <w:r w:rsidRPr="006B01DA">
        <w:rPr>
          <w:rFonts w:eastAsia="Calibri"/>
        </w:rPr>
        <w:tab/>
      </w:r>
      <w:proofErr w:type="gramStart"/>
      <w:r w:rsidRPr="006B01DA">
        <w:rPr>
          <w:rFonts w:eastAsia="Calibri"/>
        </w:rPr>
        <w:t>"Control temperature: … °C Emergency temperature: … °C".</w:t>
      </w:r>
      <w:proofErr w:type="gramEnd"/>
      <w:r w:rsidRPr="006B01DA">
        <w:rPr>
          <w:rFonts w:eastAsia="Calibri"/>
        </w:rPr>
        <w:t xml:space="preserve"> "</w:t>
      </w:r>
    </w:p>
    <w:p w:rsidR="00130DE2" w:rsidRPr="006B01DA" w:rsidRDefault="00130DE2" w:rsidP="00130DE2">
      <w:pPr>
        <w:pStyle w:val="SingleTxtG"/>
        <w:tabs>
          <w:tab w:val="left" w:pos="2127"/>
          <w:tab w:val="left" w:pos="2694"/>
        </w:tabs>
        <w:spacing w:after="0" w:line="240" w:lineRule="auto"/>
        <w:ind w:left="0" w:right="-2"/>
        <w:rPr>
          <w:rFonts w:eastAsia="Calibri"/>
          <w:highlight w:val="yellow"/>
        </w:rPr>
      </w:pPr>
    </w:p>
    <w:p w:rsidR="00130DE2" w:rsidRPr="00C4705B" w:rsidRDefault="00130DE2" w:rsidP="00130DE2">
      <w:pPr>
        <w:pStyle w:val="SingleTxtG"/>
        <w:tabs>
          <w:tab w:val="left" w:pos="2127"/>
          <w:tab w:val="left" w:pos="2694"/>
        </w:tabs>
        <w:spacing w:after="0" w:line="240" w:lineRule="auto"/>
        <w:ind w:left="0" w:right="-2"/>
        <w:rPr>
          <w:rFonts w:ascii="Arial" w:hAnsi="Arial" w:cs="Arial"/>
          <w:sz w:val="22"/>
          <w:szCs w:val="22"/>
          <w:lang w:val="en-US"/>
        </w:rPr>
      </w:pPr>
    </w:p>
    <w:p w:rsidR="00130DE2" w:rsidRPr="006B01DA" w:rsidRDefault="00130DE2" w:rsidP="00130DE2">
      <w:pPr>
        <w:pStyle w:val="SingleTxtG"/>
        <w:tabs>
          <w:tab w:val="left" w:pos="2127"/>
          <w:tab w:val="left" w:pos="2694"/>
        </w:tabs>
        <w:spacing w:after="0" w:line="240" w:lineRule="auto"/>
        <w:ind w:left="0" w:right="-2"/>
        <w:jc w:val="center"/>
        <w:rPr>
          <w:b/>
        </w:rPr>
      </w:pPr>
      <w:r w:rsidRPr="006B01DA">
        <w:rPr>
          <w:b/>
        </w:rPr>
        <w:t>Chapter 6.2</w:t>
      </w:r>
    </w:p>
    <w:p w:rsidR="00130DE2" w:rsidRPr="006B01DA" w:rsidRDefault="00130DE2" w:rsidP="00130DE2">
      <w:pPr>
        <w:pStyle w:val="SingleTxtG"/>
        <w:tabs>
          <w:tab w:val="left" w:pos="2127"/>
          <w:tab w:val="left" w:pos="2694"/>
        </w:tabs>
        <w:spacing w:after="0" w:line="240" w:lineRule="auto"/>
        <w:ind w:left="0" w:right="-2"/>
        <w:jc w:val="center"/>
        <w:rPr>
          <w:b/>
        </w:rPr>
      </w:pPr>
      <w:r w:rsidRPr="006B01DA">
        <w:rPr>
          <w:b/>
        </w:rPr>
        <w:t>Provisions for the construction and testing of pressure receptacles, aerosol dispensers, small receptacles containing gas (gas cartridges) and fuel cell cartridges containing liquefied flammable gas</w:t>
      </w:r>
    </w:p>
    <w:p w:rsidR="00130DE2" w:rsidRPr="006B01DA" w:rsidRDefault="00130DE2" w:rsidP="00130DE2">
      <w:pPr>
        <w:pStyle w:val="SingleTxtG"/>
        <w:tabs>
          <w:tab w:val="left" w:pos="2127"/>
          <w:tab w:val="left" w:pos="2694"/>
        </w:tabs>
        <w:spacing w:after="0" w:line="240" w:lineRule="auto"/>
        <w:ind w:left="0" w:right="-2"/>
        <w:rPr>
          <w:b/>
        </w:rPr>
      </w:pPr>
    </w:p>
    <w:p w:rsidR="00130DE2" w:rsidRPr="00BA0741" w:rsidRDefault="00130DE2" w:rsidP="00130DE2">
      <w:pPr>
        <w:pStyle w:val="SingleTxtG"/>
        <w:tabs>
          <w:tab w:val="left" w:pos="1418"/>
        </w:tabs>
        <w:spacing w:after="0" w:line="240" w:lineRule="auto"/>
        <w:ind w:left="0" w:right="-2"/>
        <w:rPr>
          <w:rFonts w:ascii="Arial" w:hAnsi="Arial" w:cs="Arial"/>
          <w:sz w:val="22"/>
          <w:szCs w:val="22"/>
        </w:rPr>
      </w:pPr>
    </w:p>
    <w:p w:rsidR="00130DE2" w:rsidRPr="006B01DA" w:rsidRDefault="00130DE2" w:rsidP="00130DE2">
      <w:pPr>
        <w:pStyle w:val="SingleTxtG"/>
        <w:tabs>
          <w:tab w:val="left" w:pos="851"/>
          <w:tab w:val="left" w:pos="1418"/>
        </w:tabs>
        <w:spacing w:after="0" w:line="240" w:lineRule="auto"/>
        <w:ind w:left="0" w:right="-2"/>
        <w:rPr>
          <w:b/>
        </w:rPr>
      </w:pPr>
      <w:r w:rsidRPr="006B01DA">
        <w:rPr>
          <w:b/>
        </w:rPr>
        <w:t xml:space="preserve">6.2.2 </w:t>
      </w:r>
      <w:r w:rsidRPr="006B01DA">
        <w:rPr>
          <w:b/>
        </w:rPr>
        <w:tab/>
        <w:t>Provisions for UN pressure receptacles</w:t>
      </w:r>
    </w:p>
    <w:p w:rsidR="00130DE2" w:rsidRPr="006B01DA" w:rsidRDefault="00130DE2" w:rsidP="00130DE2">
      <w:pPr>
        <w:pStyle w:val="SingleTxtG"/>
        <w:tabs>
          <w:tab w:val="left" w:pos="1418"/>
        </w:tabs>
        <w:spacing w:after="0" w:line="240" w:lineRule="auto"/>
        <w:ind w:left="0" w:right="-2"/>
      </w:pPr>
    </w:p>
    <w:p w:rsidR="00130DE2" w:rsidRPr="006B01DA" w:rsidRDefault="00130DE2" w:rsidP="00130DE2">
      <w:pPr>
        <w:pStyle w:val="SingleTxtG"/>
        <w:tabs>
          <w:tab w:val="left" w:pos="851"/>
          <w:tab w:val="left" w:pos="1418"/>
        </w:tabs>
        <w:spacing w:after="0" w:line="240" w:lineRule="auto"/>
        <w:ind w:left="0" w:right="-2"/>
        <w:rPr>
          <w:b/>
        </w:rPr>
      </w:pPr>
      <w:r w:rsidRPr="006B01DA">
        <w:rPr>
          <w:b/>
        </w:rPr>
        <w:t xml:space="preserve">6.2.2.1 </w:t>
      </w:r>
      <w:r w:rsidRPr="006B01DA">
        <w:rPr>
          <w:b/>
        </w:rPr>
        <w:tab/>
        <w:t>Design, construction and initial inspection and test</w:t>
      </w:r>
    </w:p>
    <w:p w:rsidR="00130DE2" w:rsidRPr="006B01DA" w:rsidRDefault="00130DE2" w:rsidP="00130DE2">
      <w:pPr>
        <w:pStyle w:val="SingleTxtG"/>
        <w:tabs>
          <w:tab w:val="left" w:pos="1418"/>
        </w:tabs>
        <w:spacing w:after="0" w:line="240" w:lineRule="auto"/>
        <w:ind w:left="0" w:right="-2"/>
      </w:pPr>
    </w:p>
    <w:p w:rsidR="00130DE2" w:rsidRPr="006B01DA" w:rsidRDefault="00130DE2" w:rsidP="00130DE2">
      <w:pPr>
        <w:pStyle w:val="SingleTxtG"/>
        <w:spacing w:after="0"/>
        <w:ind w:left="0" w:right="-2"/>
      </w:pPr>
      <w:r w:rsidRPr="006B01DA">
        <w:t>Insert a new paragraph 6.2.2.1.8 to read as follows:</w:t>
      </w:r>
    </w:p>
    <w:p w:rsidR="00130DE2" w:rsidRPr="006B01DA" w:rsidRDefault="00130DE2" w:rsidP="00130DE2">
      <w:pPr>
        <w:pStyle w:val="SingleTxtG"/>
        <w:spacing w:after="0"/>
        <w:ind w:left="851" w:right="-2"/>
      </w:pPr>
    </w:p>
    <w:p w:rsidR="00130DE2" w:rsidRPr="006B01DA" w:rsidRDefault="00130DE2" w:rsidP="00130DE2">
      <w:pPr>
        <w:pStyle w:val="SingleTxtG"/>
        <w:spacing w:after="0"/>
        <w:ind w:left="1701" w:right="-2" w:hanging="850"/>
      </w:pPr>
      <w:r w:rsidRPr="006B01DA">
        <w:t>"6.2.2.1.8 The following standards apply for the design, construction and initial inspection and test of UN pressure drums, except that inspection requirements related to the conformity assessment system and approval shall be in accordance with 6.2.2.5:</w:t>
      </w:r>
    </w:p>
    <w:p w:rsidR="00130DE2" w:rsidRPr="006B01DA" w:rsidRDefault="00130DE2" w:rsidP="00130DE2">
      <w:pPr>
        <w:pStyle w:val="SingleTxtG"/>
        <w:spacing w:after="0"/>
        <w:ind w:left="851" w:right="-2"/>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3969"/>
        <w:gridCol w:w="1940"/>
      </w:tblGrid>
      <w:tr w:rsidR="00130DE2" w:rsidRPr="006B01DA" w:rsidTr="006D7939">
        <w:trPr>
          <w:jc w:val="right"/>
        </w:trPr>
        <w:tc>
          <w:tcPr>
            <w:tcW w:w="2288" w:type="dxa"/>
            <w:shd w:val="clear" w:color="auto" w:fill="auto"/>
            <w:vAlign w:val="center"/>
          </w:tcPr>
          <w:p w:rsidR="00130DE2" w:rsidRPr="006B01DA" w:rsidRDefault="00130DE2" w:rsidP="006D7939">
            <w:pPr>
              <w:ind w:right="-2"/>
              <w:jc w:val="center"/>
              <w:rPr>
                <w:b/>
              </w:rPr>
            </w:pPr>
            <w:r w:rsidRPr="006B01DA">
              <w:rPr>
                <w:b/>
              </w:rPr>
              <w:t>Reference</w:t>
            </w:r>
          </w:p>
        </w:tc>
        <w:tc>
          <w:tcPr>
            <w:tcW w:w="3969" w:type="dxa"/>
            <w:shd w:val="clear" w:color="auto" w:fill="auto"/>
            <w:vAlign w:val="center"/>
          </w:tcPr>
          <w:p w:rsidR="00130DE2" w:rsidRPr="006B01DA" w:rsidRDefault="00130DE2" w:rsidP="006D7939">
            <w:pPr>
              <w:ind w:right="-2"/>
              <w:jc w:val="center"/>
              <w:rPr>
                <w:b/>
              </w:rPr>
            </w:pPr>
            <w:r w:rsidRPr="006B01DA">
              <w:rPr>
                <w:b/>
              </w:rPr>
              <w:t>Title</w:t>
            </w:r>
          </w:p>
        </w:tc>
        <w:tc>
          <w:tcPr>
            <w:tcW w:w="1940" w:type="dxa"/>
            <w:shd w:val="clear" w:color="auto" w:fill="auto"/>
            <w:vAlign w:val="center"/>
          </w:tcPr>
          <w:p w:rsidR="00130DE2" w:rsidRPr="006B01DA" w:rsidRDefault="00130DE2" w:rsidP="006D7939">
            <w:pPr>
              <w:ind w:right="-2"/>
              <w:jc w:val="center"/>
              <w:rPr>
                <w:b/>
              </w:rPr>
            </w:pPr>
            <w:r w:rsidRPr="006B01DA">
              <w:rPr>
                <w:b/>
              </w:rPr>
              <w:t>Applicable for Manufacture</w:t>
            </w:r>
          </w:p>
        </w:tc>
      </w:tr>
      <w:tr w:rsidR="00130DE2" w:rsidRPr="00CF4DD4" w:rsidTr="006D7939">
        <w:trPr>
          <w:jc w:val="right"/>
        </w:trPr>
        <w:tc>
          <w:tcPr>
            <w:tcW w:w="2288" w:type="dxa"/>
            <w:shd w:val="clear" w:color="auto" w:fill="auto"/>
          </w:tcPr>
          <w:p w:rsidR="00130DE2" w:rsidRPr="00CF4DD4" w:rsidRDefault="00130DE2" w:rsidP="006D7939">
            <w:pPr>
              <w:ind w:right="-2"/>
            </w:pPr>
            <w:r w:rsidRPr="00CF4DD4">
              <w:t>ISO 21172-1:2015</w:t>
            </w:r>
          </w:p>
        </w:tc>
        <w:tc>
          <w:tcPr>
            <w:tcW w:w="3969" w:type="dxa"/>
            <w:shd w:val="clear" w:color="auto" w:fill="auto"/>
          </w:tcPr>
          <w:p w:rsidR="00130DE2" w:rsidRDefault="00130DE2" w:rsidP="006D7939">
            <w:pPr>
              <w:ind w:right="-2"/>
            </w:pPr>
            <w:r w:rsidRPr="00CF4DD4">
              <w:t>Gas cylinders – Welded steel pressure drums up to 3 000 litres capacity for the transport of gases – Design and construction – Part 1: Capacities up to 1 000 litres</w:t>
            </w:r>
          </w:p>
          <w:p w:rsidR="00130DE2" w:rsidRPr="00CF4DD4" w:rsidRDefault="00130DE2" w:rsidP="006D7939">
            <w:pPr>
              <w:ind w:right="-2"/>
            </w:pPr>
            <w:r w:rsidRPr="00CF4DD4">
              <w:t xml:space="preserve"> </w:t>
            </w:r>
          </w:p>
          <w:p w:rsidR="00130DE2" w:rsidRPr="00CF4DD4" w:rsidRDefault="00130DE2" w:rsidP="006D7939">
            <w:pPr>
              <w:ind w:right="-2"/>
            </w:pPr>
            <w:r w:rsidRPr="00CF4DD4">
              <w:rPr>
                <w:b/>
                <w:i/>
              </w:rPr>
              <w:t>NOTE:</w:t>
            </w:r>
            <w:r w:rsidRPr="00CF4DD4">
              <w:rPr>
                <w:i/>
              </w:rPr>
              <w:t xml:space="preserve"> Irrespective </w:t>
            </w:r>
            <w:r w:rsidRPr="0097768D">
              <w:rPr>
                <w:i/>
                <w:highlight w:val="cyan"/>
              </w:rPr>
              <w:t>of</w:t>
            </w:r>
            <w:r>
              <w:rPr>
                <w:i/>
              </w:rPr>
              <w:t xml:space="preserve"> </w:t>
            </w:r>
            <w:r w:rsidRPr="00CF4DD4">
              <w:rPr>
                <w:i/>
              </w:rPr>
              <w:t xml:space="preserve">section 6.3.3.4 of this standard, welded steel gas pressure drums with dished ends convex to pressure may be used for the transport of corrosive substances provided all applicable requirements of </w:t>
            </w:r>
            <w:r>
              <w:rPr>
                <w:i/>
              </w:rPr>
              <w:t>this Code</w:t>
            </w:r>
            <w:r w:rsidRPr="00CF4DD4">
              <w:rPr>
                <w:i/>
              </w:rPr>
              <w:t xml:space="preserve"> are met.</w:t>
            </w:r>
          </w:p>
        </w:tc>
        <w:tc>
          <w:tcPr>
            <w:tcW w:w="1940" w:type="dxa"/>
            <w:shd w:val="clear" w:color="auto" w:fill="auto"/>
          </w:tcPr>
          <w:p w:rsidR="00130DE2" w:rsidRPr="00CF4DD4" w:rsidRDefault="00130DE2" w:rsidP="006D7939">
            <w:pPr>
              <w:ind w:right="-2"/>
            </w:pPr>
            <w:r w:rsidRPr="00CF4DD4">
              <w:t>Until further notice</w:t>
            </w:r>
          </w:p>
        </w:tc>
      </w:tr>
      <w:tr w:rsidR="00130DE2" w:rsidRPr="00CF4DD4" w:rsidTr="006D7939">
        <w:trPr>
          <w:jc w:val="right"/>
        </w:trPr>
        <w:tc>
          <w:tcPr>
            <w:tcW w:w="2288" w:type="dxa"/>
            <w:shd w:val="clear" w:color="auto" w:fill="auto"/>
          </w:tcPr>
          <w:p w:rsidR="00130DE2" w:rsidRPr="00CF4DD4" w:rsidRDefault="00130DE2" w:rsidP="006D7939">
            <w:pPr>
              <w:ind w:right="-2"/>
            </w:pPr>
            <w:r w:rsidRPr="00CF4DD4">
              <w:t>ISO 4706: 2008</w:t>
            </w:r>
          </w:p>
        </w:tc>
        <w:tc>
          <w:tcPr>
            <w:tcW w:w="3969" w:type="dxa"/>
            <w:shd w:val="clear" w:color="auto" w:fill="auto"/>
          </w:tcPr>
          <w:p w:rsidR="00130DE2" w:rsidRPr="00CF4DD4" w:rsidRDefault="00130DE2" w:rsidP="006D7939">
            <w:pPr>
              <w:ind w:right="-2"/>
            </w:pPr>
            <w:r w:rsidRPr="00CF4DD4">
              <w:t>Gas cylinders – Refillable welded steel cylinders –</w:t>
            </w:r>
            <w:r>
              <w:t xml:space="preserve"> Test pressure 60 bar and below</w:t>
            </w:r>
            <w:r w:rsidRPr="00CF4DD4">
              <w:t xml:space="preserve"> </w:t>
            </w:r>
          </w:p>
        </w:tc>
        <w:tc>
          <w:tcPr>
            <w:tcW w:w="1940" w:type="dxa"/>
            <w:shd w:val="clear" w:color="auto" w:fill="auto"/>
          </w:tcPr>
          <w:p w:rsidR="00130DE2" w:rsidRPr="00CF4DD4" w:rsidRDefault="00130DE2" w:rsidP="006D7939">
            <w:pPr>
              <w:ind w:right="-2"/>
            </w:pPr>
            <w:r w:rsidRPr="00CF4DD4">
              <w:t>Until further notice</w:t>
            </w:r>
          </w:p>
        </w:tc>
      </w:tr>
      <w:tr w:rsidR="00130DE2" w:rsidRPr="00CF4DD4" w:rsidTr="006D7939">
        <w:trPr>
          <w:jc w:val="right"/>
        </w:trPr>
        <w:tc>
          <w:tcPr>
            <w:tcW w:w="2288" w:type="dxa"/>
            <w:shd w:val="clear" w:color="auto" w:fill="auto"/>
          </w:tcPr>
          <w:p w:rsidR="00130DE2" w:rsidRPr="00CF4DD4" w:rsidRDefault="00130DE2" w:rsidP="006D7939">
            <w:pPr>
              <w:ind w:right="-2"/>
            </w:pPr>
            <w:r w:rsidRPr="00CF4DD4">
              <w:t>ISO 18172-1:2007</w:t>
            </w:r>
          </w:p>
        </w:tc>
        <w:tc>
          <w:tcPr>
            <w:tcW w:w="3969" w:type="dxa"/>
            <w:shd w:val="clear" w:color="auto" w:fill="auto"/>
          </w:tcPr>
          <w:p w:rsidR="00130DE2" w:rsidRPr="00CF4DD4" w:rsidRDefault="00130DE2" w:rsidP="006D7939">
            <w:pPr>
              <w:ind w:right="-2"/>
            </w:pPr>
            <w:r w:rsidRPr="00CF4DD4">
              <w:t xml:space="preserve">Gas cylinders – Refillable welded stainless steel cylinders – Part 1: Test pressure 6 </w:t>
            </w:r>
            <w:proofErr w:type="spellStart"/>
            <w:r w:rsidRPr="00CF4DD4">
              <w:t>MPa</w:t>
            </w:r>
            <w:proofErr w:type="spellEnd"/>
            <w:r w:rsidRPr="00CF4DD4">
              <w:t xml:space="preserve"> and below</w:t>
            </w:r>
          </w:p>
        </w:tc>
        <w:tc>
          <w:tcPr>
            <w:tcW w:w="1940" w:type="dxa"/>
            <w:shd w:val="clear" w:color="auto" w:fill="auto"/>
          </w:tcPr>
          <w:p w:rsidR="00130DE2" w:rsidRPr="00CF4DD4" w:rsidRDefault="00130DE2" w:rsidP="006D7939">
            <w:pPr>
              <w:ind w:right="-2"/>
            </w:pPr>
            <w:r w:rsidRPr="00CF4DD4">
              <w:t>Until further notice</w:t>
            </w:r>
          </w:p>
        </w:tc>
      </w:tr>
    </w:tbl>
    <w:p w:rsidR="00130DE2" w:rsidRDefault="00130DE2" w:rsidP="00130DE2">
      <w:pPr>
        <w:pStyle w:val="SingleTxtG"/>
        <w:tabs>
          <w:tab w:val="left" w:pos="1418"/>
        </w:tabs>
        <w:spacing w:after="0" w:line="240" w:lineRule="auto"/>
        <w:ind w:left="0" w:right="-2"/>
        <w:jc w:val="right"/>
        <w:rPr>
          <w:rFonts w:ascii="Arial" w:hAnsi="Arial" w:cs="Arial"/>
          <w:sz w:val="22"/>
          <w:szCs w:val="22"/>
        </w:rPr>
      </w:pPr>
      <w:r>
        <w:rPr>
          <w:rFonts w:ascii="Arial" w:hAnsi="Arial" w:cs="Arial"/>
          <w:sz w:val="22"/>
          <w:szCs w:val="22"/>
        </w:rPr>
        <w:t>"</w:t>
      </w:r>
    </w:p>
    <w:p w:rsidR="00130DE2" w:rsidRDefault="00130DE2" w:rsidP="00130DE2">
      <w:pPr>
        <w:pStyle w:val="SingleTxtG"/>
        <w:tabs>
          <w:tab w:val="left" w:pos="1418"/>
        </w:tabs>
        <w:spacing w:after="0" w:line="240" w:lineRule="auto"/>
        <w:ind w:left="0" w:right="-2"/>
        <w:rPr>
          <w:rFonts w:ascii="Arial" w:hAnsi="Arial" w:cs="Arial"/>
          <w:sz w:val="22"/>
          <w:szCs w:val="22"/>
        </w:rPr>
      </w:pPr>
    </w:p>
    <w:p w:rsidR="00130DE2" w:rsidRPr="00593807" w:rsidRDefault="00130DE2" w:rsidP="00130DE2">
      <w:pPr>
        <w:pStyle w:val="SingleTxtG"/>
        <w:tabs>
          <w:tab w:val="left" w:pos="993"/>
        </w:tabs>
        <w:spacing w:after="0" w:line="240" w:lineRule="auto"/>
        <w:ind w:left="0" w:right="-2"/>
        <w:rPr>
          <w:rFonts w:ascii="Arial" w:hAnsi="Arial" w:cs="Arial"/>
          <w:sz w:val="22"/>
          <w:szCs w:val="22"/>
        </w:rPr>
      </w:pPr>
    </w:p>
    <w:p w:rsidR="00130DE2" w:rsidRPr="00E138B8" w:rsidRDefault="00130DE2" w:rsidP="00130DE2">
      <w:pPr>
        <w:keepNext/>
        <w:autoSpaceDE w:val="0"/>
        <w:autoSpaceDN w:val="0"/>
        <w:adjustRightInd w:val="0"/>
        <w:jc w:val="center"/>
        <w:rPr>
          <w:rFonts w:cs="Arial"/>
          <w:b/>
          <w:szCs w:val="22"/>
        </w:rPr>
      </w:pPr>
      <w:r w:rsidRPr="00E138B8">
        <w:rPr>
          <w:rFonts w:cs="Arial"/>
          <w:b/>
          <w:szCs w:val="22"/>
        </w:rPr>
        <w:t>PART 7</w:t>
      </w:r>
    </w:p>
    <w:p w:rsidR="00130DE2" w:rsidRPr="00E138B8" w:rsidRDefault="00130DE2" w:rsidP="00130DE2">
      <w:pPr>
        <w:keepNext/>
        <w:autoSpaceDE w:val="0"/>
        <w:autoSpaceDN w:val="0"/>
        <w:adjustRightInd w:val="0"/>
        <w:jc w:val="center"/>
        <w:rPr>
          <w:rFonts w:cs="Arial"/>
          <w:b/>
          <w:szCs w:val="22"/>
        </w:rPr>
      </w:pPr>
      <w:r w:rsidRPr="00E138B8">
        <w:rPr>
          <w:rFonts w:eastAsia="Calibri" w:cs="Arial"/>
          <w:b/>
          <w:szCs w:val="22"/>
        </w:rPr>
        <w:t>PROVISIONS CONCERNING TRANSPORT OPERATIONS</w:t>
      </w:r>
    </w:p>
    <w:p w:rsidR="00130DE2" w:rsidRDefault="00130DE2" w:rsidP="00130DE2">
      <w:pPr>
        <w:pStyle w:val="SingleTxtG"/>
        <w:tabs>
          <w:tab w:val="left" w:pos="2127"/>
        </w:tabs>
        <w:spacing w:after="0" w:line="240" w:lineRule="auto"/>
        <w:ind w:left="0" w:right="-2"/>
        <w:rPr>
          <w:rFonts w:cs="Arial"/>
          <w:b/>
          <w:sz w:val="22"/>
          <w:szCs w:val="22"/>
        </w:rPr>
      </w:pPr>
    </w:p>
    <w:p w:rsidR="00130DE2" w:rsidRDefault="00130DE2" w:rsidP="00130DE2">
      <w:pPr>
        <w:autoSpaceDE w:val="0"/>
        <w:autoSpaceDN w:val="0"/>
        <w:adjustRightInd w:val="0"/>
        <w:ind w:left="1418" w:hanging="1418"/>
        <w:jc w:val="center"/>
        <w:rPr>
          <w:rFonts w:cs="Arial"/>
          <w:b/>
          <w:szCs w:val="22"/>
        </w:rPr>
      </w:pPr>
      <w:r w:rsidRPr="00E138B8">
        <w:rPr>
          <w:rFonts w:cs="Arial"/>
          <w:b/>
          <w:szCs w:val="22"/>
        </w:rPr>
        <w:t xml:space="preserve">Chapter 7.3 </w:t>
      </w:r>
    </w:p>
    <w:p w:rsidR="00130DE2" w:rsidRDefault="00130DE2" w:rsidP="00130DE2">
      <w:pPr>
        <w:autoSpaceDE w:val="0"/>
        <w:autoSpaceDN w:val="0"/>
        <w:adjustRightInd w:val="0"/>
        <w:ind w:left="1418" w:hanging="1418"/>
        <w:jc w:val="center"/>
        <w:rPr>
          <w:rFonts w:eastAsia="Calibri" w:cs="Arial"/>
          <w:b/>
          <w:szCs w:val="22"/>
        </w:rPr>
      </w:pPr>
      <w:r w:rsidRPr="00E138B8">
        <w:rPr>
          <w:rFonts w:eastAsia="Calibri" w:cs="Arial"/>
          <w:b/>
          <w:szCs w:val="22"/>
        </w:rPr>
        <w:t xml:space="preserve">Consigning operations concerning the packing and </w:t>
      </w:r>
    </w:p>
    <w:p w:rsidR="00130DE2" w:rsidRPr="00E138B8" w:rsidRDefault="00130DE2" w:rsidP="00130DE2">
      <w:pPr>
        <w:autoSpaceDE w:val="0"/>
        <w:autoSpaceDN w:val="0"/>
        <w:adjustRightInd w:val="0"/>
        <w:ind w:left="1418" w:hanging="1418"/>
        <w:jc w:val="center"/>
        <w:rPr>
          <w:rFonts w:cs="Arial"/>
          <w:b/>
          <w:szCs w:val="22"/>
        </w:rPr>
      </w:pPr>
      <w:proofErr w:type="gramStart"/>
      <w:r w:rsidRPr="00E138B8">
        <w:rPr>
          <w:rFonts w:eastAsia="Calibri" w:cs="Arial"/>
          <w:b/>
          <w:szCs w:val="22"/>
        </w:rPr>
        <w:t>use</w:t>
      </w:r>
      <w:proofErr w:type="gramEnd"/>
      <w:r w:rsidRPr="00E138B8">
        <w:rPr>
          <w:rFonts w:eastAsia="Calibri" w:cs="Arial"/>
          <w:b/>
          <w:szCs w:val="22"/>
        </w:rPr>
        <w:t xml:space="preserve"> of cargo transport units (CTUs) and related provisions</w:t>
      </w:r>
    </w:p>
    <w:p w:rsidR="00130DE2" w:rsidRDefault="00130DE2" w:rsidP="00130DE2">
      <w:pPr>
        <w:pStyle w:val="SingleTxtG"/>
        <w:tabs>
          <w:tab w:val="left" w:pos="2127"/>
        </w:tabs>
        <w:spacing w:after="0" w:line="240" w:lineRule="auto"/>
        <w:ind w:left="0" w:right="-2"/>
        <w:rPr>
          <w:rFonts w:ascii="Arial" w:hAnsi="Arial" w:cs="Arial"/>
          <w:sz w:val="22"/>
          <w:szCs w:val="22"/>
        </w:rPr>
      </w:pPr>
    </w:p>
    <w:p w:rsidR="00130DE2" w:rsidRDefault="00130DE2" w:rsidP="00130DE2">
      <w:pPr>
        <w:pStyle w:val="SingleTxtG"/>
        <w:tabs>
          <w:tab w:val="left" w:pos="2127"/>
        </w:tabs>
        <w:spacing w:after="0" w:line="240" w:lineRule="auto"/>
        <w:ind w:left="0" w:right="-2"/>
        <w:rPr>
          <w:rFonts w:ascii="Arial" w:hAnsi="Arial" w:cs="Arial"/>
          <w:sz w:val="22"/>
          <w:szCs w:val="22"/>
        </w:rPr>
      </w:pPr>
    </w:p>
    <w:p w:rsidR="00130DE2" w:rsidRPr="006B01DA" w:rsidRDefault="00130DE2" w:rsidP="00130DE2">
      <w:pPr>
        <w:pStyle w:val="SingleTxtG"/>
        <w:tabs>
          <w:tab w:val="left" w:pos="851"/>
          <w:tab w:val="left" w:pos="1701"/>
        </w:tabs>
        <w:spacing w:after="0" w:line="240" w:lineRule="auto"/>
        <w:ind w:left="0" w:right="0"/>
        <w:rPr>
          <w:b/>
        </w:rPr>
      </w:pPr>
      <w:r w:rsidRPr="006B01DA">
        <w:rPr>
          <w:b/>
        </w:rPr>
        <w:t xml:space="preserve">7.3.7 </w:t>
      </w:r>
      <w:r w:rsidRPr="006B01DA">
        <w:rPr>
          <w:b/>
        </w:rPr>
        <w:tab/>
        <w:t>Cargo transport units under temperature control</w:t>
      </w:r>
    </w:p>
    <w:p w:rsidR="00130DE2" w:rsidRPr="006B01DA" w:rsidRDefault="00130DE2" w:rsidP="00130DE2">
      <w:pPr>
        <w:pStyle w:val="SingleTxtG"/>
        <w:tabs>
          <w:tab w:val="left" w:pos="851"/>
          <w:tab w:val="left" w:pos="1701"/>
        </w:tabs>
        <w:spacing w:after="0" w:line="240" w:lineRule="auto"/>
        <w:ind w:left="0" w:right="0"/>
      </w:pPr>
    </w:p>
    <w:p w:rsidR="00130DE2" w:rsidRPr="006B01DA" w:rsidRDefault="00130DE2" w:rsidP="00130DE2">
      <w:pPr>
        <w:pStyle w:val="SingleTxtG"/>
        <w:tabs>
          <w:tab w:val="left" w:pos="851"/>
          <w:tab w:val="left" w:pos="1701"/>
        </w:tabs>
        <w:spacing w:after="0" w:line="240" w:lineRule="auto"/>
        <w:ind w:left="0" w:right="0"/>
      </w:pPr>
      <w:r w:rsidRPr="006B01DA">
        <w:t xml:space="preserve">Replace the provisions of 7.3.7 as follows: </w:t>
      </w:r>
    </w:p>
    <w:p w:rsidR="00130DE2" w:rsidRPr="006B01DA" w:rsidRDefault="00130DE2" w:rsidP="00130DE2">
      <w:pPr>
        <w:pStyle w:val="SingleTxtG"/>
        <w:tabs>
          <w:tab w:val="left" w:pos="851"/>
          <w:tab w:val="left" w:pos="1701"/>
        </w:tabs>
        <w:spacing w:after="0" w:line="240" w:lineRule="auto"/>
        <w:ind w:left="0" w:right="0"/>
      </w:pPr>
    </w:p>
    <w:p w:rsidR="00130DE2" w:rsidRPr="006B01DA" w:rsidRDefault="00130DE2" w:rsidP="00130DE2">
      <w:pPr>
        <w:pStyle w:val="SingleTxtG"/>
        <w:tabs>
          <w:tab w:val="left" w:pos="851"/>
          <w:tab w:val="left" w:pos="1701"/>
        </w:tabs>
        <w:spacing w:after="0" w:line="240" w:lineRule="auto"/>
        <w:ind w:left="0" w:right="0"/>
        <w:rPr>
          <w:b/>
        </w:rPr>
      </w:pPr>
      <w:r w:rsidRPr="006B01DA">
        <w:t>"</w:t>
      </w:r>
      <w:r w:rsidRPr="006B01DA">
        <w:rPr>
          <w:b/>
        </w:rPr>
        <w:t xml:space="preserve">7.3.7 </w:t>
      </w:r>
      <w:r w:rsidRPr="006B01DA">
        <w:rPr>
          <w:b/>
        </w:rPr>
        <w:tab/>
        <w:t>Cargo transport units under temperature control</w:t>
      </w:r>
    </w:p>
    <w:p w:rsidR="00130DE2" w:rsidRPr="006B01DA" w:rsidRDefault="00130DE2" w:rsidP="00130DE2">
      <w:pPr>
        <w:pStyle w:val="SingleTxtG"/>
        <w:tabs>
          <w:tab w:val="left" w:pos="851"/>
          <w:tab w:val="left" w:pos="1701"/>
        </w:tabs>
        <w:spacing w:after="0" w:line="240" w:lineRule="auto"/>
        <w:ind w:left="0" w:right="0"/>
        <w:rPr>
          <w:b/>
        </w:rPr>
      </w:pPr>
    </w:p>
    <w:p w:rsidR="00130DE2" w:rsidRPr="006B01DA" w:rsidRDefault="00130DE2" w:rsidP="00130DE2">
      <w:pPr>
        <w:pStyle w:val="SingleTxtG"/>
        <w:tabs>
          <w:tab w:val="left" w:pos="851"/>
          <w:tab w:val="left" w:pos="1701"/>
        </w:tabs>
        <w:spacing w:after="0" w:line="240" w:lineRule="auto"/>
        <w:ind w:left="0" w:right="0"/>
      </w:pPr>
    </w:p>
    <w:p w:rsidR="00130DE2" w:rsidRPr="006B01DA" w:rsidRDefault="00130DE2" w:rsidP="00130DE2">
      <w:pPr>
        <w:pStyle w:val="SingleTxtG"/>
        <w:tabs>
          <w:tab w:val="left" w:pos="851"/>
          <w:tab w:val="left" w:pos="1701"/>
        </w:tabs>
        <w:spacing w:after="0" w:line="240" w:lineRule="auto"/>
        <w:ind w:left="0" w:right="0"/>
        <w:rPr>
          <w:b/>
        </w:rPr>
      </w:pPr>
      <w:r w:rsidRPr="006B01DA">
        <w:rPr>
          <w:b/>
        </w:rPr>
        <w:t xml:space="preserve">7.3.7.2 </w:t>
      </w:r>
      <w:r w:rsidRPr="006B01DA">
        <w:rPr>
          <w:b/>
        </w:rPr>
        <w:tab/>
        <w:t>General provisions</w:t>
      </w:r>
    </w:p>
    <w:p w:rsidR="00130DE2" w:rsidRPr="006B01DA" w:rsidRDefault="00130DE2" w:rsidP="00130DE2">
      <w:pPr>
        <w:pStyle w:val="SingleTxtG"/>
        <w:spacing w:after="0" w:line="240" w:lineRule="auto"/>
        <w:ind w:left="1701" w:right="-2" w:hanging="850"/>
      </w:pPr>
    </w:p>
    <w:p w:rsidR="00130DE2" w:rsidRPr="006B01DA" w:rsidRDefault="00130DE2" w:rsidP="00130DE2">
      <w:pPr>
        <w:pStyle w:val="SingleTxtG"/>
        <w:spacing w:after="0" w:line="240" w:lineRule="auto"/>
        <w:ind w:left="1701" w:right="-2" w:hanging="1701"/>
      </w:pPr>
      <w:r w:rsidRPr="006B01DA">
        <w:t>7.3.7.2.6 Derivation of control and emergency temperatures</w:t>
      </w:r>
    </w:p>
    <w:p w:rsidR="006B01DA" w:rsidRDefault="006B01DA">
      <w:pPr>
        <w:suppressAutoHyphens w:val="0"/>
        <w:spacing w:line="240" w:lineRule="auto"/>
      </w:pPr>
      <w:r>
        <w:br w:type="page"/>
      </w:r>
    </w:p>
    <w:p w:rsidR="00130DE2" w:rsidRPr="006B01DA" w:rsidRDefault="00130DE2" w:rsidP="00130DE2">
      <w:pPr>
        <w:pStyle w:val="SingleTxtG"/>
        <w:spacing w:after="0" w:line="240" w:lineRule="auto"/>
        <w:ind w:left="1701" w:right="-2" w:hanging="850"/>
      </w:pPr>
    </w:p>
    <w:tbl>
      <w:tblPr>
        <w:tblStyle w:val="Tabellenraster2"/>
        <w:tblW w:w="0" w:type="auto"/>
        <w:tblInd w:w="534" w:type="dxa"/>
        <w:tblLook w:val="04A0" w:firstRow="1" w:lastRow="0" w:firstColumn="1" w:lastColumn="0" w:noHBand="0" w:noVBand="1"/>
      </w:tblPr>
      <w:tblGrid>
        <w:gridCol w:w="1559"/>
        <w:gridCol w:w="1984"/>
        <w:gridCol w:w="2552"/>
        <w:gridCol w:w="2583"/>
      </w:tblGrid>
      <w:tr w:rsidR="00130DE2" w:rsidRPr="004915A9" w:rsidTr="006D7939">
        <w:trPr>
          <w:tblHeader/>
        </w:trPr>
        <w:tc>
          <w:tcPr>
            <w:tcW w:w="1559" w:type="dxa"/>
          </w:tcPr>
          <w:p w:rsidR="00130DE2" w:rsidRPr="008408EA" w:rsidRDefault="00130DE2" w:rsidP="006D7939">
            <w:pPr>
              <w:spacing w:line="276" w:lineRule="auto"/>
              <w:ind w:right="-2"/>
              <w:rPr>
                <w:lang w:val="en-GB"/>
              </w:rPr>
            </w:pPr>
            <w:r w:rsidRPr="008408EA">
              <w:t>Type of receptacle</w:t>
            </w:r>
          </w:p>
        </w:tc>
        <w:tc>
          <w:tcPr>
            <w:tcW w:w="1984" w:type="dxa"/>
          </w:tcPr>
          <w:p w:rsidR="00130DE2" w:rsidRPr="008408EA" w:rsidRDefault="00130DE2" w:rsidP="006D7939">
            <w:pPr>
              <w:spacing w:line="276" w:lineRule="auto"/>
              <w:ind w:right="-2"/>
              <w:rPr>
                <w:lang w:val="en-GB"/>
              </w:rPr>
            </w:pPr>
            <w:r w:rsidRPr="008408EA">
              <w:t>SADT</w:t>
            </w:r>
            <w:r w:rsidRPr="008408EA">
              <w:rPr>
                <w:vertAlign w:val="superscript"/>
              </w:rPr>
              <w:t xml:space="preserve">a </w:t>
            </w:r>
            <w:r w:rsidRPr="008408EA">
              <w:t>/SAPT</w:t>
            </w:r>
            <w:r w:rsidRPr="008408EA">
              <w:rPr>
                <w:vertAlign w:val="superscript"/>
              </w:rPr>
              <w:t>a</w:t>
            </w:r>
          </w:p>
        </w:tc>
        <w:tc>
          <w:tcPr>
            <w:tcW w:w="2552" w:type="dxa"/>
          </w:tcPr>
          <w:p w:rsidR="00130DE2" w:rsidRPr="008408EA" w:rsidRDefault="00130DE2" w:rsidP="006D7939">
            <w:pPr>
              <w:spacing w:line="276" w:lineRule="auto"/>
              <w:ind w:right="-2"/>
              <w:rPr>
                <w:lang w:val="en-GB"/>
              </w:rPr>
            </w:pPr>
            <w:r w:rsidRPr="008408EA">
              <w:t xml:space="preserve">Control temperature </w:t>
            </w:r>
          </w:p>
        </w:tc>
        <w:tc>
          <w:tcPr>
            <w:tcW w:w="2583" w:type="dxa"/>
          </w:tcPr>
          <w:p w:rsidR="00130DE2" w:rsidRPr="008408EA" w:rsidRDefault="00130DE2" w:rsidP="006D7939">
            <w:pPr>
              <w:spacing w:line="276" w:lineRule="auto"/>
              <w:ind w:right="-2"/>
              <w:rPr>
                <w:lang w:val="en-GB"/>
              </w:rPr>
            </w:pPr>
            <w:r w:rsidRPr="008408EA">
              <w:t>Emergency temperature</w:t>
            </w:r>
          </w:p>
        </w:tc>
      </w:tr>
      <w:tr w:rsidR="00130DE2" w:rsidRPr="004915A9" w:rsidTr="006D7939">
        <w:tc>
          <w:tcPr>
            <w:tcW w:w="1559" w:type="dxa"/>
          </w:tcPr>
          <w:p w:rsidR="00130DE2" w:rsidRPr="008408EA" w:rsidRDefault="00130DE2" w:rsidP="006D7939">
            <w:pPr>
              <w:spacing w:line="276" w:lineRule="auto"/>
              <w:ind w:right="-2"/>
              <w:rPr>
                <w:lang w:val="en-GB"/>
              </w:rPr>
            </w:pPr>
            <w:r w:rsidRPr="008408EA">
              <w:t>Single packagings and IBCs</w:t>
            </w:r>
          </w:p>
        </w:tc>
        <w:tc>
          <w:tcPr>
            <w:tcW w:w="1984" w:type="dxa"/>
          </w:tcPr>
          <w:p w:rsidR="00130DE2" w:rsidRPr="008408EA" w:rsidRDefault="00130DE2" w:rsidP="006D7939">
            <w:pPr>
              <w:spacing w:line="276" w:lineRule="auto"/>
              <w:ind w:right="-2"/>
              <w:rPr>
                <w:lang w:val="en-GB"/>
              </w:rPr>
            </w:pPr>
            <w:r w:rsidRPr="008408EA">
              <w:t>20°C or less</w:t>
            </w:r>
          </w:p>
          <w:p w:rsidR="00130DE2" w:rsidRPr="008408EA" w:rsidRDefault="00130DE2" w:rsidP="006D7939">
            <w:pPr>
              <w:spacing w:line="276" w:lineRule="auto"/>
              <w:ind w:right="-2"/>
              <w:rPr>
                <w:lang w:val="en-GB"/>
              </w:rPr>
            </w:pPr>
            <w:r w:rsidRPr="008408EA">
              <w:t>over 20°C to</w:t>
            </w:r>
          </w:p>
          <w:p w:rsidR="00130DE2" w:rsidRPr="008408EA" w:rsidRDefault="00130DE2" w:rsidP="006D7939">
            <w:pPr>
              <w:spacing w:line="276" w:lineRule="auto"/>
              <w:ind w:right="-2"/>
              <w:rPr>
                <w:lang w:val="en-GB"/>
              </w:rPr>
            </w:pPr>
            <w:r w:rsidRPr="008408EA">
              <w:t>35°C</w:t>
            </w:r>
          </w:p>
          <w:p w:rsidR="00130DE2" w:rsidRPr="008408EA" w:rsidRDefault="00130DE2" w:rsidP="006D7939">
            <w:pPr>
              <w:spacing w:line="276" w:lineRule="auto"/>
              <w:ind w:right="-2"/>
              <w:rPr>
                <w:lang w:val="en-GB"/>
              </w:rPr>
            </w:pPr>
            <w:r w:rsidRPr="008408EA">
              <w:t>over 35°C</w:t>
            </w:r>
          </w:p>
        </w:tc>
        <w:tc>
          <w:tcPr>
            <w:tcW w:w="2552" w:type="dxa"/>
          </w:tcPr>
          <w:p w:rsidR="00130DE2" w:rsidRPr="008408EA" w:rsidRDefault="00130DE2" w:rsidP="006D7939">
            <w:pPr>
              <w:spacing w:line="276" w:lineRule="auto"/>
              <w:ind w:right="-2"/>
              <w:rPr>
                <w:lang w:val="en-GB"/>
              </w:rPr>
            </w:pPr>
            <w:r w:rsidRPr="008408EA">
              <w:t>20°C below SADT/SAPT</w:t>
            </w:r>
          </w:p>
          <w:p w:rsidR="00130DE2" w:rsidRPr="008408EA" w:rsidRDefault="00130DE2" w:rsidP="006D7939">
            <w:pPr>
              <w:spacing w:line="276" w:lineRule="auto"/>
              <w:ind w:right="-2"/>
              <w:rPr>
                <w:lang w:val="en-GB"/>
              </w:rPr>
            </w:pPr>
            <w:r w:rsidRPr="008408EA">
              <w:t>15°C below SADT/SAPT</w:t>
            </w:r>
          </w:p>
          <w:p w:rsidR="00130DE2" w:rsidRPr="008408EA" w:rsidRDefault="00130DE2" w:rsidP="006D7939">
            <w:pPr>
              <w:spacing w:line="276" w:lineRule="auto"/>
              <w:ind w:right="-2"/>
              <w:rPr>
                <w:lang w:val="en-GB"/>
              </w:rPr>
            </w:pPr>
            <w:r w:rsidRPr="008408EA">
              <w:t>10°C below SADT/SAPT</w:t>
            </w:r>
          </w:p>
        </w:tc>
        <w:tc>
          <w:tcPr>
            <w:tcW w:w="2583" w:type="dxa"/>
          </w:tcPr>
          <w:p w:rsidR="00130DE2" w:rsidRPr="008408EA" w:rsidRDefault="00130DE2" w:rsidP="006D7939">
            <w:pPr>
              <w:spacing w:line="276" w:lineRule="auto"/>
              <w:ind w:right="-2"/>
              <w:rPr>
                <w:lang w:val="en-GB"/>
              </w:rPr>
            </w:pPr>
            <w:r w:rsidRPr="008408EA">
              <w:t xml:space="preserve">10°C below SADT/SAPT </w:t>
            </w:r>
          </w:p>
          <w:p w:rsidR="00130DE2" w:rsidRPr="008408EA" w:rsidRDefault="00130DE2" w:rsidP="006D7939">
            <w:pPr>
              <w:spacing w:line="276" w:lineRule="auto"/>
              <w:ind w:right="-2"/>
              <w:rPr>
                <w:lang w:val="en-GB"/>
              </w:rPr>
            </w:pPr>
            <w:r w:rsidRPr="008408EA">
              <w:t xml:space="preserve">10°C below SADT/SAPT </w:t>
            </w:r>
          </w:p>
          <w:p w:rsidR="00130DE2" w:rsidRPr="008408EA" w:rsidRDefault="00130DE2" w:rsidP="006D7939">
            <w:pPr>
              <w:spacing w:line="276" w:lineRule="auto"/>
              <w:ind w:right="-2"/>
              <w:rPr>
                <w:lang w:val="en-GB"/>
              </w:rPr>
            </w:pPr>
            <w:r w:rsidRPr="008408EA">
              <w:t>5°C below SADT/SAPT</w:t>
            </w:r>
          </w:p>
        </w:tc>
      </w:tr>
      <w:tr w:rsidR="00130DE2" w:rsidRPr="00281072" w:rsidTr="006D7939">
        <w:trPr>
          <w:trHeight w:val="561"/>
        </w:trPr>
        <w:tc>
          <w:tcPr>
            <w:tcW w:w="1559" w:type="dxa"/>
          </w:tcPr>
          <w:p w:rsidR="00130DE2" w:rsidRPr="008408EA" w:rsidRDefault="00130DE2" w:rsidP="006D7939">
            <w:pPr>
              <w:spacing w:line="276" w:lineRule="auto"/>
              <w:ind w:right="-2"/>
              <w:rPr>
                <w:lang w:val="en-GB"/>
              </w:rPr>
            </w:pPr>
            <w:r w:rsidRPr="008408EA">
              <w:t>Portable tanks</w:t>
            </w:r>
          </w:p>
        </w:tc>
        <w:tc>
          <w:tcPr>
            <w:tcW w:w="1984" w:type="dxa"/>
          </w:tcPr>
          <w:p w:rsidR="00130DE2" w:rsidRPr="008408EA" w:rsidRDefault="00130DE2" w:rsidP="006D7939">
            <w:pPr>
              <w:spacing w:line="276" w:lineRule="auto"/>
              <w:ind w:right="-2"/>
              <w:rPr>
                <w:lang w:val="en-GB"/>
              </w:rPr>
            </w:pPr>
            <w:r w:rsidRPr="008408EA">
              <w:rPr>
                <w:rFonts w:cs="Arial" w:hint="eastAsia"/>
                <w:highlight w:val="cyan"/>
              </w:rPr>
              <w:t>≤</w:t>
            </w:r>
            <w:r w:rsidRPr="008408EA">
              <w:rPr>
                <w:highlight w:val="cyan"/>
              </w:rPr>
              <w:t xml:space="preserve"> 45°C</w:t>
            </w:r>
          </w:p>
        </w:tc>
        <w:tc>
          <w:tcPr>
            <w:tcW w:w="2552" w:type="dxa"/>
          </w:tcPr>
          <w:p w:rsidR="00130DE2" w:rsidRPr="008408EA" w:rsidRDefault="00130DE2" w:rsidP="006D7939">
            <w:pPr>
              <w:spacing w:line="276" w:lineRule="auto"/>
              <w:ind w:right="-2"/>
              <w:rPr>
                <w:lang w:val="en-GB"/>
              </w:rPr>
            </w:pPr>
            <w:r w:rsidRPr="008408EA">
              <w:t>10°C below SADT/SAPT</w:t>
            </w:r>
          </w:p>
        </w:tc>
        <w:tc>
          <w:tcPr>
            <w:tcW w:w="2583" w:type="dxa"/>
          </w:tcPr>
          <w:p w:rsidR="00130DE2" w:rsidRPr="008408EA" w:rsidRDefault="00130DE2" w:rsidP="006D7939">
            <w:pPr>
              <w:spacing w:line="276" w:lineRule="auto"/>
              <w:ind w:right="-2"/>
              <w:rPr>
                <w:lang w:val="en-GB"/>
              </w:rPr>
            </w:pPr>
            <w:r w:rsidRPr="008408EA">
              <w:t>5°C below SADT/SAPT</w:t>
            </w:r>
          </w:p>
        </w:tc>
      </w:tr>
    </w:tbl>
    <w:p w:rsidR="00130DE2" w:rsidRPr="00281072" w:rsidRDefault="00130DE2" w:rsidP="00130DE2">
      <w:pPr>
        <w:pStyle w:val="SingleTxtG"/>
        <w:spacing w:after="0"/>
        <w:ind w:right="-2"/>
        <w:rPr>
          <w:rFonts w:ascii="Arial" w:hAnsi="Arial" w:cs="Arial"/>
          <w:sz w:val="22"/>
          <w:szCs w:val="22"/>
          <w:highlight w:val="yellow"/>
        </w:rPr>
      </w:pPr>
    </w:p>
    <w:p w:rsidR="00130DE2" w:rsidRPr="006B01DA" w:rsidRDefault="00130DE2" w:rsidP="00130DE2">
      <w:pPr>
        <w:pStyle w:val="SingleTxtG"/>
        <w:spacing w:after="0"/>
        <w:ind w:left="2268" w:right="-2" w:hanging="567"/>
        <w:rPr>
          <w:sz w:val="22"/>
          <w:szCs w:val="22"/>
        </w:rPr>
      </w:pPr>
      <w:proofErr w:type="spellStart"/>
      <w:proofErr w:type="gramStart"/>
      <w:r w:rsidRPr="006B01DA">
        <w:rPr>
          <w:sz w:val="22"/>
          <w:szCs w:val="22"/>
          <w:vertAlign w:val="superscript"/>
        </w:rPr>
        <w:t>a</w:t>
      </w:r>
      <w:proofErr w:type="spellEnd"/>
      <w:proofErr w:type="gramEnd"/>
      <w:r w:rsidRPr="006B01DA">
        <w:rPr>
          <w:sz w:val="22"/>
          <w:szCs w:val="22"/>
          <w:vertAlign w:val="superscript"/>
        </w:rPr>
        <w:tab/>
      </w:r>
      <w:r w:rsidRPr="006B01DA">
        <w:rPr>
          <w:sz w:val="22"/>
          <w:szCs w:val="22"/>
        </w:rPr>
        <w:t>i.e. the SADT/SAPT of the substance as packed for transport.</w:t>
      </w:r>
    </w:p>
    <w:p w:rsidR="00130DE2" w:rsidRPr="006B01DA" w:rsidRDefault="00130DE2" w:rsidP="00130DE2">
      <w:pPr>
        <w:pStyle w:val="SingleTxtG"/>
        <w:tabs>
          <w:tab w:val="left" w:pos="851"/>
          <w:tab w:val="left" w:pos="1701"/>
        </w:tabs>
        <w:spacing w:after="0" w:line="240" w:lineRule="auto"/>
        <w:ind w:left="0" w:right="0"/>
        <w:rPr>
          <w:sz w:val="22"/>
          <w:szCs w:val="22"/>
        </w:rPr>
      </w:pPr>
    </w:p>
    <w:p w:rsidR="00130DE2" w:rsidRPr="006B01DA" w:rsidRDefault="00130DE2" w:rsidP="00130DE2">
      <w:pPr>
        <w:pStyle w:val="SingleTxtG"/>
        <w:tabs>
          <w:tab w:val="left" w:pos="851"/>
          <w:tab w:val="left" w:pos="1701"/>
        </w:tabs>
        <w:spacing w:after="0" w:line="240" w:lineRule="auto"/>
        <w:ind w:left="0" w:right="0"/>
        <w:rPr>
          <w:sz w:val="22"/>
          <w:szCs w:val="22"/>
        </w:rPr>
      </w:pPr>
    </w:p>
    <w:p w:rsidR="00130DE2" w:rsidRPr="006B01DA" w:rsidRDefault="00130DE2" w:rsidP="00130DE2">
      <w:pPr>
        <w:pStyle w:val="SingleTxtG"/>
        <w:keepNext/>
        <w:keepLines/>
        <w:tabs>
          <w:tab w:val="left" w:pos="2127"/>
        </w:tabs>
        <w:spacing w:after="0"/>
        <w:ind w:left="0" w:right="0"/>
        <w:jc w:val="center"/>
        <w:rPr>
          <w:b/>
          <w:sz w:val="22"/>
          <w:szCs w:val="22"/>
        </w:rPr>
      </w:pPr>
      <w:r w:rsidRPr="006B01DA">
        <w:rPr>
          <w:b/>
          <w:sz w:val="22"/>
          <w:szCs w:val="22"/>
        </w:rPr>
        <w:t>Appendix A</w:t>
      </w:r>
    </w:p>
    <w:p w:rsidR="00130DE2" w:rsidRPr="006B01DA" w:rsidRDefault="00130DE2" w:rsidP="00130DE2">
      <w:pPr>
        <w:pStyle w:val="SingleTxtG"/>
        <w:keepNext/>
        <w:keepLines/>
        <w:tabs>
          <w:tab w:val="left" w:pos="2127"/>
        </w:tabs>
        <w:spacing w:after="0"/>
        <w:ind w:left="0" w:right="0"/>
        <w:jc w:val="center"/>
        <w:rPr>
          <w:b/>
          <w:sz w:val="22"/>
          <w:szCs w:val="22"/>
        </w:rPr>
      </w:pPr>
      <w:r w:rsidRPr="006B01DA">
        <w:rPr>
          <w:b/>
          <w:sz w:val="22"/>
          <w:szCs w:val="22"/>
        </w:rPr>
        <w:t>List of generic and N.O.S. proper shipping names</w:t>
      </w:r>
    </w:p>
    <w:p w:rsidR="00130DE2" w:rsidRPr="006B01DA" w:rsidRDefault="00130DE2" w:rsidP="00130DE2">
      <w:pPr>
        <w:pStyle w:val="SingleTxtG"/>
        <w:keepNext/>
        <w:keepLines/>
        <w:tabs>
          <w:tab w:val="left" w:pos="2127"/>
        </w:tabs>
        <w:spacing w:after="0"/>
        <w:ind w:left="0" w:right="0"/>
        <w:jc w:val="center"/>
        <w:rPr>
          <w:b/>
          <w:sz w:val="22"/>
          <w:szCs w:val="22"/>
        </w:rPr>
      </w:pPr>
    </w:p>
    <w:p w:rsidR="00130DE2" w:rsidRPr="006B01DA" w:rsidRDefault="00130DE2" w:rsidP="00130DE2">
      <w:pPr>
        <w:pStyle w:val="SingleTxtG"/>
        <w:keepNext/>
        <w:keepLines/>
        <w:tabs>
          <w:tab w:val="left" w:pos="2127"/>
        </w:tabs>
        <w:spacing w:after="0" w:line="240" w:lineRule="auto"/>
        <w:ind w:left="0" w:right="-2"/>
        <w:rPr>
          <w:sz w:val="22"/>
          <w:szCs w:val="22"/>
          <w:lang w:val="en-US"/>
        </w:rPr>
      </w:pPr>
      <w:r w:rsidRPr="006B01DA">
        <w:rPr>
          <w:sz w:val="22"/>
          <w:szCs w:val="22"/>
          <w:lang w:val="en-US"/>
        </w:rPr>
        <w:t>In the table, for class 2.1, under "General entries", after 3510, add the following new entry:</w:t>
      </w:r>
    </w:p>
    <w:p w:rsidR="00130DE2" w:rsidRPr="00390D91" w:rsidRDefault="00130DE2" w:rsidP="00130DE2">
      <w:pPr>
        <w:pStyle w:val="SingleTxtG"/>
        <w:keepNext/>
        <w:keepLines/>
        <w:tabs>
          <w:tab w:val="left" w:pos="2127"/>
        </w:tabs>
        <w:spacing w:after="0" w:line="240" w:lineRule="auto"/>
        <w:ind w:left="0" w:right="-2"/>
        <w:rPr>
          <w:rFonts w:ascii="Arial" w:hAnsi="Arial" w:cs="Arial"/>
          <w:sz w:val="22"/>
          <w:szCs w:val="22"/>
          <w:lang w:val="en-US"/>
        </w:rPr>
      </w:pPr>
    </w:p>
    <w:tbl>
      <w:tblPr>
        <w:tblStyle w:val="TableGrid"/>
        <w:tblW w:w="0" w:type="auto"/>
        <w:tblInd w:w="846" w:type="dxa"/>
        <w:tblLook w:val="04A0" w:firstRow="1" w:lastRow="0" w:firstColumn="1" w:lastColumn="0" w:noHBand="0" w:noVBand="1"/>
      </w:tblPr>
      <w:tblGrid>
        <w:gridCol w:w="2053"/>
        <w:gridCol w:w="2054"/>
        <w:gridCol w:w="1705"/>
        <w:gridCol w:w="2402"/>
      </w:tblGrid>
      <w:tr w:rsidR="00130DE2" w:rsidRPr="006B01DA" w:rsidTr="006D7939">
        <w:tc>
          <w:tcPr>
            <w:tcW w:w="2053" w:type="dxa"/>
          </w:tcPr>
          <w:p w:rsidR="00130DE2" w:rsidRPr="006B01DA" w:rsidRDefault="00130DE2" w:rsidP="006D7939">
            <w:pPr>
              <w:pStyle w:val="SingleTxtG"/>
              <w:keepNext/>
              <w:keepLines/>
              <w:spacing w:after="0" w:line="240" w:lineRule="auto"/>
              <w:ind w:left="34" w:right="-2"/>
              <w:rPr>
                <w:lang w:val="en-US"/>
              </w:rPr>
            </w:pPr>
            <w:r w:rsidRPr="006B01DA">
              <w:rPr>
                <w:lang w:val="en-US"/>
              </w:rPr>
              <w:t>2.1</w:t>
            </w:r>
          </w:p>
        </w:tc>
        <w:tc>
          <w:tcPr>
            <w:tcW w:w="2054" w:type="dxa"/>
          </w:tcPr>
          <w:p w:rsidR="00130DE2" w:rsidRPr="006B01DA" w:rsidRDefault="00130DE2" w:rsidP="006D7939">
            <w:pPr>
              <w:pStyle w:val="SingleTxtG"/>
              <w:keepNext/>
              <w:keepLines/>
              <w:tabs>
                <w:tab w:val="left" w:pos="2127"/>
              </w:tabs>
              <w:spacing w:after="0" w:line="240" w:lineRule="auto"/>
              <w:ind w:left="74" w:right="-2"/>
              <w:rPr>
                <w:lang w:val="en-US"/>
              </w:rPr>
            </w:pPr>
            <w:r w:rsidRPr="006B01DA">
              <w:rPr>
                <w:lang w:val="en-US"/>
              </w:rPr>
              <w:t>See 2.0.6.6</w:t>
            </w:r>
          </w:p>
        </w:tc>
        <w:tc>
          <w:tcPr>
            <w:tcW w:w="1705" w:type="dxa"/>
          </w:tcPr>
          <w:p w:rsidR="00130DE2" w:rsidRPr="006B01DA" w:rsidRDefault="00130DE2" w:rsidP="006D7939">
            <w:pPr>
              <w:pStyle w:val="SingleTxtG"/>
              <w:keepNext/>
              <w:keepLines/>
              <w:tabs>
                <w:tab w:val="left" w:pos="2127"/>
              </w:tabs>
              <w:spacing w:after="0" w:line="240" w:lineRule="auto"/>
              <w:ind w:left="36" w:right="-2"/>
              <w:rPr>
                <w:lang w:val="en-US"/>
              </w:rPr>
            </w:pPr>
            <w:r w:rsidRPr="006B01DA">
              <w:rPr>
                <w:lang w:val="en-US"/>
              </w:rPr>
              <w:t>3537</w:t>
            </w:r>
          </w:p>
        </w:tc>
        <w:tc>
          <w:tcPr>
            <w:tcW w:w="2402" w:type="dxa"/>
          </w:tcPr>
          <w:p w:rsidR="00130DE2" w:rsidRPr="006B01DA" w:rsidRDefault="00130DE2" w:rsidP="006D7939">
            <w:pPr>
              <w:pStyle w:val="SingleTxtG"/>
              <w:keepNext/>
              <w:keepLines/>
              <w:tabs>
                <w:tab w:val="left" w:pos="2127"/>
              </w:tabs>
              <w:spacing w:after="0" w:line="240" w:lineRule="auto"/>
              <w:ind w:left="0" w:right="-2"/>
              <w:jc w:val="left"/>
              <w:rPr>
                <w:lang w:val="fr-FR"/>
              </w:rPr>
            </w:pPr>
            <w:r w:rsidRPr="006B01DA">
              <w:rPr>
                <w:lang w:val="fr-FR"/>
              </w:rPr>
              <w:t xml:space="preserve">ARTICLES CONTAINING FLAMMABLE </w:t>
            </w:r>
            <w:r w:rsidRPr="006B01DA">
              <w:rPr>
                <w:highlight w:val="cyan"/>
                <w:lang w:val="fr-FR"/>
              </w:rPr>
              <w:t>GAS</w:t>
            </w:r>
            <w:r w:rsidRPr="006B01DA">
              <w:rPr>
                <w:lang w:val="fr-FR"/>
              </w:rPr>
              <w:t>, N.O.S.</w:t>
            </w:r>
          </w:p>
        </w:tc>
      </w:tr>
    </w:tbl>
    <w:p w:rsidR="00130DE2" w:rsidRPr="00A442CC" w:rsidRDefault="00130DE2" w:rsidP="00130DE2">
      <w:pPr>
        <w:pStyle w:val="SingleTxtG"/>
        <w:tabs>
          <w:tab w:val="left" w:pos="2127"/>
        </w:tabs>
        <w:spacing w:after="0" w:line="240" w:lineRule="auto"/>
        <w:ind w:left="0" w:right="-2"/>
        <w:rPr>
          <w:rFonts w:ascii="Arial" w:hAnsi="Arial" w:cs="Arial"/>
          <w:sz w:val="22"/>
          <w:szCs w:val="22"/>
          <w:lang w:val="fr-FR"/>
        </w:rPr>
      </w:pPr>
    </w:p>
    <w:p w:rsidR="00130DE2" w:rsidRDefault="00130DE2" w:rsidP="00867DF0">
      <w:pPr>
        <w:pStyle w:val="SingleTxtG"/>
      </w:pPr>
    </w:p>
    <w:p w:rsidR="00ED7F91" w:rsidRDefault="00ED7F91" w:rsidP="00FD140E"/>
    <w:p w:rsidR="00ED7F91" w:rsidRPr="00FD140E" w:rsidRDefault="00ED7F91" w:rsidP="00ED7F91">
      <w:pPr>
        <w:jc w:val="center"/>
      </w:pPr>
      <w:r>
        <w:t>_________________</w:t>
      </w:r>
    </w:p>
    <w:sectPr w:rsidR="00ED7F91" w:rsidRPr="00FD140E" w:rsidSect="003500E5">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7DB" w:rsidRDefault="00CD17DB"/>
  </w:endnote>
  <w:endnote w:type="continuationSeparator" w:id="0">
    <w:p w:rsidR="00CD17DB" w:rsidRDefault="00CD17DB"/>
  </w:endnote>
  <w:endnote w:type="continuationNotice" w:id="1">
    <w:p w:rsidR="00CD17DB" w:rsidRDefault="00CD1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284F49" w:rsidRDefault="006D7939"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3A3660">
      <w:rPr>
        <w:rStyle w:val="PageNumber"/>
        <w:noProof/>
      </w:rPr>
      <w:t>12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284F49" w:rsidRDefault="006D7939"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3A3660">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7DB" w:rsidRPr="000B175B" w:rsidRDefault="00CD17DB" w:rsidP="000B175B">
      <w:pPr>
        <w:tabs>
          <w:tab w:val="right" w:pos="2155"/>
        </w:tabs>
        <w:spacing w:after="80"/>
        <w:ind w:left="680"/>
        <w:rPr>
          <w:u w:val="single"/>
        </w:rPr>
      </w:pPr>
      <w:r>
        <w:rPr>
          <w:u w:val="single"/>
        </w:rPr>
        <w:tab/>
      </w:r>
    </w:p>
  </w:footnote>
  <w:footnote w:type="continuationSeparator" w:id="0">
    <w:p w:rsidR="00CD17DB" w:rsidRPr="00FC68B7" w:rsidRDefault="00CD17DB" w:rsidP="00FC68B7">
      <w:pPr>
        <w:tabs>
          <w:tab w:val="left" w:pos="2155"/>
        </w:tabs>
        <w:spacing w:after="80"/>
        <w:ind w:left="680"/>
        <w:rPr>
          <w:u w:val="single"/>
        </w:rPr>
      </w:pPr>
      <w:r>
        <w:rPr>
          <w:u w:val="single"/>
        </w:rPr>
        <w:tab/>
      </w:r>
    </w:p>
  </w:footnote>
  <w:footnote w:type="continuationNotice" w:id="1">
    <w:p w:rsidR="00CD17DB" w:rsidRDefault="00CD17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C935A3" w:rsidRDefault="006B01DA">
    <w:pPr>
      <w:pStyle w:val="Header"/>
    </w:pPr>
    <w:r>
      <w:t>UN/SCETDG/51/INF.37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39" w:rsidRPr="00C935A3" w:rsidRDefault="006D7939" w:rsidP="00C935A3">
    <w:pPr>
      <w:pStyle w:val="Header"/>
      <w:jc w:val="right"/>
    </w:pPr>
    <w:r>
      <w:t>UN/SCETDG/51/INF.</w:t>
    </w:r>
    <w:r w:rsidR="003A3660">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4056BEF"/>
    <w:multiLevelType w:val="hybridMultilevel"/>
    <w:tmpl w:val="02A494F2"/>
    <w:lvl w:ilvl="0" w:tplc="CC02EE3C">
      <w:start w:val="1"/>
      <w:numFmt w:val="lowerRoman"/>
      <w:lvlText w:val="(%1)"/>
      <w:lvlJc w:val="left"/>
      <w:pPr>
        <w:ind w:left="2999" w:hanging="720"/>
      </w:pPr>
    </w:lvl>
    <w:lvl w:ilvl="1" w:tplc="04090019">
      <w:start w:val="1"/>
      <w:numFmt w:val="upperLetter"/>
      <w:lvlText w:val="%2."/>
      <w:lvlJc w:val="left"/>
      <w:pPr>
        <w:ind w:left="3079" w:hanging="400"/>
      </w:pPr>
    </w:lvl>
    <w:lvl w:ilvl="2" w:tplc="0409001B">
      <w:start w:val="1"/>
      <w:numFmt w:val="lowerRoman"/>
      <w:lvlText w:val="%3."/>
      <w:lvlJc w:val="right"/>
      <w:pPr>
        <w:ind w:left="3479" w:hanging="400"/>
      </w:pPr>
    </w:lvl>
    <w:lvl w:ilvl="3" w:tplc="0409000F">
      <w:start w:val="1"/>
      <w:numFmt w:val="decimal"/>
      <w:lvlText w:val="%4."/>
      <w:lvlJc w:val="left"/>
      <w:pPr>
        <w:ind w:left="3879" w:hanging="400"/>
      </w:pPr>
    </w:lvl>
    <w:lvl w:ilvl="4" w:tplc="04090019">
      <w:start w:val="1"/>
      <w:numFmt w:val="upperLetter"/>
      <w:lvlText w:val="%5."/>
      <w:lvlJc w:val="left"/>
      <w:pPr>
        <w:ind w:left="4279" w:hanging="400"/>
      </w:pPr>
    </w:lvl>
    <w:lvl w:ilvl="5" w:tplc="0409001B">
      <w:start w:val="1"/>
      <w:numFmt w:val="lowerRoman"/>
      <w:lvlText w:val="%6."/>
      <w:lvlJc w:val="right"/>
      <w:pPr>
        <w:ind w:left="4679" w:hanging="400"/>
      </w:pPr>
    </w:lvl>
    <w:lvl w:ilvl="6" w:tplc="0409000F">
      <w:start w:val="1"/>
      <w:numFmt w:val="decimal"/>
      <w:lvlText w:val="%7."/>
      <w:lvlJc w:val="left"/>
      <w:pPr>
        <w:ind w:left="5079" w:hanging="400"/>
      </w:pPr>
    </w:lvl>
    <w:lvl w:ilvl="7" w:tplc="04090019">
      <w:start w:val="1"/>
      <w:numFmt w:val="upperLetter"/>
      <w:lvlText w:val="%8."/>
      <w:lvlJc w:val="left"/>
      <w:pPr>
        <w:ind w:left="5479" w:hanging="400"/>
      </w:pPr>
    </w:lvl>
    <w:lvl w:ilvl="8" w:tplc="0409001B">
      <w:start w:val="1"/>
      <w:numFmt w:val="lowerRoman"/>
      <w:lvlText w:val="%9."/>
      <w:lvlJc w:val="right"/>
      <w:pPr>
        <w:ind w:left="5879" w:hanging="40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5">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9">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3">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5">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6">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7">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8">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4">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5">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0"/>
  </w:num>
  <w:num w:numId="12">
    <w:abstractNumId w:val="17"/>
  </w:num>
  <w:num w:numId="13">
    <w:abstractNumId w:val="12"/>
  </w:num>
  <w:num w:numId="14">
    <w:abstractNumId w:val="32"/>
  </w:num>
  <w:num w:numId="15">
    <w:abstractNumId w:val="36"/>
  </w:num>
  <w:num w:numId="16">
    <w:abstractNumId w:val="13"/>
  </w:num>
  <w:num w:numId="17">
    <w:abstractNumId w:val="16"/>
  </w:num>
  <w:num w:numId="18">
    <w:abstractNumId w:val="31"/>
  </w:num>
  <w:num w:numId="19">
    <w:abstractNumId w:val="20"/>
  </w:num>
  <w:num w:numId="20">
    <w:abstractNumId w:val="24"/>
  </w:num>
  <w:num w:numId="21">
    <w:abstractNumId w:val="37"/>
  </w:num>
  <w:num w:numId="22">
    <w:abstractNumId w:val="26"/>
  </w:num>
  <w:num w:numId="23">
    <w:abstractNumId w:val="27"/>
  </w:num>
  <w:num w:numId="24">
    <w:abstractNumId w:val="33"/>
  </w:num>
  <w:num w:numId="25">
    <w:abstractNumId w:val="25"/>
  </w:num>
  <w:num w:numId="26">
    <w:abstractNumId w:val="18"/>
  </w:num>
  <w:num w:numId="27">
    <w:abstractNumId w:val="21"/>
  </w:num>
  <w:num w:numId="28">
    <w:abstractNumId w:val="35"/>
  </w:num>
  <w:num w:numId="29">
    <w:abstractNumId w:val="28"/>
  </w:num>
  <w:num w:numId="30">
    <w:abstractNumId w:val="14"/>
  </w:num>
  <w:num w:numId="31">
    <w:abstractNumId w:val="34"/>
  </w:num>
  <w:num w:numId="32">
    <w:abstractNumId w:val="10"/>
  </w:num>
  <w:num w:numId="33">
    <w:abstractNumId w:val="22"/>
  </w:num>
  <w:num w:numId="34">
    <w:abstractNumId w:val="23"/>
  </w:num>
  <w:num w:numId="35">
    <w:abstractNumId w:val="15"/>
  </w:num>
  <w:num w:numId="36">
    <w:abstractNumId w:val="29"/>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3C8"/>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0D2"/>
    <w:rsid w:val="00122213"/>
    <w:rsid w:val="001222FF"/>
    <w:rsid w:val="0012260A"/>
    <w:rsid w:val="00123ED5"/>
    <w:rsid w:val="00125ECE"/>
    <w:rsid w:val="00126790"/>
    <w:rsid w:val="001271D9"/>
    <w:rsid w:val="00127822"/>
    <w:rsid w:val="00130DE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4A40"/>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69DB"/>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2E19"/>
    <w:rsid w:val="00233569"/>
    <w:rsid w:val="002335A3"/>
    <w:rsid w:val="00233D28"/>
    <w:rsid w:val="0023489D"/>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70D"/>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405"/>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00E5"/>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232"/>
    <w:rsid w:val="003A1647"/>
    <w:rsid w:val="003A1892"/>
    <w:rsid w:val="003A1DED"/>
    <w:rsid w:val="003A1F7C"/>
    <w:rsid w:val="003A292B"/>
    <w:rsid w:val="003A2941"/>
    <w:rsid w:val="003A331F"/>
    <w:rsid w:val="003A3660"/>
    <w:rsid w:val="003A4188"/>
    <w:rsid w:val="003A5912"/>
    <w:rsid w:val="003A5DE7"/>
    <w:rsid w:val="003B1EB6"/>
    <w:rsid w:val="003B3F27"/>
    <w:rsid w:val="003B4464"/>
    <w:rsid w:val="003B59B4"/>
    <w:rsid w:val="003B7B3B"/>
    <w:rsid w:val="003B7B96"/>
    <w:rsid w:val="003B7F27"/>
    <w:rsid w:val="003C1B5A"/>
    <w:rsid w:val="003C2CC4"/>
    <w:rsid w:val="003C42F7"/>
    <w:rsid w:val="003C6DF6"/>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0EB9"/>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AB9"/>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9F4"/>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5F9"/>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74B"/>
    <w:rsid w:val="00597B8D"/>
    <w:rsid w:val="00597E07"/>
    <w:rsid w:val="005A04B6"/>
    <w:rsid w:val="005A136F"/>
    <w:rsid w:val="005A264F"/>
    <w:rsid w:val="005A29EB"/>
    <w:rsid w:val="005A2FA1"/>
    <w:rsid w:val="005A336E"/>
    <w:rsid w:val="005A520B"/>
    <w:rsid w:val="005A636C"/>
    <w:rsid w:val="005A77BD"/>
    <w:rsid w:val="005A78C2"/>
    <w:rsid w:val="005B1135"/>
    <w:rsid w:val="005B2AAC"/>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2EE"/>
    <w:rsid w:val="005F3A1D"/>
    <w:rsid w:val="005F4046"/>
    <w:rsid w:val="005F4DDE"/>
    <w:rsid w:val="005F575A"/>
    <w:rsid w:val="005F5DB9"/>
    <w:rsid w:val="005F7477"/>
    <w:rsid w:val="005F77BE"/>
    <w:rsid w:val="005F7BD0"/>
    <w:rsid w:val="00602EBC"/>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1DA"/>
    <w:rsid w:val="006B0F12"/>
    <w:rsid w:val="006B1935"/>
    <w:rsid w:val="006B1BA4"/>
    <w:rsid w:val="006B28B5"/>
    <w:rsid w:val="006B2C79"/>
    <w:rsid w:val="006B4BEA"/>
    <w:rsid w:val="006B5300"/>
    <w:rsid w:val="006B5AF9"/>
    <w:rsid w:val="006B6D93"/>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D7939"/>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324"/>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3FA"/>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0AB5"/>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677D4"/>
    <w:rsid w:val="00867DF0"/>
    <w:rsid w:val="0087073C"/>
    <w:rsid w:val="00871FD5"/>
    <w:rsid w:val="008747D9"/>
    <w:rsid w:val="008756EA"/>
    <w:rsid w:val="008759A6"/>
    <w:rsid w:val="00875AF0"/>
    <w:rsid w:val="00876304"/>
    <w:rsid w:val="00876A6E"/>
    <w:rsid w:val="00877C31"/>
    <w:rsid w:val="00877FF8"/>
    <w:rsid w:val="00880D9B"/>
    <w:rsid w:val="00881D13"/>
    <w:rsid w:val="00883A12"/>
    <w:rsid w:val="0088794F"/>
    <w:rsid w:val="00887AE5"/>
    <w:rsid w:val="00890A40"/>
    <w:rsid w:val="00895EE1"/>
    <w:rsid w:val="00896AEB"/>
    <w:rsid w:val="008979B1"/>
    <w:rsid w:val="008A0C46"/>
    <w:rsid w:val="008A25B0"/>
    <w:rsid w:val="008A2DA2"/>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3FD"/>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97CD7"/>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135"/>
    <w:rsid w:val="009F13FA"/>
    <w:rsid w:val="009F5568"/>
    <w:rsid w:val="009F6553"/>
    <w:rsid w:val="009F71AB"/>
    <w:rsid w:val="009F775F"/>
    <w:rsid w:val="00A010DF"/>
    <w:rsid w:val="00A0169F"/>
    <w:rsid w:val="00A016DC"/>
    <w:rsid w:val="00A0290F"/>
    <w:rsid w:val="00A02E57"/>
    <w:rsid w:val="00A02F26"/>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789"/>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325"/>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15BB5"/>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C6"/>
    <w:rsid w:val="00B345F1"/>
    <w:rsid w:val="00B3466A"/>
    <w:rsid w:val="00B34685"/>
    <w:rsid w:val="00B3573D"/>
    <w:rsid w:val="00B36263"/>
    <w:rsid w:val="00B36B1A"/>
    <w:rsid w:val="00B36F2E"/>
    <w:rsid w:val="00B4029C"/>
    <w:rsid w:val="00B404C4"/>
    <w:rsid w:val="00B417C5"/>
    <w:rsid w:val="00B42251"/>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3D11"/>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D5D"/>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AD0"/>
    <w:rsid w:val="00C22E0C"/>
    <w:rsid w:val="00C22EBE"/>
    <w:rsid w:val="00C232D0"/>
    <w:rsid w:val="00C24336"/>
    <w:rsid w:val="00C24338"/>
    <w:rsid w:val="00C24F09"/>
    <w:rsid w:val="00C25B81"/>
    <w:rsid w:val="00C26C36"/>
    <w:rsid w:val="00C276E7"/>
    <w:rsid w:val="00C27C99"/>
    <w:rsid w:val="00C30533"/>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3D88"/>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DC3"/>
    <w:rsid w:val="00CC3979"/>
    <w:rsid w:val="00CC5363"/>
    <w:rsid w:val="00CC57EE"/>
    <w:rsid w:val="00CC5F00"/>
    <w:rsid w:val="00CC6909"/>
    <w:rsid w:val="00CD05E4"/>
    <w:rsid w:val="00CD17DB"/>
    <w:rsid w:val="00CD1E5E"/>
    <w:rsid w:val="00CD24D3"/>
    <w:rsid w:val="00CD3225"/>
    <w:rsid w:val="00CD44A1"/>
    <w:rsid w:val="00CD4B8D"/>
    <w:rsid w:val="00CD50B0"/>
    <w:rsid w:val="00CD6CEC"/>
    <w:rsid w:val="00CD7881"/>
    <w:rsid w:val="00CE0CD5"/>
    <w:rsid w:val="00CE1219"/>
    <w:rsid w:val="00CE4A8F"/>
    <w:rsid w:val="00CE687A"/>
    <w:rsid w:val="00CE74E6"/>
    <w:rsid w:val="00CE7E8B"/>
    <w:rsid w:val="00CF036B"/>
    <w:rsid w:val="00CF0FD3"/>
    <w:rsid w:val="00CF2EED"/>
    <w:rsid w:val="00CF332F"/>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1766"/>
    <w:rsid w:val="00D32317"/>
    <w:rsid w:val="00D32540"/>
    <w:rsid w:val="00D331A1"/>
    <w:rsid w:val="00D338FC"/>
    <w:rsid w:val="00D33918"/>
    <w:rsid w:val="00D354C2"/>
    <w:rsid w:val="00D36516"/>
    <w:rsid w:val="00D36C11"/>
    <w:rsid w:val="00D370BE"/>
    <w:rsid w:val="00D40553"/>
    <w:rsid w:val="00D407C7"/>
    <w:rsid w:val="00D409EC"/>
    <w:rsid w:val="00D41E69"/>
    <w:rsid w:val="00D41EE2"/>
    <w:rsid w:val="00D42718"/>
    <w:rsid w:val="00D42A94"/>
    <w:rsid w:val="00D43252"/>
    <w:rsid w:val="00D4332F"/>
    <w:rsid w:val="00D444F3"/>
    <w:rsid w:val="00D44646"/>
    <w:rsid w:val="00D447F5"/>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2BA"/>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EC7"/>
    <w:rsid w:val="00DA3F75"/>
    <w:rsid w:val="00DA4292"/>
    <w:rsid w:val="00DA4444"/>
    <w:rsid w:val="00DA59C2"/>
    <w:rsid w:val="00DA67AD"/>
    <w:rsid w:val="00DA6E96"/>
    <w:rsid w:val="00DA70FA"/>
    <w:rsid w:val="00DB16F9"/>
    <w:rsid w:val="00DB1E2D"/>
    <w:rsid w:val="00DB5AFD"/>
    <w:rsid w:val="00DB5C8F"/>
    <w:rsid w:val="00DB6A3C"/>
    <w:rsid w:val="00DB720E"/>
    <w:rsid w:val="00DC0438"/>
    <w:rsid w:val="00DC4181"/>
    <w:rsid w:val="00DC4369"/>
    <w:rsid w:val="00DC50CF"/>
    <w:rsid w:val="00DC5232"/>
    <w:rsid w:val="00DC6E07"/>
    <w:rsid w:val="00DC7174"/>
    <w:rsid w:val="00DC71BD"/>
    <w:rsid w:val="00DC726B"/>
    <w:rsid w:val="00DC7819"/>
    <w:rsid w:val="00DD011B"/>
    <w:rsid w:val="00DD030D"/>
    <w:rsid w:val="00DD12FB"/>
    <w:rsid w:val="00DD13F9"/>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7E2"/>
    <w:rsid w:val="00E50D2D"/>
    <w:rsid w:val="00E5380F"/>
    <w:rsid w:val="00E547D8"/>
    <w:rsid w:val="00E54BA5"/>
    <w:rsid w:val="00E55D21"/>
    <w:rsid w:val="00E56149"/>
    <w:rsid w:val="00E5644E"/>
    <w:rsid w:val="00E568C1"/>
    <w:rsid w:val="00E5727A"/>
    <w:rsid w:val="00E57955"/>
    <w:rsid w:val="00E6115A"/>
    <w:rsid w:val="00E62284"/>
    <w:rsid w:val="00E62B62"/>
    <w:rsid w:val="00E64EE5"/>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0E4"/>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7BB"/>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104"/>
    <w:rsid w:val="00ED53D9"/>
    <w:rsid w:val="00ED5A43"/>
    <w:rsid w:val="00ED706C"/>
    <w:rsid w:val="00ED7892"/>
    <w:rsid w:val="00ED78FB"/>
    <w:rsid w:val="00ED79CE"/>
    <w:rsid w:val="00ED7A2A"/>
    <w:rsid w:val="00ED7F91"/>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45D6"/>
    <w:rsid w:val="00FB713E"/>
    <w:rsid w:val="00FB7972"/>
    <w:rsid w:val="00FC04D8"/>
    <w:rsid w:val="00FC3475"/>
    <w:rsid w:val="00FC5C73"/>
    <w:rsid w:val="00FC68B7"/>
    <w:rsid w:val="00FC72D3"/>
    <w:rsid w:val="00FD081D"/>
    <w:rsid w:val="00FD08C7"/>
    <w:rsid w:val="00FD140E"/>
    <w:rsid w:val="00FD1B00"/>
    <w:rsid w:val="00FD2323"/>
    <w:rsid w:val="00FD25F7"/>
    <w:rsid w:val="00FD3E08"/>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uiPriority="20" w:qFormat="1"/>
    <w:lsdException w:name="Document Map" w:uiPriority="99"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uiPriority="20" w:qFormat="1"/>
    <w:lsdException w:name="Document Map" w:uiPriority="99"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198863888">
      <w:bodyDiv w:val="1"/>
      <w:marLeft w:val="0"/>
      <w:marRight w:val="0"/>
      <w:marTop w:val="0"/>
      <w:marBottom w:val="0"/>
      <w:divBdr>
        <w:top w:val="none" w:sz="0" w:space="0" w:color="auto"/>
        <w:left w:val="none" w:sz="0" w:space="0" w:color="auto"/>
        <w:bottom w:val="none" w:sz="0" w:space="0" w:color="auto"/>
        <w:right w:val="none" w:sz="0" w:space="0" w:color="auto"/>
      </w:divBdr>
      <w:divsChild>
        <w:div w:id="1918513386">
          <w:marLeft w:val="0"/>
          <w:marRight w:val="0"/>
          <w:marTop w:val="0"/>
          <w:marBottom w:val="0"/>
          <w:divBdr>
            <w:top w:val="none" w:sz="0" w:space="0" w:color="auto"/>
            <w:left w:val="none" w:sz="0" w:space="0" w:color="auto"/>
            <w:bottom w:val="none" w:sz="0" w:space="0" w:color="auto"/>
            <w:right w:val="none" w:sz="0" w:space="0" w:color="auto"/>
          </w:divBdr>
        </w:div>
        <w:div w:id="704405288">
          <w:marLeft w:val="0"/>
          <w:marRight w:val="0"/>
          <w:marTop w:val="0"/>
          <w:marBottom w:val="0"/>
          <w:divBdr>
            <w:top w:val="none" w:sz="0" w:space="0" w:color="auto"/>
            <w:left w:val="none" w:sz="0" w:space="0" w:color="auto"/>
            <w:bottom w:val="none" w:sz="0" w:space="0" w:color="auto"/>
            <w:right w:val="none" w:sz="0" w:space="0" w:color="auto"/>
          </w:divBdr>
        </w:div>
        <w:div w:id="608008558">
          <w:marLeft w:val="0"/>
          <w:marRight w:val="0"/>
          <w:marTop w:val="0"/>
          <w:marBottom w:val="0"/>
          <w:divBdr>
            <w:top w:val="none" w:sz="0" w:space="0" w:color="auto"/>
            <w:left w:val="none" w:sz="0" w:space="0" w:color="auto"/>
            <w:bottom w:val="none" w:sz="0" w:space="0" w:color="auto"/>
            <w:right w:val="none" w:sz="0" w:space="0" w:color="auto"/>
          </w:divBdr>
        </w:div>
        <w:div w:id="647170449">
          <w:marLeft w:val="0"/>
          <w:marRight w:val="0"/>
          <w:marTop w:val="0"/>
          <w:marBottom w:val="0"/>
          <w:divBdr>
            <w:top w:val="none" w:sz="0" w:space="0" w:color="auto"/>
            <w:left w:val="none" w:sz="0" w:space="0" w:color="auto"/>
            <w:bottom w:val="none" w:sz="0" w:space="0" w:color="auto"/>
            <w:right w:val="none" w:sz="0" w:space="0" w:color="auto"/>
          </w:divBdr>
        </w:div>
        <w:div w:id="2090733481">
          <w:marLeft w:val="0"/>
          <w:marRight w:val="0"/>
          <w:marTop w:val="0"/>
          <w:marBottom w:val="0"/>
          <w:divBdr>
            <w:top w:val="none" w:sz="0" w:space="0" w:color="auto"/>
            <w:left w:val="none" w:sz="0" w:space="0" w:color="auto"/>
            <w:bottom w:val="none" w:sz="0" w:space="0" w:color="auto"/>
            <w:right w:val="none" w:sz="0" w:space="0" w:color="auto"/>
          </w:divBdr>
        </w:div>
        <w:div w:id="1342514379">
          <w:marLeft w:val="0"/>
          <w:marRight w:val="0"/>
          <w:marTop w:val="0"/>
          <w:marBottom w:val="0"/>
          <w:divBdr>
            <w:top w:val="none" w:sz="0" w:space="0" w:color="auto"/>
            <w:left w:val="none" w:sz="0" w:space="0" w:color="auto"/>
            <w:bottom w:val="none" w:sz="0" w:space="0" w:color="auto"/>
            <w:right w:val="none" w:sz="0" w:space="0" w:color="auto"/>
          </w:divBdr>
        </w:div>
        <w:div w:id="399255633">
          <w:marLeft w:val="0"/>
          <w:marRight w:val="0"/>
          <w:marTop w:val="0"/>
          <w:marBottom w:val="0"/>
          <w:divBdr>
            <w:top w:val="none" w:sz="0" w:space="0" w:color="auto"/>
            <w:left w:val="none" w:sz="0" w:space="0" w:color="auto"/>
            <w:bottom w:val="none" w:sz="0" w:space="0" w:color="auto"/>
            <w:right w:val="none" w:sz="0" w:space="0" w:color="auto"/>
          </w:divBdr>
        </w:div>
        <w:div w:id="1008949248">
          <w:marLeft w:val="0"/>
          <w:marRight w:val="0"/>
          <w:marTop w:val="0"/>
          <w:marBottom w:val="0"/>
          <w:divBdr>
            <w:top w:val="none" w:sz="0" w:space="0" w:color="auto"/>
            <w:left w:val="none" w:sz="0" w:space="0" w:color="auto"/>
            <w:bottom w:val="none" w:sz="0" w:space="0" w:color="auto"/>
            <w:right w:val="none" w:sz="0" w:space="0" w:color="auto"/>
          </w:divBdr>
        </w:div>
      </w:divsChild>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3063027">
      <w:bodyDiv w:val="1"/>
      <w:marLeft w:val="0"/>
      <w:marRight w:val="0"/>
      <w:marTop w:val="0"/>
      <w:marBottom w:val="0"/>
      <w:divBdr>
        <w:top w:val="none" w:sz="0" w:space="0" w:color="auto"/>
        <w:left w:val="none" w:sz="0" w:space="0" w:color="auto"/>
        <w:bottom w:val="none" w:sz="0" w:space="0" w:color="auto"/>
        <w:right w:val="none" w:sz="0" w:space="0" w:color="auto"/>
      </w:divBdr>
      <w:divsChild>
        <w:div w:id="1926650828">
          <w:marLeft w:val="0"/>
          <w:marRight w:val="0"/>
          <w:marTop w:val="0"/>
          <w:marBottom w:val="0"/>
          <w:divBdr>
            <w:top w:val="none" w:sz="0" w:space="0" w:color="auto"/>
            <w:left w:val="none" w:sz="0" w:space="0" w:color="auto"/>
            <w:bottom w:val="none" w:sz="0" w:space="0" w:color="auto"/>
            <w:right w:val="none" w:sz="0" w:space="0" w:color="auto"/>
          </w:divBdr>
        </w:div>
        <w:div w:id="1031609117">
          <w:marLeft w:val="0"/>
          <w:marRight w:val="0"/>
          <w:marTop w:val="0"/>
          <w:marBottom w:val="0"/>
          <w:divBdr>
            <w:top w:val="none" w:sz="0" w:space="0" w:color="auto"/>
            <w:left w:val="none" w:sz="0" w:space="0" w:color="auto"/>
            <w:bottom w:val="none" w:sz="0" w:space="0" w:color="auto"/>
            <w:right w:val="none" w:sz="0" w:space="0" w:color="auto"/>
          </w:divBdr>
        </w:div>
        <w:div w:id="814876672">
          <w:marLeft w:val="0"/>
          <w:marRight w:val="0"/>
          <w:marTop w:val="0"/>
          <w:marBottom w:val="0"/>
          <w:divBdr>
            <w:top w:val="none" w:sz="0" w:space="0" w:color="auto"/>
            <w:left w:val="none" w:sz="0" w:space="0" w:color="auto"/>
            <w:bottom w:val="none" w:sz="0" w:space="0" w:color="auto"/>
            <w:right w:val="none" w:sz="0" w:space="0" w:color="auto"/>
          </w:divBdr>
        </w:div>
        <w:div w:id="1810904562">
          <w:marLeft w:val="0"/>
          <w:marRight w:val="0"/>
          <w:marTop w:val="0"/>
          <w:marBottom w:val="0"/>
          <w:divBdr>
            <w:top w:val="none" w:sz="0" w:space="0" w:color="auto"/>
            <w:left w:val="none" w:sz="0" w:space="0" w:color="auto"/>
            <w:bottom w:val="none" w:sz="0" w:space="0" w:color="auto"/>
            <w:right w:val="none" w:sz="0" w:space="0" w:color="auto"/>
          </w:divBdr>
        </w:div>
        <w:div w:id="366372661">
          <w:marLeft w:val="0"/>
          <w:marRight w:val="0"/>
          <w:marTop w:val="0"/>
          <w:marBottom w:val="0"/>
          <w:divBdr>
            <w:top w:val="none" w:sz="0" w:space="0" w:color="auto"/>
            <w:left w:val="none" w:sz="0" w:space="0" w:color="auto"/>
            <w:bottom w:val="none" w:sz="0" w:space="0" w:color="auto"/>
            <w:right w:val="none" w:sz="0" w:space="0" w:color="auto"/>
          </w:divBdr>
        </w:div>
        <w:div w:id="1985691838">
          <w:marLeft w:val="0"/>
          <w:marRight w:val="0"/>
          <w:marTop w:val="0"/>
          <w:marBottom w:val="0"/>
          <w:divBdr>
            <w:top w:val="none" w:sz="0" w:space="0" w:color="auto"/>
            <w:left w:val="none" w:sz="0" w:space="0" w:color="auto"/>
            <w:bottom w:val="none" w:sz="0" w:space="0" w:color="auto"/>
            <w:right w:val="none" w:sz="0" w:space="0" w:color="auto"/>
          </w:divBdr>
        </w:div>
        <w:div w:id="1495147460">
          <w:marLeft w:val="0"/>
          <w:marRight w:val="0"/>
          <w:marTop w:val="0"/>
          <w:marBottom w:val="0"/>
          <w:divBdr>
            <w:top w:val="none" w:sz="0" w:space="0" w:color="auto"/>
            <w:left w:val="none" w:sz="0" w:space="0" w:color="auto"/>
            <w:bottom w:val="none" w:sz="0" w:space="0" w:color="auto"/>
            <w:right w:val="none" w:sz="0" w:space="0" w:color="auto"/>
          </w:divBdr>
        </w:div>
        <w:div w:id="489560664">
          <w:marLeft w:val="0"/>
          <w:marRight w:val="0"/>
          <w:marTop w:val="0"/>
          <w:marBottom w:val="0"/>
          <w:divBdr>
            <w:top w:val="none" w:sz="0" w:space="0" w:color="auto"/>
            <w:left w:val="none" w:sz="0" w:space="0" w:color="auto"/>
            <w:bottom w:val="none" w:sz="0" w:space="0" w:color="auto"/>
            <w:right w:val="none" w:sz="0" w:space="0" w:color="auto"/>
          </w:divBdr>
        </w:div>
        <w:div w:id="999115735">
          <w:marLeft w:val="0"/>
          <w:marRight w:val="0"/>
          <w:marTop w:val="0"/>
          <w:marBottom w:val="0"/>
          <w:divBdr>
            <w:top w:val="none" w:sz="0" w:space="0" w:color="auto"/>
            <w:left w:val="none" w:sz="0" w:space="0" w:color="auto"/>
            <w:bottom w:val="none" w:sz="0" w:space="0" w:color="auto"/>
            <w:right w:val="none" w:sz="0" w:space="0" w:color="auto"/>
          </w:divBdr>
        </w:div>
      </w:divsChild>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598830190">
      <w:bodyDiv w:val="1"/>
      <w:marLeft w:val="0"/>
      <w:marRight w:val="0"/>
      <w:marTop w:val="0"/>
      <w:marBottom w:val="0"/>
      <w:divBdr>
        <w:top w:val="none" w:sz="0" w:space="0" w:color="auto"/>
        <w:left w:val="none" w:sz="0" w:space="0" w:color="auto"/>
        <w:bottom w:val="none" w:sz="0" w:space="0" w:color="auto"/>
        <w:right w:val="none" w:sz="0" w:space="0" w:color="auto"/>
      </w:divBdr>
      <w:divsChild>
        <w:div w:id="16591703">
          <w:marLeft w:val="0"/>
          <w:marRight w:val="0"/>
          <w:marTop w:val="0"/>
          <w:marBottom w:val="0"/>
          <w:divBdr>
            <w:top w:val="none" w:sz="0" w:space="0" w:color="auto"/>
            <w:left w:val="none" w:sz="0" w:space="0" w:color="auto"/>
            <w:bottom w:val="none" w:sz="0" w:space="0" w:color="auto"/>
            <w:right w:val="none" w:sz="0" w:space="0" w:color="auto"/>
          </w:divBdr>
        </w:div>
        <w:div w:id="765657317">
          <w:marLeft w:val="0"/>
          <w:marRight w:val="0"/>
          <w:marTop w:val="0"/>
          <w:marBottom w:val="0"/>
          <w:divBdr>
            <w:top w:val="none" w:sz="0" w:space="0" w:color="auto"/>
            <w:left w:val="none" w:sz="0" w:space="0" w:color="auto"/>
            <w:bottom w:val="none" w:sz="0" w:space="0" w:color="auto"/>
            <w:right w:val="none" w:sz="0" w:space="0" w:color="auto"/>
          </w:divBdr>
        </w:div>
        <w:div w:id="1764689595">
          <w:marLeft w:val="0"/>
          <w:marRight w:val="0"/>
          <w:marTop w:val="0"/>
          <w:marBottom w:val="0"/>
          <w:divBdr>
            <w:top w:val="none" w:sz="0" w:space="0" w:color="auto"/>
            <w:left w:val="none" w:sz="0" w:space="0" w:color="auto"/>
            <w:bottom w:val="none" w:sz="0" w:space="0" w:color="auto"/>
            <w:right w:val="none" w:sz="0" w:space="0" w:color="auto"/>
          </w:divBdr>
        </w:div>
        <w:div w:id="969899746">
          <w:marLeft w:val="0"/>
          <w:marRight w:val="0"/>
          <w:marTop w:val="0"/>
          <w:marBottom w:val="0"/>
          <w:divBdr>
            <w:top w:val="none" w:sz="0" w:space="0" w:color="auto"/>
            <w:left w:val="none" w:sz="0" w:space="0" w:color="auto"/>
            <w:bottom w:val="none" w:sz="0" w:space="0" w:color="auto"/>
            <w:right w:val="none" w:sz="0" w:space="0" w:color="auto"/>
          </w:divBdr>
        </w:div>
        <w:div w:id="1693604222">
          <w:marLeft w:val="0"/>
          <w:marRight w:val="0"/>
          <w:marTop w:val="0"/>
          <w:marBottom w:val="0"/>
          <w:divBdr>
            <w:top w:val="none" w:sz="0" w:space="0" w:color="auto"/>
            <w:left w:val="none" w:sz="0" w:space="0" w:color="auto"/>
            <w:bottom w:val="none" w:sz="0" w:space="0" w:color="auto"/>
            <w:right w:val="none" w:sz="0" w:space="0" w:color="auto"/>
          </w:divBdr>
        </w:div>
        <w:div w:id="1533495070">
          <w:marLeft w:val="0"/>
          <w:marRight w:val="0"/>
          <w:marTop w:val="0"/>
          <w:marBottom w:val="0"/>
          <w:divBdr>
            <w:top w:val="none" w:sz="0" w:space="0" w:color="auto"/>
            <w:left w:val="none" w:sz="0" w:space="0" w:color="auto"/>
            <w:bottom w:val="none" w:sz="0" w:space="0" w:color="auto"/>
            <w:right w:val="none" w:sz="0" w:space="0" w:color="auto"/>
          </w:divBdr>
        </w:div>
        <w:div w:id="2043364955">
          <w:marLeft w:val="0"/>
          <w:marRight w:val="0"/>
          <w:marTop w:val="0"/>
          <w:marBottom w:val="0"/>
          <w:divBdr>
            <w:top w:val="none" w:sz="0" w:space="0" w:color="auto"/>
            <w:left w:val="none" w:sz="0" w:space="0" w:color="auto"/>
            <w:bottom w:val="none" w:sz="0" w:space="0" w:color="auto"/>
            <w:right w:val="none" w:sz="0" w:space="0" w:color="auto"/>
          </w:divBdr>
        </w:div>
        <w:div w:id="883103909">
          <w:marLeft w:val="0"/>
          <w:marRight w:val="0"/>
          <w:marTop w:val="0"/>
          <w:marBottom w:val="0"/>
          <w:divBdr>
            <w:top w:val="none" w:sz="0" w:space="0" w:color="auto"/>
            <w:left w:val="none" w:sz="0" w:space="0" w:color="auto"/>
            <w:bottom w:val="none" w:sz="0" w:space="0" w:color="auto"/>
            <w:right w:val="none" w:sz="0" w:space="0" w:color="auto"/>
          </w:divBdr>
        </w:div>
        <w:div w:id="1894652577">
          <w:marLeft w:val="0"/>
          <w:marRight w:val="0"/>
          <w:marTop w:val="0"/>
          <w:marBottom w:val="0"/>
          <w:divBdr>
            <w:top w:val="none" w:sz="0" w:space="0" w:color="auto"/>
            <w:left w:val="none" w:sz="0" w:space="0" w:color="auto"/>
            <w:bottom w:val="none" w:sz="0" w:space="0" w:color="auto"/>
            <w:right w:val="none" w:sz="0" w:space="0" w:color="auto"/>
          </w:divBdr>
        </w:div>
      </w:divsChild>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085608979">
      <w:bodyDiv w:val="1"/>
      <w:marLeft w:val="0"/>
      <w:marRight w:val="0"/>
      <w:marTop w:val="0"/>
      <w:marBottom w:val="0"/>
      <w:divBdr>
        <w:top w:val="none" w:sz="0" w:space="0" w:color="auto"/>
        <w:left w:val="none" w:sz="0" w:space="0" w:color="auto"/>
        <w:bottom w:val="none" w:sz="0" w:space="0" w:color="auto"/>
        <w:right w:val="none" w:sz="0" w:space="0" w:color="auto"/>
      </w:divBdr>
      <w:divsChild>
        <w:div w:id="1571234600">
          <w:marLeft w:val="0"/>
          <w:marRight w:val="0"/>
          <w:marTop w:val="0"/>
          <w:marBottom w:val="0"/>
          <w:divBdr>
            <w:top w:val="none" w:sz="0" w:space="0" w:color="auto"/>
            <w:left w:val="none" w:sz="0" w:space="0" w:color="auto"/>
            <w:bottom w:val="none" w:sz="0" w:space="0" w:color="auto"/>
            <w:right w:val="none" w:sz="0" w:space="0" w:color="auto"/>
          </w:divBdr>
        </w:div>
        <w:div w:id="1334337185">
          <w:marLeft w:val="0"/>
          <w:marRight w:val="0"/>
          <w:marTop w:val="0"/>
          <w:marBottom w:val="0"/>
          <w:divBdr>
            <w:top w:val="none" w:sz="0" w:space="0" w:color="auto"/>
            <w:left w:val="none" w:sz="0" w:space="0" w:color="auto"/>
            <w:bottom w:val="none" w:sz="0" w:space="0" w:color="auto"/>
            <w:right w:val="none" w:sz="0" w:space="0" w:color="auto"/>
          </w:divBdr>
        </w:div>
        <w:div w:id="1738211931">
          <w:marLeft w:val="0"/>
          <w:marRight w:val="0"/>
          <w:marTop w:val="0"/>
          <w:marBottom w:val="0"/>
          <w:divBdr>
            <w:top w:val="none" w:sz="0" w:space="0" w:color="auto"/>
            <w:left w:val="none" w:sz="0" w:space="0" w:color="auto"/>
            <w:bottom w:val="none" w:sz="0" w:space="0" w:color="auto"/>
            <w:right w:val="none" w:sz="0" w:space="0" w:color="auto"/>
          </w:divBdr>
        </w:div>
        <w:div w:id="1563252602">
          <w:marLeft w:val="0"/>
          <w:marRight w:val="0"/>
          <w:marTop w:val="0"/>
          <w:marBottom w:val="0"/>
          <w:divBdr>
            <w:top w:val="none" w:sz="0" w:space="0" w:color="auto"/>
            <w:left w:val="none" w:sz="0" w:space="0" w:color="auto"/>
            <w:bottom w:val="none" w:sz="0" w:space="0" w:color="auto"/>
            <w:right w:val="none" w:sz="0" w:space="0" w:color="auto"/>
          </w:divBdr>
        </w:div>
        <w:div w:id="2015567416">
          <w:marLeft w:val="0"/>
          <w:marRight w:val="0"/>
          <w:marTop w:val="0"/>
          <w:marBottom w:val="0"/>
          <w:divBdr>
            <w:top w:val="none" w:sz="0" w:space="0" w:color="auto"/>
            <w:left w:val="none" w:sz="0" w:space="0" w:color="auto"/>
            <w:bottom w:val="none" w:sz="0" w:space="0" w:color="auto"/>
            <w:right w:val="none" w:sz="0" w:space="0" w:color="auto"/>
          </w:divBdr>
        </w:div>
        <w:div w:id="1412391216">
          <w:marLeft w:val="0"/>
          <w:marRight w:val="0"/>
          <w:marTop w:val="0"/>
          <w:marBottom w:val="0"/>
          <w:divBdr>
            <w:top w:val="none" w:sz="0" w:space="0" w:color="auto"/>
            <w:left w:val="none" w:sz="0" w:space="0" w:color="auto"/>
            <w:bottom w:val="none" w:sz="0" w:space="0" w:color="auto"/>
            <w:right w:val="none" w:sz="0" w:space="0" w:color="auto"/>
          </w:divBdr>
        </w:div>
        <w:div w:id="76101296">
          <w:marLeft w:val="0"/>
          <w:marRight w:val="0"/>
          <w:marTop w:val="0"/>
          <w:marBottom w:val="0"/>
          <w:divBdr>
            <w:top w:val="none" w:sz="0" w:space="0" w:color="auto"/>
            <w:left w:val="none" w:sz="0" w:space="0" w:color="auto"/>
            <w:bottom w:val="none" w:sz="0" w:space="0" w:color="auto"/>
            <w:right w:val="none" w:sz="0" w:space="0" w:color="auto"/>
          </w:divBdr>
        </w:div>
        <w:div w:id="91821448">
          <w:marLeft w:val="0"/>
          <w:marRight w:val="0"/>
          <w:marTop w:val="0"/>
          <w:marBottom w:val="0"/>
          <w:divBdr>
            <w:top w:val="none" w:sz="0" w:space="0" w:color="auto"/>
            <w:left w:val="none" w:sz="0" w:space="0" w:color="auto"/>
            <w:bottom w:val="none" w:sz="0" w:space="0" w:color="auto"/>
            <w:right w:val="none" w:sz="0" w:space="0" w:color="auto"/>
          </w:divBdr>
        </w:div>
        <w:div w:id="395709629">
          <w:marLeft w:val="0"/>
          <w:marRight w:val="0"/>
          <w:marTop w:val="0"/>
          <w:marBottom w:val="0"/>
          <w:divBdr>
            <w:top w:val="none" w:sz="0" w:space="0" w:color="auto"/>
            <w:left w:val="none" w:sz="0" w:space="0" w:color="auto"/>
            <w:bottom w:val="none" w:sz="0" w:space="0" w:color="auto"/>
            <w:right w:val="none" w:sz="0" w:space="0" w:color="auto"/>
          </w:divBdr>
        </w:div>
      </w:divsChild>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299610015">
      <w:bodyDiv w:val="1"/>
      <w:marLeft w:val="0"/>
      <w:marRight w:val="0"/>
      <w:marTop w:val="0"/>
      <w:marBottom w:val="0"/>
      <w:divBdr>
        <w:top w:val="none" w:sz="0" w:space="0" w:color="auto"/>
        <w:left w:val="none" w:sz="0" w:space="0" w:color="auto"/>
        <w:bottom w:val="none" w:sz="0" w:space="0" w:color="auto"/>
        <w:right w:val="none" w:sz="0" w:space="0" w:color="auto"/>
      </w:divBdr>
      <w:divsChild>
        <w:div w:id="524943557">
          <w:marLeft w:val="0"/>
          <w:marRight w:val="0"/>
          <w:marTop w:val="0"/>
          <w:marBottom w:val="0"/>
          <w:divBdr>
            <w:top w:val="none" w:sz="0" w:space="0" w:color="auto"/>
            <w:left w:val="none" w:sz="0" w:space="0" w:color="auto"/>
            <w:bottom w:val="none" w:sz="0" w:space="0" w:color="auto"/>
            <w:right w:val="none" w:sz="0" w:space="0" w:color="auto"/>
          </w:divBdr>
        </w:div>
        <w:div w:id="302586678">
          <w:marLeft w:val="0"/>
          <w:marRight w:val="0"/>
          <w:marTop w:val="0"/>
          <w:marBottom w:val="0"/>
          <w:divBdr>
            <w:top w:val="none" w:sz="0" w:space="0" w:color="auto"/>
            <w:left w:val="none" w:sz="0" w:space="0" w:color="auto"/>
            <w:bottom w:val="none" w:sz="0" w:space="0" w:color="auto"/>
            <w:right w:val="none" w:sz="0" w:space="0" w:color="auto"/>
          </w:divBdr>
        </w:div>
        <w:div w:id="1743332527">
          <w:marLeft w:val="0"/>
          <w:marRight w:val="0"/>
          <w:marTop w:val="0"/>
          <w:marBottom w:val="0"/>
          <w:divBdr>
            <w:top w:val="none" w:sz="0" w:space="0" w:color="auto"/>
            <w:left w:val="none" w:sz="0" w:space="0" w:color="auto"/>
            <w:bottom w:val="none" w:sz="0" w:space="0" w:color="auto"/>
            <w:right w:val="none" w:sz="0" w:space="0" w:color="auto"/>
          </w:divBdr>
        </w:div>
        <w:div w:id="1384909802">
          <w:marLeft w:val="0"/>
          <w:marRight w:val="0"/>
          <w:marTop w:val="0"/>
          <w:marBottom w:val="0"/>
          <w:divBdr>
            <w:top w:val="none" w:sz="0" w:space="0" w:color="auto"/>
            <w:left w:val="none" w:sz="0" w:space="0" w:color="auto"/>
            <w:bottom w:val="none" w:sz="0" w:space="0" w:color="auto"/>
            <w:right w:val="none" w:sz="0" w:space="0" w:color="auto"/>
          </w:divBdr>
        </w:div>
        <w:div w:id="454447767">
          <w:marLeft w:val="0"/>
          <w:marRight w:val="0"/>
          <w:marTop w:val="0"/>
          <w:marBottom w:val="0"/>
          <w:divBdr>
            <w:top w:val="none" w:sz="0" w:space="0" w:color="auto"/>
            <w:left w:val="none" w:sz="0" w:space="0" w:color="auto"/>
            <w:bottom w:val="none" w:sz="0" w:space="0" w:color="auto"/>
            <w:right w:val="none" w:sz="0" w:space="0" w:color="auto"/>
          </w:divBdr>
        </w:div>
        <w:div w:id="291063212">
          <w:marLeft w:val="0"/>
          <w:marRight w:val="0"/>
          <w:marTop w:val="0"/>
          <w:marBottom w:val="0"/>
          <w:divBdr>
            <w:top w:val="none" w:sz="0" w:space="0" w:color="auto"/>
            <w:left w:val="none" w:sz="0" w:space="0" w:color="auto"/>
            <w:bottom w:val="none" w:sz="0" w:space="0" w:color="auto"/>
            <w:right w:val="none" w:sz="0" w:space="0" w:color="auto"/>
          </w:divBdr>
        </w:div>
        <w:div w:id="115106564">
          <w:marLeft w:val="0"/>
          <w:marRight w:val="0"/>
          <w:marTop w:val="0"/>
          <w:marBottom w:val="0"/>
          <w:divBdr>
            <w:top w:val="none" w:sz="0" w:space="0" w:color="auto"/>
            <w:left w:val="none" w:sz="0" w:space="0" w:color="auto"/>
            <w:bottom w:val="none" w:sz="0" w:space="0" w:color="auto"/>
            <w:right w:val="none" w:sz="0" w:space="0" w:color="auto"/>
          </w:divBdr>
        </w:div>
        <w:div w:id="1117673098">
          <w:marLeft w:val="0"/>
          <w:marRight w:val="0"/>
          <w:marTop w:val="0"/>
          <w:marBottom w:val="0"/>
          <w:divBdr>
            <w:top w:val="none" w:sz="0" w:space="0" w:color="auto"/>
            <w:left w:val="none" w:sz="0" w:space="0" w:color="auto"/>
            <w:bottom w:val="none" w:sz="0" w:space="0" w:color="auto"/>
            <w:right w:val="none" w:sz="0" w:space="0" w:color="auto"/>
          </w:divBdr>
        </w:div>
        <w:div w:id="519316699">
          <w:marLeft w:val="0"/>
          <w:marRight w:val="0"/>
          <w:marTop w:val="0"/>
          <w:marBottom w:val="0"/>
          <w:divBdr>
            <w:top w:val="none" w:sz="0" w:space="0" w:color="auto"/>
            <w:left w:val="none" w:sz="0" w:space="0" w:color="auto"/>
            <w:bottom w:val="none" w:sz="0" w:space="0" w:color="auto"/>
            <w:right w:val="none" w:sz="0" w:space="0" w:color="auto"/>
          </w:divBdr>
        </w:div>
        <w:div w:id="1799953905">
          <w:marLeft w:val="0"/>
          <w:marRight w:val="0"/>
          <w:marTop w:val="0"/>
          <w:marBottom w:val="0"/>
          <w:divBdr>
            <w:top w:val="none" w:sz="0" w:space="0" w:color="auto"/>
            <w:left w:val="none" w:sz="0" w:space="0" w:color="auto"/>
            <w:bottom w:val="none" w:sz="0" w:space="0" w:color="auto"/>
            <w:right w:val="none" w:sz="0" w:space="0" w:color="auto"/>
          </w:divBdr>
        </w:div>
        <w:div w:id="865753502">
          <w:marLeft w:val="0"/>
          <w:marRight w:val="0"/>
          <w:marTop w:val="0"/>
          <w:marBottom w:val="0"/>
          <w:divBdr>
            <w:top w:val="none" w:sz="0" w:space="0" w:color="auto"/>
            <w:left w:val="none" w:sz="0" w:space="0" w:color="auto"/>
            <w:bottom w:val="none" w:sz="0" w:space="0" w:color="auto"/>
            <w:right w:val="none" w:sz="0" w:space="0" w:color="auto"/>
          </w:divBdr>
        </w:div>
        <w:div w:id="318660553">
          <w:marLeft w:val="0"/>
          <w:marRight w:val="0"/>
          <w:marTop w:val="0"/>
          <w:marBottom w:val="0"/>
          <w:divBdr>
            <w:top w:val="none" w:sz="0" w:space="0" w:color="auto"/>
            <w:left w:val="none" w:sz="0" w:space="0" w:color="auto"/>
            <w:bottom w:val="none" w:sz="0" w:space="0" w:color="auto"/>
            <w:right w:val="none" w:sz="0" w:space="0" w:color="auto"/>
          </w:divBdr>
        </w:div>
        <w:div w:id="1469856797">
          <w:marLeft w:val="0"/>
          <w:marRight w:val="0"/>
          <w:marTop w:val="0"/>
          <w:marBottom w:val="0"/>
          <w:divBdr>
            <w:top w:val="none" w:sz="0" w:space="0" w:color="auto"/>
            <w:left w:val="none" w:sz="0" w:space="0" w:color="auto"/>
            <w:bottom w:val="none" w:sz="0" w:space="0" w:color="auto"/>
            <w:right w:val="none" w:sz="0" w:space="0" w:color="auto"/>
          </w:divBdr>
        </w:div>
        <w:div w:id="917785541">
          <w:marLeft w:val="0"/>
          <w:marRight w:val="0"/>
          <w:marTop w:val="0"/>
          <w:marBottom w:val="0"/>
          <w:divBdr>
            <w:top w:val="none" w:sz="0" w:space="0" w:color="auto"/>
            <w:left w:val="none" w:sz="0" w:space="0" w:color="auto"/>
            <w:bottom w:val="none" w:sz="0" w:space="0" w:color="auto"/>
            <w:right w:val="none" w:sz="0" w:space="0" w:color="auto"/>
          </w:divBdr>
        </w:div>
        <w:div w:id="1852986662">
          <w:marLeft w:val="0"/>
          <w:marRight w:val="0"/>
          <w:marTop w:val="0"/>
          <w:marBottom w:val="0"/>
          <w:divBdr>
            <w:top w:val="none" w:sz="0" w:space="0" w:color="auto"/>
            <w:left w:val="none" w:sz="0" w:space="0" w:color="auto"/>
            <w:bottom w:val="none" w:sz="0" w:space="0" w:color="auto"/>
            <w:right w:val="none" w:sz="0" w:space="0" w:color="auto"/>
          </w:divBdr>
        </w:div>
        <w:div w:id="1016615652">
          <w:marLeft w:val="0"/>
          <w:marRight w:val="0"/>
          <w:marTop w:val="0"/>
          <w:marBottom w:val="0"/>
          <w:divBdr>
            <w:top w:val="none" w:sz="0" w:space="0" w:color="auto"/>
            <w:left w:val="none" w:sz="0" w:space="0" w:color="auto"/>
            <w:bottom w:val="none" w:sz="0" w:space="0" w:color="auto"/>
            <w:right w:val="none" w:sz="0" w:space="0" w:color="auto"/>
          </w:divBdr>
        </w:div>
        <w:div w:id="449713098">
          <w:marLeft w:val="0"/>
          <w:marRight w:val="0"/>
          <w:marTop w:val="0"/>
          <w:marBottom w:val="0"/>
          <w:divBdr>
            <w:top w:val="none" w:sz="0" w:space="0" w:color="auto"/>
            <w:left w:val="none" w:sz="0" w:space="0" w:color="auto"/>
            <w:bottom w:val="none" w:sz="0" w:space="0" w:color="auto"/>
            <w:right w:val="none" w:sz="0" w:space="0" w:color="auto"/>
          </w:divBdr>
        </w:div>
        <w:div w:id="850074139">
          <w:marLeft w:val="0"/>
          <w:marRight w:val="0"/>
          <w:marTop w:val="0"/>
          <w:marBottom w:val="0"/>
          <w:divBdr>
            <w:top w:val="none" w:sz="0" w:space="0" w:color="auto"/>
            <w:left w:val="none" w:sz="0" w:space="0" w:color="auto"/>
            <w:bottom w:val="none" w:sz="0" w:space="0" w:color="auto"/>
            <w:right w:val="none" w:sz="0" w:space="0" w:color="auto"/>
          </w:divBdr>
        </w:div>
        <w:div w:id="174080892">
          <w:marLeft w:val="0"/>
          <w:marRight w:val="0"/>
          <w:marTop w:val="0"/>
          <w:marBottom w:val="0"/>
          <w:divBdr>
            <w:top w:val="none" w:sz="0" w:space="0" w:color="auto"/>
            <w:left w:val="none" w:sz="0" w:space="0" w:color="auto"/>
            <w:bottom w:val="none" w:sz="0" w:space="0" w:color="auto"/>
            <w:right w:val="none" w:sz="0" w:space="0" w:color="auto"/>
          </w:divBdr>
        </w:div>
        <w:div w:id="2107997785">
          <w:marLeft w:val="0"/>
          <w:marRight w:val="0"/>
          <w:marTop w:val="0"/>
          <w:marBottom w:val="0"/>
          <w:divBdr>
            <w:top w:val="none" w:sz="0" w:space="0" w:color="auto"/>
            <w:left w:val="none" w:sz="0" w:space="0" w:color="auto"/>
            <w:bottom w:val="none" w:sz="0" w:space="0" w:color="auto"/>
            <w:right w:val="none" w:sz="0" w:space="0" w:color="auto"/>
          </w:divBdr>
        </w:div>
        <w:div w:id="1010329622">
          <w:marLeft w:val="0"/>
          <w:marRight w:val="0"/>
          <w:marTop w:val="0"/>
          <w:marBottom w:val="0"/>
          <w:divBdr>
            <w:top w:val="none" w:sz="0" w:space="0" w:color="auto"/>
            <w:left w:val="none" w:sz="0" w:space="0" w:color="auto"/>
            <w:bottom w:val="none" w:sz="0" w:space="0" w:color="auto"/>
            <w:right w:val="none" w:sz="0" w:space="0" w:color="auto"/>
          </w:divBdr>
        </w:div>
        <w:div w:id="1136795934">
          <w:marLeft w:val="0"/>
          <w:marRight w:val="0"/>
          <w:marTop w:val="0"/>
          <w:marBottom w:val="0"/>
          <w:divBdr>
            <w:top w:val="none" w:sz="0" w:space="0" w:color="auto"/>
            <w:left w:val="none" w:sz="0" w:space="0" w:color="auto"/>
            <w:bottom w:val="none" w:sz="0" w:space="0" w:color="auto"/>
            <w:right w:val="none" w:sz="0" w:space="0" w:color="auto"/>
          </w:divBdr>
        </w:div>
        <w:div w:id="62291619">
          <w:marLeft w:val="0"/>
          <w:marRight w:val="0"/>
          <w:marTop w:val="0"/>
          <w:marBottom w:val="0"/>
          <w:divBdr>
            <w:top w:val="none" w:sz="0" w:space="0" w:color="auto"/>
            <w:left w:val="none" w:sz="0" w:space="0" w:color="auto"/>
            <w:bottom w:val="none" w:sz="0" w:space="0" w:color="auto"/>
            <w:right w:val="none" w:sz="0" w:space="0" w:color="auto"/>
          </w:divBdr>
        </w:div>
        <w:div w:id="1778789896">
          <w:marLeft w:val="0"/>
          <w:marRight w:val="0"/>
          <w:marTop w:val="0"/>
          <w:marBottom w:val="0"/>
          <w:divBdr>
            <w:top w:val="none" w:sz="0" w:space="0" w:color="auto"/>
            <w:left w:val="none" w:sz="0" w:space="0" w:color="auto"/>
            <w:bottom w:val="none" w:sz="0" w:space="0" w:color="auto"/>
            <w:right w:val="none" w:sz="0" w:space="0" w:color="auto"/>
          </w:divBdr>
        </w:div>
        <w:div w:id="1821342730">
          <w:marLeft w:val="0"/>
          <w:marRight w:val="0"/>
          <w:marTop w:val="0"/>
          <w:marBottom w:val="0"/>
          <w:divBdr>
            <w:top w:val="none" w:sz="0" w:space="0" w:color="auto"/>
            <w:left w:val="none" w:sz="0" w:space="0" w:color="auto"/>
            <w:bottom w:val="none" w:sz="0" w:space="0" w:color="auto"/>
            <w:right w:val="none" w:sz="0" w:space="0" w:color="auto"/>
          </w:divBdr>
        </w:div>
        <w:div w:id="631981190">
          <w:marLeft w:val="0"/>
          <w:marRight w:val="0"/>
          <w:marTop w:val="0"/>
          <w:marBottom w:val="0"/>
          <w:divBdr>
            <w:top w:val="none" w:sz="0" w:space="0" w:color="auto"/>
            <w:left w:val="none" w:sz="0" w:space="0" w:color="auto"/>
            <w:bottom w:val="none" w:sz="0" w:space="0" w:color="auto"/>
            <w:right w:val="none" w:sz="0" w:space="0" w:color="auto"/>
          </w:divBdr>
        </w:div>
        <w:div w:id="1690134179">
          <w:marLeft w:val="0"/>
          <w:marRight w:val="0"/>
          <w:marTop w:val="0"/>
          <w:marBottom w:val="0"/>
          <w:divBdr>
            <w:top w:val="none" w:sz="0" w:space="0" w:color="auto"/>
            <w:left w:val="none" w:sz="0" w:space="0" w:color="auto"/>
            <w:bottom w:val="none" w:sz="0" w:space="0" w:color="auto"/>
            <w:right w:val="none" w:sz="0" w:space="0" w:color="auto"/>
          </w:divBdr>
        </w:div>
        <w:div w:id="707994476">
          <w:marLeft w:val="0"/>
          <w:marRight w:val="0"/>
          <w:marTop w:val="0"/>
          <w:marBottom w:val="0"/>
          <w:divBdr>
            <w:top w:val="none" w:sz="0" w:space="0" w:color="auto"/>
            <w:left w:val="none" w:sz="0" w:space="0" w:color="auto"/>
            <w:bottom w:val="none" w:sz="0" w:space="0" w:color="auto"/>
            <w:right w:val="none" w:sz="0" w:space="0" w:color="auto"/>
          </w:divBdr>
        </w:div>
        <w:div w:id="2143959397">
          <w:marLeft w:val="0"/>
          <w:marRight w:val="0"/>
          <w:marTop w:val="0"/>
          <w:marBottom w:val="0"/>
          <w:divBdr>
            <w:top w:val="none" w:sz="0" w:space="0" w:color="auto"/>
            <w:left w:val="none" w:sz="0" w:space="0" w:color="auto"/>
            <w:bottom w:val="none" w:sz="0" w:space="0" w:color="auto"/>
            <w:right w:val="none" w:sz="0" w:space="0" w:color="auto"/>
          </w:divBdr>
        </w:div>
        <w:div w:id="1678145237">
          <w:marLeft w:val="0"/>
          <w:marRight w:val="0"/>
          <w:marTop w:val="0"/>
          <w:marBottom w:val="0"/>
          <w:divBdr>
            <w:top w:val="none" w:sz="0" w:space="0" w:color="auto"/>
            <w:left w:val="none" w:sz="0" w:space="0" w:color="auto"/>
            <w:bottom w:val="none" w:sz="0" w:space="0" w:color="auto"/>
            <w:right w:val="none" w:sz="0" w:space="0" w:color="auto"/>
          </w:divBdr>
        </w:div>
        <w:div w:id="2104103125">
          <w:marLeft w:val="0"/>
          <w:marRight w:val="0"/>
          <w:marTop w:val="0"/>
          <w:marBottom w:val="0"/>
          <w:divBdr>
            <w:top w:val="none" w:sz="0" w:space="0" w:color="auto"/>
            <w:left w:val="none" w:sz="0" w:space="0" w:color="auto"/>
            <w:bottom w:val="none" w:sz="0" w:space="0" w:color="auto"/>
            <w:right w:val="none" w:sz="0" w:space="0" w:color="auto"/>
          </w:divBdr>
        </w:div>
        <w:div w:id="1446924210">
          <w:marLeft w:val="0"/>
          <w:marRight w:val="0"/>
          <w:marTop w:val="0"/>
          <w:marBottom w:val="0"/>
          <w:divBdr>
            <w:top w:val="none" w:sz="0" w:space="0" w:color="auto"/>
            <w:left w:val="none" w:sz="0" w:space="0" w:color="auto"/>
            <w:bottom w:val="none" w:sz="0" w:space="0" w:color="auto"/>
            <w:right w:val="none" w:sz="0" w:space="0" w:color="auto"/>
          </w:divBdr>
        </w:div>
        <w:div w:id="56515243">
          <w:marLeft w:val="0"/>
          <w:marRight w:val="0"/>
          <w:marTop w:val="0"/>
          <w:marBottom w:val="0"/>
          <w:divBdr>
            <w:top w:val="none" w:sz="0" w:space="0" w:color="auto"/>
            <w:left w:val="none" w:sz="0" w:space="0" w:color="auto"/>
            <w:bottom w:val="none" w:sz="0" w:space="0" w:color="auto"/>
            <w:right w:val="none" w:sz="0" w:space="0" w:color="auto"/>
          </w:divBdr>
        </w:div>
        <w:div w:id="1961692002">
          <w:marLeft w:val="0"/>
          <w:marRight w:val="0"/>
          <w:marTop w:val="0"/>
          <w:marBottom w:val="0"/>
          <w:divBdr>
            <w:top w:val="none" w:sz="0" w:space="0" w:color="auto"/>
            <w:left w:val="none" w:sz="0" w:space="0" w:color="auto"/>
            <w:bottom w:val="none" w:sz="0" w:space="0" w:color="auto"/>
            <w:right w:val="none" w:sz="0" w:space="0" w:color="auto"/>
          </w:divBdr>
        </w:div>
        <w:div w:id="921765264">
          <w:marLeft w:val="0"/>
          <w:marRight w:val="0"/>
          <w:marTop w:val="0"/>
          <w:marBottom w:val="0"/>
          <w:divBdr>
            <w:top w:val="none" w:sz="0" w:space="0" w:color="auto"/>
            <w:left w:val="none" w:sz="0" w:space="0" w:color="auto"/>
            <w:bottom w:val="none" w:sz="0" w:space="0" w:color="auto"/>
            <w:right w:val="none" w:sz="0" w:space="0" w:color="auto"/>
          </w:divBdr>
        </w:div>
        <w:div w:id="17433313">
          <w:marLeft w:val="0"/>
          <w:marRight w:val="0"/>
          <w:marTop w:val="0"/>
          <w:marBottom w:val="0"/>
          <w:divBdr>
            <w:top w:val="none" w:sz="0" w:space="0" w:color="auto"/>
            <w:left w:val="none" w:sz="0" w:space="0" w:color="auto"/>
            <w:bottom w:val="none" w:sz="0" w:space="0" w:color="auto"/>
            <w:right w:val="none" w:sz="0" w:space="0" w:color="auto"/>
          </w:divBdr>
        </w:div>
        <w:div w:id="1887063852">
          <w:marLeft w:val="0"/>
          <w:marRight w:val="0"/>
          <w:marTop w:val="0"/>
          <w:marBottom w:val="0"/>
          <w:divBdr>
            <w:top w:val="none" w:sz="0" w:space="0" w:color="auto"/>
            <w:left w:val="none" w:sz="0" w:space="0" w:color="auto"/>
            <w:bottom w:val="none" w:sz="0" w:space="0" w:color="auto"/>
            <w:right w:val="none" w:sz="0" w:space="0" w:color="auto"/>
          </w:divBdr>
        </w:div>
        <w:div w:id="2021547132">
          <w:marLeft w:val="0"/>
          <w:marRight w:val="0"/>
          <w:marTop w:val="0"/>
          <w:marBottom w:val="0"/>
          <w:divBdr>
            <w:top w:val="none" w:sz="0" w:space="0" w:color="auto"/>
            <w:left w:val="none" w:sz="0" w:space="0" w:color="auto"/>
            <w:bottom w:val="none" w:sz="0" w:space="0" w:color="auto"/>
            <w:right w:val="none" w:sz="0" w:space="0" w:color="auto"/>
          </w:divBdr>
        </w:div>
        <w:div w:id="510607390">
          <w:marLeft w:val="0"/>
          <w:marRight w:val="0"/>
          <w:marTop w:val="0"/>
          <w:marBottom w:val="0"/>
          <w:divBdr>
            <w:top w:val="none" w:sz="0" w:space="0" w:color="auto"/>
            <w:left w:val="none" w:sz="0" w:space="0" w:color="auto"/>
            <w:bottom w:val="none" w:sz="0" w:space="0" w:color="auto"/>
            <w:right w:val="none" w:sz="0" w:space="0" w:color="auto"/>
          </w:divBdr>
        </w:div>
      </w:divsChild>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582329112">
      <w:bodyDiv w:val="1"/>
      <w:marLeft w:val="0"/>
      <w:marRight w:val="0"/>
      <w:marTop w:val="0"/>
      <w:marBottom w:val="0"/>
      <w:divBdr>
        <w:top w:val="none" w:sz="0" w:space="0" w:color="auto"/>
        <w:left w:val="none" w:sz="0" w:space="0" w:color="auto"/>
        <w:bottom w:val="none" w:sz="0" w:space="0" w:color="auto"/>
        <w:right w:val="none" w:sz="0" w:space="0" w:color="auto"/>
      </w:divBdr>
      <w:divsChild>
        <w:div w:id="522939641">
          <w:marLeft w:val="0"/>
          <w:marRight w:val="0"/>
          <w:marTop w:val="0"/>
          <w:marBottom w:val="0"/>
          <w:divBdr>
            <w:top w:val="none" w:sz="0" w:space="0" w:color="auto"/>
            <w:left w:val="none" w:sz="0" w:space="0" w:color="auto"/>
            <w:bottom w:val="none" w:sz="0" w:space="0" w:color="auto"/>
            <w:right w:val="none" w:sz="0" w:space="0" w:color="auto"/>
          </w:divBdr>
        </w:div>
        <w:div w:id="1185824403">
          <w:marLeft w:val="0"/>
          <w:marRight w:val="0"/>
          <w:marTop w:val="0"/>
          <w:marBottom w:val="0"/>
          <w:divBdr>
            <w:top w:val="none" w:sz="0" w:space="0" w:color="auto"/>
            <w:left w:val="none" w:sz="0" w:space="0" w:color="auto"/>
            <w:bottom w:val="none" w:sz="0" w:space="0" w:color="auto"/>
            <w:right w:val="none" w:sz="0" w:space="0" w:color="auto"/>
          </w:divBdr>
        </w:div>
        <w:div w:id="760226077">
          <w:marLeft w:val="0"/>
          <w:marRight w:val="0"/>
          <w:marTop w:val="0"/>
          <w:marBottom w:val="0"/>
          <w:divBdr>
            <w:top w:val="none" w:sz="0" w:space="0" w:color="auto"/>
            <w:left w:val="none" w:sz="0" w:space="0" w:color="auto"/>
            <w:bottom w:val="none" w:sz="0" w:space="0" w:color="auto"/>
            <w:right w:val="none" w:sz="0" w:space="0" w:color="auto"/>
          </w:divBdr>
        </w:div>
        <w:div w:id="1850292390">
          <w:marLeft w:val="0"/>
          <w:marRight w:val="0"/>
          <w:marTop w:val="0"/>
          <w:marBottom w:val="0"/>
          <w:divBdr>
            <w:top w:val="none" w:sz="0" w:space="0" w:color="auto"/>
            <w:left w:val="none" w:sz="0" w:space="0" w:color="auto"/>
            <w:bottom w:val="none" w:sz="0" w:space="0" w:color="auto"/>
            <w:right w:val="none" w:sz="0" w:space="0" w:color="auto"/>
          </w:divBdr>
        </w:div>
        <w:div w:id="1476337985">
          <w:marLeft w:val="0"/>
          <w:marRight w:val="0"/>
          <w:marTop w:val="0"/>
          <w:marBottom w:val="0"/>
          <w:divBdr>
            <w:top w:val="none" w:sz="0" w:space="0" w:color="auto"/>
            <w:left w:val="none" w:sz="0" w:space="0" w:color="auto"/>
            <w:bottom w:val="none" w:sz="0" w:space="0" w:color="auto"/>
            <w:right w:val="none" w:sz="0" w:space="0" w:color="auto"/>
          </w:divBdr>
        </w:div>
        <w:div w:id="1286231102">
          <w:marLeft w:val="0"/>
          <w:marRight w:val="0"/>
          <w:marTop w:val="0"/>
          <w:marBottom w:val="0"/>
          <w:divBdr>
            <w:top w:val="none" w:sz="0" w:space="0" w:color="auto"/>
            <w:left w:val="none" w:sz="0" w:space="0" w:color="auto"/>
            <w:bottom w:val="none" w:sz="0" w:space="0" w:color="auto"/>
            <w:right w:val="none" w:sz="0" w:space="0" w:color="auto"/>
          </w:divBdr>
        </w:div>
        <w:div w:id="2068413260">
          <w:marLeft w:val="0"/>
          <w:marRight w:val="0"/>
          <w:marTop w:val="0"/>
          <w:marBottom w:val="0"/>
          <w:divBdr>
            <w:top w:val="none" w:sz="0" w:space="0" w:color="auto"/>
            <w:left w:val="none" w:sz="0" w:space="0" w:color="auto"/>
            <w:bottom w:val="none" w:sz="0" w:space="0" w:color="auto"/>
            <w:right w:val="none" w:sz="0" w:space="0" w:color="auto"/>
          </w:divBdr>
        </w:div>
        <w:div w:id="1112243009">
          <w:marLeft w:val="0"/>
          <w:marRight w:val="0"/>
          <w:marTop w:val="0"/>
          <w:marBottom w:val="0"/>
          <w:divBdr>
            <w:top w:val="none" w:sz="0" w:space="0" w:color="auto"/>
            <w:left w:val="none" w:sz="0" w:space="0" w:color="auto"/>
            <w:bottom w:val="none" w:sz="0" w:space="0" w:color="auto"/>
            <w:right w:val="none" w:sz="0" w:space="0" w:color="auto"/>
          </w:divBdr>
        </w:div>
        <w:div w:id="169225527">
          <w:marLeft w:val="0"/>
          <w:marRight w:val="0"/>
          <w:marTop w:val="0"/>
          <w:marBottom w:val="0"/>
          <w:divBdr>
            <w:top w:val="none" w:sz="0" w:space="0" w:color="auto"/>
            <w:left w:val="none" w:sz="0" w:space="0" w:color="auto"/>
            <w:bottom w:val="none" w:sz="0" w:space="0" w:color="auto"/>
            <w:right w:val="none" w:sz="0" w:space="0" w:color="auto"/>
          </w:divBdr>
        </w:div>
        <w:div w:id="835460338">
          <w:marLeft w:val="0"/>
          <w:marRight w:val="0"/>
          <w:marTop w:val="0"/>
          <w:marBottom w:val="0"/>
          <w:divBdr>
            <w:top w:val="none" w:sz="0" w:space="0" w:color="auto"/>
            <w:left w:val="none" w:sz="0" w:space="0" w:color="auto"/>
            <w:bottom w:val="none" w:sz="0" w:space="0" w:color="auto"/>
            <w:right w:val="none" w:sz="0" w:space="0" w:color="auto"/>
          </w:divBdr>
        </w:div>
        <w:div w:id="1837500904">
          <w:marLeft w:val="0"/>
          <w:marRight w:val="0"/>
          <w:marTop w:val="0"/>
          <w:marBottom w:val="0"/>
          <w:divBdr>
            <w:top w:val="none" w:sz="0" w:space="0" w:color="auto"/>
            <w:left w:val="none" w:sz="0" w:space="0" w:color="auto"/>
            <w:bottom w:val="none" w:sz="0" w:space="0" w:color="auto"/>
            <w:right w:val="none" w:sz="0" w:space="0" w:color="auto"/>
          </w:divBdr>
        </w:div>
        <w:div w:id="533738296">
          <w:marLeft w:val="0"/>
          <w:marRight w:val="0"/>
          <w:marTop w:val="0"/>
          <w:marBottom w:val="0"/>
          <w:divBdr>
            <w:top w:val="none" w:sz="0" w:space="0" w:color="auto"/>
            <w:left w:val="none" w:sz="0" w:space="0" w:color="auto"/>
            <w:bottom w:val="none" w:sz="0" w:space="0" w:color="auto"/>
            <w:right w:val="none" w:sz="0" w:space="0" w:color="auto"/>
          </w:divBdr>
        </w:div>
        <w:div w:id="2072994837">
          <w:marLeft w:val="0"/>
          <w:marRight w:val="0"/>
          <w:marTop w:val="0"/>
          <w:marBottom w:val="0"/>
          <w:divBdr>
            <w:top w:val="none" w:sz="0" w:space="0" w:color="auto"/>
            <w:left w:val="none" w:sz="0" w:space="0" w:color="auto"/>
            <w:bottom w:val="none" w:sz="0" w:space="0" w:color="auto"/>
            <w:right w:val="none" w:sz="0" w:space="0" w:color="auto"/>
          </w:divBdr>
        </w:div>
        <w:div w:id="533927128">
          <w:marLeft w:val="0"/>
          <w:marRight w:val="0"/>
          <w:marTop w:val="0"/>
          <w:marBottom w:val="0"/>
          <w:divBdr>
            <w:top w:val="none" w:sz="0" w:space="0" w:color="auto"/>
            <w:left w:val="none" w:sz="0" w:space="0" w:color="auto"/>
            <w:bottom w:val="none" w:sz="0" w:space="0" w:color="auto"/>
            <w:right w:val="none" w:sz="0" w:space="0" w:color="auto"/>
          </w:divBdr>
        </w:div>
        <w:div w:id="879047890">
          <w:marLeft w:val="0"/>
          <w:marRight w:val="0"/>
          <w:marTop w:val="0"/>
          <w:marBottom w:val="0"/>
          <w:divBdr>
            <w:top w:val="none" w:sz="0" w:space="0" w:color="auto"/>
            <w:left w:val="none" w:sz="0" w:space="0" w:color="auto"/>
            <w:bottom w:val="none" w:sz="0" w:space="0" w:color="auto"/>
            <w:right w:val="none" w:sz="0" w:space="0" w:color="auto"/>
          </w:divBdr>
        </w:div>
        <w:div w:id="1956793550">
          <w:marLeft w:val="0"/>
          <w:marRight w:val="0"/>
          <w:marTop w:val="0"/>
          <w:marBottom w:val="0"/>
          <w:divBdr>
            <w:top w:val="none" w:sz="0" w:space="0" w:color="auto"/>
            <w:left w:val="none" w:sz="0" w:space="0" w:color="auto"/>
            <w:bottom w:val="none" w:sz="0" w:space="0" w:color="auto"/>
            <w:right w:val="none" w:sz="0" w:space="0" w:color="auto"/>
          </w:divBdr>
        </w:div>
        <w:div w:id="713192909">
          <w:marLeft w:val="0"/>
          <w:marRight w:val="0"/>
          <w:marTop w:val="0"/>
          <w:marBottom w:val="0"/>
          <w:divBdr>
            <w:top w:val="none" w:sz="0" w:space="0" w:color="auto"/>
            <w:left w:val="none" w:sz="0" w:space="0" w:color="auto"/>
            <w:bottom w:val="none" w:sz="0" w:space="0" w:color="auto"/>
            <w:right w:val="none" w:sz="0" w:space="0" w:color="auto"/>
          </w:divBdr>
        </w:div>
      </w:divsChild>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871994007">
      <w:bodyDiv w:val="1"/>
      <w:marLeft w:val="0"/>
      <w:marRight w:val="0"/>
      <w:marTop w:val="0"/>
      <w:marBottom w:val="0"/>
      <w:divBdr>
        <w:top w:val="none" w:sz="0" w:space="0" w:color="auto"/>
        <w:left w:val="none" w:sz="0" w:space="0" w:color="auto"/>
        <w:bottom w:val="none" w:sz="0" w:space="0" w:color="auto"/>
        <w:right w:val="none" w:sz="0" w:space="0" w:color="auto"/>
      </w:divBdr>
      <w:divsChild>
        <w:div w:id="1432437254">
          <w:marLeft w:val="0"/>
          <w:marRight w:val="0"/>
          <w:marTop w:val="0"/>
          <w:marBottom w:val="0"/>
          <w:divBdr>
            <w:top w:val="none" w:sz="0" w:space="0" w:color="auto"/>
            <w:left w:val="none" w:sz="0" w:space="0" w:color="auto"/>
            <w:bottom w:val="none" w:sz="0" w:space="0" w:color="auto"/>
            <w:right w:val="none" w:sz="0" w:space="0" w:color="auto"/>
          </w:divBdr>
        </w:div>
        <w:div w:id="222761167">
          <w:marLeft w:val="0"/>
          <w:marRight w:val="0"/>
          <w:marTop w:val="0"/>
          <w:marBottom w:val="0"/>
          <w:divBdr>
            <w:top w:val="none" w:sz="0" w:space="0" w:color="auto"/>
            <w:left w:val="none" w:sz="0" w:space="0" w:color="auto"/>
            <w:bottom w:val="none" w:sz="0" w:space="0" w:color="auto"/>
            <w:right w:val="none" w:sz="0" w:space="0" w:color="auto"/>
          </w:divBdr>
        </w:div>
        <w:div w:id="1330668395">
          <w:marLeft w:val="0"/>
          <w:marRight w:val="0"/>
          <w:marTop w:val="0"/>
          <w:marBottom w:val="0"/>
          <w:divBdr>
            <w:top w:val="none" w:sz="0" w:space="0" w:color="auto"/>
            <w:left w:val="none" w:sz="0" w:space="0" w:color="auto"/>
            <w:bottom w:val="none" w:sz="0" w:space="0" w:color="auto"/>
            <w:right w:val="none" w:sz="0" w:space="0" w:color="auto"/>
          </w:divBdr>
        </w:div>
        <w:div w:id="845436431">
          <w:marLeft w:val="0"/>
          <w:marRight w:val="0"/>
          <w:marTop w:val="0"/>
          <w:marBottom w:val="0"/>
          <w:divBdr>
            <w:top w:val="none" w:sz="0" w:space="0" w:color="auto"/>
            <w:left w:val="none" w:sz="0" w:space="0" w:color="auto"/>
            <w:bottom w:val="none" w:sz="0" w:space="0" w:color="auto"/>
            <w:right w:val="none" w:sz="0" w:space="0" w:color="auto"/>
          </w:divBdr>
        </w:div>
        <w:div w:id="509222052">
          <w:marLeft w:val="0"/>
          <w:marRight w:val="0"/>
          <w:marTop w:val="0"/>
          <w:marBottom w:val="0"/>
          <w:divBdr>
            <w:top w:val="none" w:sz="0" w:space="0" w:color="auto"/>
            <w:left w:val="none" w:sz="0" w:space="0" w:color="auto"/>
            <w:bottom w:val="none" w:sz="0" w:space="0" w:color="auto"/>
            <w:right w:val="none" w:sz="0" w:space="0" w:color="auto"/>
          </w:divBdr>
        </w:div>
        <w:div w:id="1315793097">
          <w:marLeft w:val="0"/>
          <w:marRight w:val="0"/>
          <w:marTop w:val="0"/>
          <w:marBottom w:val="0"/>
          <w:divBdr>
            <w:top w:val="none" w:sz="0" w:space="0" w:color="auto"/>
            <w:left w:val="none" w:sz="0" w:space="0" w:color="auto"/>
            <w:bottom w:val="none" w:sz="0" w:space="0" w:color="auto"/>
            <w:right w:val="none" w:sz="0" w:space="0" w:color="auto"/>
          </w:divBdr>
        </w:div>
        <w:div w:id="2076857440">
          <w:marLeft w:val="0"/>
          <w:marRight w:val="0"/>
          <w:marTop w:val="0"/>
          <w:marBottom w:val="0"/>
          <w:divBdr>
            <w:top w:val="none" w:sz="0" w:space="0" w:color="auto"/>
            <w:left w:val="none" w:sz="0" w:space="0" w:color="auto"/>
            <w:bottom w:val="none" w:sz="0" w:space="0" w:color="auto"/>
            <w:right w:val="none" w:sz="0" w:space="0" w:color="auto"/>
          </w:divBdr>
        </w:div>
        <w:div w:id="297153051">
          <w:marLeft w:val="0"/>
          <w:marRight w:val="0"/>
          <w:marTop w:val="0"/>
          <w:marBottom w:val="0"/>
          <w:divBdr>
            <w:top w:val="none" w:sz="0" w:space="0" w:color="auto"/>
            <w:left w:val="none" w:sz="0" w:space="0" w:color="auto"/>
            <w:bottom w:val="none" w:sz="0" w:space="0" w:color="auto"/>
            <w:right w:val="none" w:sz="0" w:space="0" w:color="auto"/>
          </w:divBdr>
        </w:div>
        <w:div w:id="1516731345">
          <w:marLeft w:val="0"/>
          <w:marRight w:val="0"/>
          <w:marTop w:val="0"/>
          <w:marBottom w:val="0"/>
          <w:divBdr>
            <w:top w:val="none" w:sz="0" w:space="0" w:color="auto"/>
            <w:left w:val="none" w:sz="0" w:space="0" w:color="auto"/>
            <w:bottom w:val="none" w:sz="0" w:space="0" w:color="auto"/>
            <w:right w:val="none" w:sz="0" w:space="0" w:color="auto"/>
          </w:divBdr>
        </w:div>
        <w:div w:id="1052537368">
          <w:marLeft w:val="0"/>
          <w:marRight w:val="0"/>
          <w:marTop w:val="0"/>
          <w:marBottom w:val="0"/>
          <w:divBdr>
            <w:top w:val="none" w:sz="0" w:space="0" w:color="auto"/>
            <w:left w:val="none" w:sz="0" w:space="0" w:color="auto"/>
            <w:bottom w:val="none" w:sz="0" w:space="0" w:color="auto"/>
            <w:right w:val="none" w:sz="0" w:space="0" w:color="auto"/>
          </w:divBdr>
        </w:div>
        <w:div w:id="855658710">
          <w:marLeft w:val="0"/>
          <w:marRight w:val="0"/>
          <w:marTop w:val="0"/>
          <w:marBottom w:val="0"/>
          <w:divBdr>
            <w:top w:val="none" w:sz="0" w:space="0" w:color="auto"/>
            <w:left w:val="none" w:sz="0" w:space="0" w:color="auto"/>
            <w:bottom w:val="none" w:sz="0" w:space="0" w:color="auto"/>
            <w:right w:val="none" w:sz="0" w:space="0" w:color="auto"/>
          </w:divBdr>
        </w:div>
        <w:div w:id="1244490730">
          <w:marLeft w:val="0"/>
          <w:marRight w:val="0"/>
          <w:marTop w:val="0"/>
          <w:marBottom w:val="0"/>
          <w:divBdr>
            <w:top w:val="none" w:sz="0" w:space="0" w:color="auto"/>
            <w:left w:val="none" w:sz="0" w:space="0" w:color="auto"/>
            <w:bottom w:val="none" w:sz="0" w:space="0" w:color="auto"/>
            <w:right w:val="none" w:sz="0" w:space="0" w:color="auto"/>
          </w:divBdr>
        </w:div>
        <w:div w:id="375469351">
          <w:marLeft w:val="0"/>
          <w:marRight w:val="0"/>
          <w:marTop w:val="0"/>
          <w:marBottom w:val="0"/>
          <w:divBdr>
            <w:top w:val="none" w:sz="0" w:space="0" w:color="auto"/>
            <w:left w:val="none" w:sz="0" w:space="0" w:color="auto"/>
            <w:bottom w:val="none" w:sz="0" w:space="0" w:color="auto"/>
            <w:right w:val="none" w:sz="0" w:space="0" w:color="auto"/>
          </w:divBdr>
        </w:div>
        <w:div w:id="686063463">
          <w:marLeft w:val="0"/>
          <w:marRight w:val="0"/>
          <w:marTop w:val="0"/>
          <w:marBottom w:val="0"/>
          <w:divBdr>
            <w:top w:val="none" w:sz="0" w:space="0" w:color="auto"/>
            <w:left w:val="none" w:sz="0" w:space="0" w:color="auto"/>
            <w:bottom w:val="none" w:sz="0" w:space="0" w:color="auto"/>
            <w:right w:val="none" w:sz="0" w:space="0" w:color="auto"/>
          </w:divBdr>
        </w:div>
        <w:div w:id="1017803877">
          <w:marLeft w:val="0"/>
          <w:marRight w:val="0"/>
          <w:marTop w:val="0"/>
          <w:marBottom w:val="0"/>
          <w:divBdr>
            <w:top w:val="none" w:sz="0" w:space="0" w:color="auto"/>
            <w:left w:val="none" w:sz="0" w:space="0" w:color="auto"/>
            <w:bottom w:val="none" w:sz="0" w:space="0" w:color="auto"/>
            <w:right w:val="none" w:sz="0" w:space="0" w:color="auto"/>
          </w:divBdr>
        </w:div>
        <w:div w:id="1630085951">
          <w:marLeft w:val="0"/>
          <w:marRight w:val="0"/>
          <w:marTop w:val="0"/>
          <w:marBottom w:val="0"/>
          <w:divBdr>
            <w:top w:val="none" w:sz="0" w:space="0" w:color="auto"/>
            <w:left w:val="none" w:sz="0" w:space="0" w:color="auto"/>
            <w:bottom w:val="none" w:sz="0" w:space="0" w:color="auto"/>
            <w:right w:val="none" w:sz="0" w:space="0" w:color="auto"/>
          </w:divBdr>
        </w:div>
        <w:div w:id="1244336468">
          <w:marLeft w:val="0"/>
          <w:marRight w:val="0"/>
          <w:marTop w:val="0"/>
          <w:marBottom w:val="0"/>
          <w:divBdr>
            <w:top w:val="none" w:sz="0" w:space="0" w:color="auto"/>
            <w:left w:val="none" w:sz="0" w:space="0" w:color="auto"/>
            <w:bottom w:val="none" w:sz="0" w:space="0" w:color="auto"/>
            <w:right w:val="none" w:sz="0" w:space="0" w:color="auto"/>
          </w:divBdr>
        </w:div>
        <w:div w:id="1497265886">
          <w:marLeft w:val="0"/>
          <w:marRight w:val="0"/>
          <w:marTop w:val="0"/>
          <w:marBottom w:val="0"/>
          <w:divBdr>
            <w:top w:val="none" w:sz="0" w:space="0" w:color="auto"/>
            <w:left w:val="none" w:sz="0" w:space="0" w:color="auto"/>
            <w:bottom w:val="none" w:sz="0" w:space="0" w:color="auto"/>
            <w:right w:val="none" w:sz="0" w:space="0" w:color="auto"/>
          </w:divBdr>
        </w:div>
        <w:div w:id="1554343601">
          <w:marLeft w:val="0"/>
          <w:marRight w:val="0"/>
          <w:marTop w:val="0"/>
          <w:marBottom w:val="0"/>
          <w:divBdr>
            <w:top w:val="none" w:sz="0" w:space="0" w:color="auto"/>
            <w:left w:val="none" w:sz="0" w:space="0" w:color="auto"/>
            <w:bottom w:val="none" w:sz="0" w:space="0" w:color="auto"/>
            <w:right w:val="none" w:sz="0" w:space="0" w:color="auto"/>
          </w:divBdr>
        </w:div>
        <w:div w:id="1249653048">
          <w:marLeft w:val="0"/>
          <w:marRight w:val="0"/>
          <w:marTop w:val="0"/>
          <w:marBottom w:val="0"/>
          <w:divBdr>
            <w:top w:val="none" w:sz="0" w:space="0" w:color="auto"/>
            <w:left w:val="none" w:sz="0" w:space="0" w:color="auto"/>
            <w:bottom w:val="none" w:sz="0" w:space="0" w:color="auto"/>
            <w:right w:val="none" w:sz="0" w:space="0" w:color="auto"/>
          </w:divBdr>
        </w:div>
        <w:div w:id="1329406311">
          <w:marLeft w:val="0"/>
          <w:marRight w:val="0"/>
          <w:marTop w:val="0"/>
          <w:marBottom w:val="0"/>
          <w:divBdr>
            <w:top w:val="none" w:sz="0" w:space="0" w:color="auto"/>
            <w:left w:val="none" w:sz="0" w:space="0" w:color="auto"/>
            <w:bottom w:val="none" w:sz="0" w:space="0" w:color="auto"/>
            <w:right w:val="none" w:sz="0" w:space="0" w:color="auto"/>
          </w:divBdr>
        </w:div>
        <w:div w:id="1848058586">
          <w:marLeft w:val="0"/>
          <w:marRight w:val="0"/>
          <w:marTop w:val="0"/>
          <w:marBottom w:val="0"/>
          <w:divBdr>
            <w:top w:val="none" w:sz="0" w:space="0" w:color="auto"/>
            <w:left w:val="none" w:sz="0" w:space="0" w:color="auto"/>
            <w:bottom w:val="none" w:sz="0" w:space="0" w:color="auto"/>
            <w:right w:val="none" w:sz="0" w:space="0" w:color="auto"/>
          </w:divBdr>
        </w:div>
        <w:div w:id="103771906">
          <w:marLeft w:val="0"/>
          <w:marRight w:val="0"/>
          <w:marTop w:val="0"/>
          <w:marBottom w:val="0"/>
          <w:divBdr>
            <w:top w:val="none" w:sz="0" w:space="0" w:color="auto"/>
            <w:left w:val="none" w:sz="0" w:space="0" w:color="auto"/>
            <w:bottom w:val="none" w:sz="0" w:space="0" w:color="auto"/>
            <w:right w:val="none" w:sz="0" w:space="0" w:color="auto"/>
          </w:divBdr>
        </w:div>
        <w:div w:id="982345999">
          <w:marLeft w:val="0"/>
          <w:marRight w:val="0"/>
          <w:marTop w:val="0"/>
          <w:marBottom w:val="0"/>
          <w:divBdr>
            <w:top w:val="none" w:sz="0" w:space="0" w:color="auto"/>
            <w:left w:val="none" w:sz="0" w:space="0" w:color="auto"/>
            <w:bottom w:val="none" w:sz="0" w:space="0" w:color="auto"/>
            <w:right w:val="none" w:sz="0" w:space="0" w:color="auto"/>
          </w:divBdr>
        </w:div>
        <w:div w:id="1783699">
          <w:marLeft w:val="0"/>
          <w:marRight w:val="0"/>
          <w:marTop w:val="0"/>
          <w:marBottom w:val="0"/>
          <w:divBdr>
            <w:top w:val="none" w:sz="0" w:space="0" w:color="auto"/>
            <w:left w:val="none" w:sz="0" w:space="0" w:color="auto"/>
            <w:bottom w:val="none" w:sz="0" w:space="0" w:color="auto"/>
            <w:right w:val="none" w:sz="0" w:space="0" w:color="auto"/>
          </w:divBdr>
        </w:div>
        <w:div w:id="466168767">
          <w:marLeft w:val="0"/>
          <w:marRight w:val="0"/>
          <w:marTop w:val="0"/>
          <w:marBottom w:val="0"/>
          <w:divBdr>
            <w:top w:val="none" w:sz="0" w:space="0" w:color="auto"/>
            <w:left w:val="none" w:sz="0" w:space="0" w:color="auto"/>
            <w:bottom w:val="none" w:sz="0" w:space="0" w:color="auto"/>
            <w:right w:val="none" w:sz="0" w:space="0" w:color="auto"/>
          </w:divBdr>
        </w:div>
        <w:div w:id="1168405285">
          <w:marLeft w:val="0"/>
          <w:marRight w:val="0"/>
          <w:marTop w:val="0"/>
          <w:marBottom w:val="0"/>
          <w:divBdr>
            <w:top w:val="none" w:sz="0" w:space="0" w:color="auto"/>
            <w:left w:val="none" w:sz="0" w:space="0" w:color="auto"/>
            <w:bottom w:val="none" w:sz="0" w:space="0" w:color="auto"/>
            <w:right w:val="none" w:sz="0" w:space="0" w:color="auto"/>
          </w:divBdr>
        </w:div>
        <w:div w:id="181431583">
          <w:marLeft w:val="0"/>
          <w:marRight w:val="0"/>
          <w:marTop w:val="0"/>
          <w:marBottom w:val="0"/>
          <w:divBdr>
            <w:top w:val="none" w:sz="0" w:space="0" w:color="auto"/>
            <w:left w:val="none" w:sz="0" w:space="0" w:color="auto"/>
            <w:bottom w:val="none" w:sz="0" w:space="0" w:color="auto"/>
            <w:right w:val="none" w:sz="0" w:space="0" w:color="auto"/>
          </w:divBdr>
        </w:div>
        <w:div w:id="1475366616">
          <w:marLeft w:val="0"/>
          <w:marRight w:val="0"/>
          <w:marTop w:val="0"/>
          <w:marBottom w:val="0"/>
          <w:divBdr>
            <w:top w:val="none" w:sz="0" w:space="0" w:color="auto"/>
            <w:left w:val="none" w:sz="0" w:space="0" w:color="auto"/>
            <w:bottom w:val="none" w:sz="0" w:space="0" w:color="auto"/>
            <w:right w:val="none" w:sz="0" w:space="0" w:color="auto"/>
          </w:divBdr>
        </w:div>
        <w:div w:id="1512255025">
          <w:marLeft w:val="0"/>
          <w:marRight w:val="0"/>
          <w:marTop w:val="0"/>
          <w:marBottom w:val="0"/>
          <w:divBdr>
            <w:top w:val="none" w:sz="0" w:space="0" w:color="auto"/>
            <w:left w:val="none" w:sz="0" w:space="0" w:color="auto"/>
            <w:bottom w:val="none" w:sz="0" w:space="0" w:color="auto"/>
            <w:right w:val="none" w:sz="0" w:space="0" w:color="auto"/>
          </w:divBdr>
        </w:div>
        <w:div w:id="642735537">
          <w:marLeft w:val="0"/>
          <w:marRight w:val="0"/>
          <w:marTop w:val="0"/>
          <w:marBottom w:val="0"/>
          <w:divBdr>
            <w:top w:val="none" w:sz="0" w:space="0" w:color="auto"/>
            <w:left w:val="none" w:sz="0" w:space="0" w:color="auto"/>
            <w:bottom w:val="none" w:sz="0" w:space="0" w:color="auto"/>
            <w:right w:val="none" w:sz="0" w:space="0" w:color="auto"/>
          </w:divBdr>
        </w:div>
        <w:div w:id="1632205096">
          <w:marLeft w:val="0"/>
          <w:marRight w:val="0"/>
          <w:marTop w:val="0"/>
          <w:marBottom w:val="0"/>
          <w:divBdr>
            <w:top w:val="none" w:sz="0" w:space="0" w:color="auto"/>
            <w:left w:val="none" w:sz="0" w:space="0" w:color="auto"/>
            <w:bottom w:val="none" w:sz="0" w:space="0" w:color="auto"/>
            <w:right w:val="none" w:sz="0" w:space="0" w:color="auto"/>
          </w:divBdr>
        </w:div>
        <w:div w:id="300691619">
          <w:marLeft w:val="0"/>
          <w:marRight w:val="0"/>
          <w:marTop w:val="0"/>
          <w:marBottom w:val="0"/>
          <w:divBdr>
            <w:top w:val="none" w:sz="0" w:space="0" w:color="auto"/>
            <w:left w:val="none" w:sz="0" w:space="0" w:color="auto"/>
            <w:bottom w:val="none" w:sz="0" w:space="0" w:color="auto"/>
            <w:right w:val="none" w:sz="0" w:space="0" w:color="auto"/>
          </w:divBdr>
        </w:div>
      </w:divsChild>
    </w:div>
    <w:div w:id="1882403999">
      <w:bodyDiv w:val="1"/>
      <w:marLeft w:val="0"/>
      <w:marRight w:val="0"/>
      <w:marTop w:val="0"/>
      <w:marBottom w:val="0"/>
      <w:divBdr>
        <w:top w:val="none" w:sz="0" w:space="0" w:color="auto"/>
        <w:left w:val="none" w:sz="0" w:space="0" w:color="auto"/>
        <w:bottom w:val="none" w:sz="0" w:space="0" w:color="auto"/>
        <w:right w:val="none" w:sz="0" w:space="0" w:color="auto"/>
      </w:divBdr>
      <w:divsChild>
        <w:div w:id="343827001">
          <w:marLeft w:val="0"/>
          <w:marRight w:val="0"/>
          <w:marTop w:val="0"/>
          <w:marBottom w:val="0"/>
          <w:divBdr>
            <w:top w:val="none" w:sz="0" w:space="0" w:color="auto"/>
            <w:left w:val="none" w:sz="0" w:space="0" w:color="auto"/>
            <w:bottom w:val="none" w:sz="0" w:space="0" w:color="auto"/>
            <w:right w:val="none" w:sz="0" w:space="0" w:color="auto"/>
          </w:divBdr>
        </w:div>
        <w:div w:id="1083910918">
          <w:marLeft w:val="0"/>
          <w:marRight w:val="0"/>
          <w:marTop w:val="0"/>
          <w:marBottom w:val="0"/>
          <w:divBdr>
            <w:top w:val="none" w:sz="0" w:space="0" w:color="auto"/>
            <w:left w:val="none" w:sz="0" w:space="0" w:color="auto"/>
            <w:bottom w:val="none" w:sz="0" w:space="0" w:color="auto"/>
            <w:right w:val="none" w:sz="0" w:space="0" w:color="auto"/>
          </w:divBdr>
        </w:div>
        <w:div w:id="522859639">
          <w:marLeft w:val="0"/>
          <w:marRight w:val="0"/>
          <w:marTop w:val="0"/>
          <w:marBottom w:val="0"/>
          <w:divBdr>
            <w:top w:val="none" w:sz="0" w:space="0" w:color="auto"/>
            <w:left w:val="none" w:sz="0" w:space="0" w:color="auto"/>
            <w:bottom w:val="none" w:sz="0" w:space="0" w:color="auto"/>
            <w:right w:val="none" w:sz="0" w:space="0" w:color="auto"/>
          </w:divBdr>
        </w:div>
        <w:div w:id="1370643578">
          <w:marLeft w:val="0"/>
          <w:marRight w:val="0"/>
          <w:marTop w:val="0"/>
          <w:marBottom w:val="0"/>
          <w:divBdr>
            <w:top w:val="none" w:sz="0" w:space="0" w:color="auto"/>
            <w:left w:val="none" w:sz="0" w:space="0" w:color="auto"/>
            <w:bottom w:val="none" w:sz="0" w:space="0" w:color="auto"/>
            <w:right w:val="none" w:sz="0" w:space="0" w:color="auto"/>
          </w:divBdr>
        </w:div>
        <w:div w:id="1207916466">
          <w:marLeft w:val="0"/>
          <w:marRight w:val="0"/>
          <w:marTop w:val="0"/>
          <w:marBottom w:val="0"/>
          <w:divBdr>
            <w:top w:val="none" w:sz="0" w:space="0" w:color="auto"/>
            <w:left w:val="none" w:sz="0" w:space="0" w:color="auto"/>
            <w:bottom w:val="none" w:sz="0" w:space="0" w:color="auto"/>
            <w:right w:val="none" w:sz="0" w:space="0" w:color="auto"/>
          </w:divBdr>
        </w:div>
        <w:div w:id="1503086119">
          <w:marLeft w:val="0"/>
          <w:marRight w:val="0"/>
          <w:marTop w:val="0"/>
          <w:marBottom w:val="0"/>
          <w:divBdr>
            <w:top w:val="none" w:sz="0" w:space="0" w:color="auto"/>
            <w:left w:val="none" w:sz="0" w:space="0" w:color="auto"/>
            <w:bottom w:val="none" w:sz="0" w:space="0" w:color="auto"/>
            <w:right w:val="none" w:sz="0" w:space="0" w:color="auto"/>
          </w:divBdr>
        </w:div>
        <w:div w:id="1642154726">
          <w:marLeft w:val="0"/>
          <w:marRight w:val="0"/>
          <w:marTop w:val="0"/>
          <w:marBottom w:val="0"/>
          <w:divBdr>
            <w:top w:val="none" w:sz="0" w:space="0" w:color="auto"/>
            <w:left w:val="none" w:sz="0" w:space="0" w:color="auto"/>
            <w:bottom w:val="none" w:sz="0" w:space="0" w:color="auto"/>
            <w:right w:val="none" w:sz="0" w:space="0" w:color="auto"/>
          </w:divBdr>
        </w:div>
      </w:divsChild>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 w:id="2078549926">
      <w:bodyDiv w:val="1"/>
      <w:marLeft w:val="0"/>
      <w:marRight w:val="0"/>
      <w:marTop w:val="0"/>
      <w:marBottom w:val="0"/>
      <w:divBdr>
        <w:top w:val="none" w:sz="0" w:space="0" w:color="auto"/>
        <w:left w:val="none" w:sz="0" w:space="0" w:color="auto"/>
        <w:bottom w:val="none" w:sz="0" w:space="0" w:color="auto"/>
        <w:right w:val="none" w:sz="0" w:space="0" w:color="auto"/>
      </w:divBdr>
      <w:divsChild>
        <w:div w:id="249236747">
          <w:marLeft w:val="0"/>
          <w:marRight w:val="0"/>
          <w:marTop w:val="0"/>
          <w:marBottom w:val="0"/>
          <w:divBdr>
            <w:top w:val="none" w:sz="0" w:space="0" w:color="auto"/>
            <w:left w:val="none" w:sz="0" w:space="0" w:color="auto"/>
            <w:bottom w:val="none" w:sz="0" w:space="0" w:color="auto"/>
            <w:right w:val="none" w:sz="0" w:space="0" w:color="auto"/>
          </w:divBdr>
        </w:div>
        <w:div w:id="1773086785">
          <w:marLeft w:val="0"/>
          <w:marRight w:val="0"/>
          <w:marTop w:val="0"/>
          <w:marBottom w:val="0"/>
          <w:divBdr>
            <w:top w:val="none" w:sz="0" w:space="0" w:color="auto"/>
            <w:left w:val="none" w:sz="0" w:space="0" w:color="auto"/>
            <w:bottom w:val="none" w:sz="0" w:space="0" w:color="auto"/>
            <w:right w:val="none" w:sz="0" w:space="0" w:color="auto"/>
          </w:divBdr>
        </w:div>
        <w:div w:id="1193347615">
          <w:marLeft w:val="0"/>
          <w:marRight w:val="0"/>
          <w:marTop w:val="0"/>
          <w:marBottom w:val="0"/>
          <w:divBdr>
            <w:top w:val="none" w:sz="0" w:space="0" w:color="auto"/>
            <w:left w:val="none" w:sz="0" w:space="0" w:color="auto"/>
            <w:bottom w:val="none" w:sz="0" w:space="0" w:color="auto"/>
            <w:right w:val="none" w:sz="0" w:space="0" w:color="auto"/>
          </w:divBdr>
        </w:div>
        <w:div w:id="1370104681">
          <w:marLeft w:val="0"/>
          <w:marRight w:val="0"/>
          <w:marTop w:val="0"/>
          <w:marBottom w:val="0"/>
          <w:divBdr>
            <w:top w:val="none" w:sz="0" w:space="0" w:color="auto"/>
            <w:left w:val="none" w:sz="0" w:space="0" w:color="auto"/>
            <w:bottom w:val="none" w:sz="0" w:space="0" w:color="auto"/>
            <w:right w:val="none" w:sz="0" w:space="0" w:color="auto"/>
          </w:divBdr>
        </w:div>
        <w:div w:id="2011105341">
          <w:marLeft w:val="0"/>
          <w:marRight w:val="0"/>
          <w:marTop w:val="0"/>
          <w:marBottom w:val="0"/>
          <w:divBdr>
            <w:top w:val="none" w:sz="0" w:space="0" w:color="auto"/>
            <w:left w:val="none" w:sz="0" w:space="0" w:color="auto"/>
            <w:bottom w:val="none" w:sz="0" w:space="0" w:color="auto"/>
            <w:right w:val="none" w:sz="0" w:space="0" w:color="auto"/>
          </w:divBdr>
        </w:div>
        <w:div w:id="238828871">
          <w:marLeft w:val="0"/>
          <w:marRight w:val="0"/>
          <w:marTop w:val="0"/>
          <w:marBottom w:val="0"/>
          <w:divBdr>
            <w:top w:val="none" w:sz="0" w:space="0" w:color="auto"/>
            <w:left w:val="none" w:sz="0" w:space="0" w:color="auto"/>
            <w:bottom w:val="none" w:sz="0" w:space="0" w:color="auto"/>
            <w:right w:val="none" w:sz="0" w:space="0" w:color="auto"/>
          </w:divBdr>
        </w:div>
        <w:div w:id="2049597952">
          <w:marLeft w:val="0"/>
          <w:marRight w:val="0"/>
          <w:marTop w:val="0"/>
          <w:marBottom w:val="0"/>
          <w:divBdr>
            <w:top w:val="none" w:sz="0" w:space="0" w:color="auto"/>
            <w:left w:val="none" w:sz="0" w:space="0" w:color="auto"/>
            <w:bottom w:val="none" w:sz="0" w:space="0" w:color="auto"/>
            <w:right w:val="none" w:sz="0" w:space="0" w:color="auto"/>
          </w:divBdr>
        </w:div>
        <w:div w:id="934480015">
          <w:marLeft w:val="0"/>
          <w:marRight w:val="0"/>
          <w:marTop w:val="0"/>
          <w:marBottom w:val="0"/>
          <w:divBdr>
            <w:top w:val="none" w:sz="0" w:space="0" w:color="auto"/>
            <w:left w:val="none" w:sz="0" w:space="0" w:color="auto"/>
            <w:bottom w:val="none" w:sz="0" w:space="0" w:color="auto"/>
            <w:right w:val="none" w:sz="0" w:space="0" w:color="auto"/>
          </w:divBdr>
        </w:div>
        <w:div w:id="1877545440">
          <w:marLeft w:val="0"/>
          <w:marRight w:val="0"/>
          <w:marTop w:val="0"/>
          <w:marBottom w:val="0"/>
          <w:divBdr>
            <w:top w:val="none" w:sz="0" w:space="0" w:color="auto"/>
            <w:left w:val="none" w:sz="0" w:space="0" w:color="auto"/>
            <w:bottom w:val="none" w:sz="0" w:space="0" w:color="auto"/>
            <w:right w:val="none" w:sz="0" w:space="0" w:color="auto"/>
          </w:divBdr>
        </w:div>
        <w:div w:id="1077480501">
          <w:marLeft w:val="0"/>
          <w:marRight w:val="0"/>
          <w:marTop w:val="0"/>
          <w:marBottom w:val="0"/>
          <w:divBdr>
            <w:top w:val="none" w:sz="0" w:space="0" w:color="auto"/>
            <w:left w:val="none" w:sz="0" w:space="0" w:color="auto"/>
            <w:bottom w:val="none" w:sz="0" w:space="0" w:color="auto"/>
            <w:right w:val="none" w:sz="0" w:space="0" w:color="auto"/>
          </w:divBdr>
        </w:div>
        <w:div w:id="1431202446">
          <w:marLeft w:val="0"/>
          <w:marRight w:val="0"/>
          <w:marTop w:val="0"/>
          <w:marBottom w:val="0"/>
          <w:divBdr>
            <w:top w:val="none" w:sz="0" w:space="0" w:color="auto"/>
            <w:left w:val="none" w:sz="0" w:space="0" w:color="auto"/>
            <w:bottom w:val="none" w:sz="0" w:space="0" w:color="auto"/>
            <w:right w:val="none" w:sz="0" w:space="0" w:color="auto"/>
          </w:divBdr>
        </w:div>
        <w:div w:id="1885948426">
          <w:marLeft w:val="0"/>
          <w:marRight w:val="0"/>
          <w:marTop w:val="0"/>
          <w:marBottom w:val="0"/>
          <w:divBdr>
            <w:top w:val="none" w:sz="0" w:space="0" w:color="auto"/>
            <w:left w:val="none" w:sz="0" w:space="0" w:color="auto"/>
            <w:bottom w:val="none" w:sz="0" w:space="0" w:color="auto"/>
            <w:right w:val="none" w:sz="0" w:space="0" w:color="auto"/>
          </w:divBdr>
        </w:div>
        <w:div w:id="237592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BFCD7-9424-402B-82B6-272D899C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3912</Words>
  <Characters>22299</Characters>
  <Application>Microsoft Office Word</Application>
  <DocSecurity>0</DocSecurity>
  <Lines>185</Lines>
  <Paragraphs>52</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26159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5</cp:revision>
  <cp:lastPrinted>2017-07-03T11:39:00Z</cp:lastPrinted>
  <dcterms:created xsi:type="dcterms:W3CDTF">2017-07-03T11:23:00Z</dcterms:created>
  <dcterms:modified xsi:type="dcterms:W3CDTF">2017-07-03T11:39:00Z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