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0" w:tblpY="568"/>
        <w:tblOverlap w:val="never"/>
        <w:tblW w:w="9644" w:type="dxa"/>
        <w:tblLayout w:type="fixed"/>
        <w:tblCellMar>
          <w:left w:w="0" w:type="dxa"/>
          <w:right w:w="0" w:type="dxa"/>
        </w:tblCellMar>
        <w:tblLook w:val="01E0" w:firstRow="1" w:lastRow="1" w:firstColumn="1" w:lastColumn="1" w:noHBand="0" w:noVBand="0"/>
      </w:tblPr>
      <w:tblGrid>
        <w:gridCol w:w="9644"/>
      </w:tblGrid>
      <w:tr w:rsidR="0099001C" w:rsidRPr="007E344F" w14:paraId="4A314927" w14:textId="77777777" w:rsidTr="00DE47FC">
        <w:trPr>
          <w:cantSplit/>
          <w:trHeight w:hRule="exact" w:val="851"/>
        </w:trPr>
        <w:tc>
          <w:tcPr>
            <w:tcW w:w="9644" w:type="dxa"/>
            <w:tcBorders>
              <w:bottom w:val="single" w:sz="4" w:space="0" w:color="auto"/>
            </w:tcBorders>
          </w:tcPr>
          <w:p w14:paraId="59CDE0AE" w14:textId="71E8EF71" w:rsidR="0099001C" w:rsidRPr="007E344F" w:rsidRDefault="0099001C" w:rsidP="00B318DA">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0A07EB">
              <w:rPr>
                <w:b/>
                <w:sz w:val="40"/>
                <w:szCs w:val="40"/>
              </w:rPr>
              <w:t>51</w:t>
            </w:r>
            <w:r w:rsidRPr="007E344F">
              <w:rPr>
                <w:b/>
                <w:sz w:val="40"/>
                <w:szCs w:val="40"/>
              </w:rPr>
              <w:t>/INF.</w:t>
            </w:r>
            <w:r w:rsidR="00B318DA">
              <w:rPr>
                <w:b/>
                <w:sz w:val="40"/>
                <w:szCs w:val="40"/>
              </w:rPr>
              <w:t>29</w:t>
            </w:r>
          </w:p>
        </w:tc>
      </w:tr>
      <w:tr w:rsidR="0099001C" w:rsidRPr="007E344F" w14:paraId="0313627A" w14:textId="77777777" w:rsidTr="00B318DA">
        <w:trPr>
          <w:cantSplit/>
          <w:trHeight w:hRule="exact" w:val="2839"/>
        </w:trPr>
        <w:tc>
          <w:tcPr>
            <w:tcW w:w="9644" w:type="dxa"/>
            <w:tcBorders>
              <w:top w:val="single" w:sz="4" w:space="0" w:color="auto"/>
            </w:tcBorders>
          </w:tcPr>
          <w:p w14:paraId="5FD0441E" w14:textId="77777777" w:rsidR="00A805EB" w:rsidRPr="007E344F" w:rsidRDefault="00A805EB" w:rsidP="00197785">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14:paraId="53D222C4" w14:textId="16EE8022" w:rsidR="00A805EB" w:rsidRPr="007E344F" w:rsidRDefault="00A805EB" w:rsidP="00197785">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B318DA">
              <w:rPr>
                <w:b/>
              </w:rPr>
              <w:t>27</w:t>
            </w:r>
            <w:r w:rsidR="00E34BA6">
              <w:rPr>
                <w:b/>
              </w:rPr>
              <w:t xml:space="preserve"> June</w:t>
            </w:r>
            <w:r w:rsidR="000A07EB">
              <w:rPr>
                <w:b/>
              </w:rPr>
              <w:t xml:space="preserve"> 2017</w:t>
            </w:r>
          </w:p>
          <w:p w14:paraId="3F8C9A4F" w14:textId="77777777" w:rsidR="00A805EB" w:rsidRPr="007E344F" w:rsidRDefault="000A07EB" w:rsidP="00197785">
            <w:pPr>
              <w:spacing w:before="120"/>
              <w:rPr>
                <w:b/>
              </w:rPr>
            </w:pPr>
            <w:r>
              <w:rPr>
                <w:b/>
              </w:rPr>
              <w:t>Fifty-first</w:t>
            </w:r>
            <w:r w:rsidR="00DE3A0C" w:rsidRPr="007E344F">
              <w:rPr>
                <w:b/>
              </w:rPr>
              <w:t xml:space="preserve"> </w:t>
            </w:r>
            <w:r w:rsidR="00A805EB" w:rsidRPr="007E344F">
              <w:rPr>
                <w:b/>
              </w:rPr>
              <w:t>session</w:t>
            </w:r>
          </w:p>
          <w:p w14:paraId="1008B220" w14:textId="77777777" w:rsidR="00403098" w:rsidRPr="007E344F" w:rsidRDefault="00403098" w:rsidP="00197785">
            <w:r w:rsidRPr="007E344F">
              <w:t>Geneva</w:t>
            </w:r>
            <w:r w:rsidR="00AA617C">
              <w:t xml:space="preserve">, </w:t>
            </w:r>
            <w:r w:rsidR="000A07EB">
              <w:t>3-7 July 2017</w:t>
            </w:r>
          </w:p>
          <w:p w14:paraId="38A63EE8" w14:textId="7C5E71FF" w:rsidR="000A07EB" w:rsidRPr="00B318DA" w:rsidRDefault="000A07EB" w:rsidP="00197785">
            <w:pPr>
              <w:rPr>
                <w:b/>
              </w:rPr>
            </w:pPr>
            <w:r w:rsidRPr="007B2B1F">
              <w:t xml:space="preserve">Item </w:t>
            </w:r>
            <w:r w:rsidR="00E12839">
              <w:t>6 (d)</w:t>
            </w:r>
            <w:r w:rsidRPr="007B2B1F">
              <w:t xml:space="preserve"> of the provisional agenda</w:t>
            </w:r>
            <w:r w:rsidRPr="007B2B1F">
              <w:rPr>
                <w:b/>
              </w:rPr>
              <w:t xml:space="preserve"> </w:t>
            </w:r>
            <w:r w:rsidRPr="007B2B1F">
              <w:rPr>
                <w:b/>
              </w:rPr>
              <w:br/>
            </w:r>
            <w:r w:rsidR="00B318DA" w:rsidRPr="00B318DA">
              <w:rPr>
                <w:b/>
              </w:rPr>
              <w:t xml:space="preserve">Miscellaneous proposals for amendments to the Model Regulations </w:t>
            </w:r>
            <w:r w:rsidR="00B318DA" w:rsidRPr="00B318DA">
              <w:rPr>
                <w:b/>
              </w:rPr>
              <w:br/>
            </w:r>
            <w:r w:rsidR="00B318DA" w:rsidRPr="00B318DA">
              <w:rPr>
                <w:b/>
              </w:rPr>
              <w:t>on the Transport of Dangerous Goods</w:t>
            </w:r>
            <w:r w:rsidR="00B318DA" w:rsidRPr="00B318DA">
              <w:rPr>
                <w:b/>
              </w:rPr>
              <w:t>: o</w:t>
            </w:r>
            <w:r w:rsidR="00B318DA" w:rsidRPr="00B318DA">
              <w:rPr>
                <w:b/>
              </w:rPr>
              <w:t>ther miscellaneous proposals</w:t>
            </w:r>
          </w:p>
          <w:p w14:paraId="5CC8167B" w14:textId="77777777" w:rsidR="00317F1A" w:rsidRPr="00D63626" w:rsidRDefault="00317F1A" w:rsidP="00197785">
            <w:pPr>
              <w:spacing w:line="240" w:lineRule="exact"/>
            </w:pPr>
          </w:p>
        </w:tc>
      </w:tr>
    </w:tbl>
    <w:p w14:paraId="418F34C8" w14:textId="77777777" w:rsidR="00E12839" w:rsidRDefault="001B20FF" w:rsidP="00E12839">
      <w:pPr>
        <w:pStyle w:val="HChG"/>
      </w:pPr>
      <w:r>
        <w:rPr>
          <w:lang w:val="en-CA"/>
        </w:rPr>
        <w:tab/>
      </w:r>
      <w:r>
        <w:rPr>
          <w:lang w:val="en-CA"/>
        </w:rPr>
        <w:tab/>
        <w:t xml:space="preserve">Comments on document </w:t>
      </w:r>
      <w:r w:rsidR="00E12839">
        <w:rPr>
          <w:szCs w:val="28"/>
        </w:rPr>
        <w:t>ST/SG/AC.10/C.3/2017/21</w:t>
      </w:r>
      <w:r>
        <w:rPr>
          <w:szCs w:val="28"/>
        </w:rPr>
        <w:t xml:space="preserve"> </w:t>
      </w:r>
      <w:r w:rsidR="00E12839">
        <w:t>Proposal of amendment to section 5.5.3</w:t>
      </w:r>
    </w:p>
    <w:p w14:paraId="32E7EF20" w14:textId="1CF0AF97" w:rsidR="001B20FF" w:rsidRDefault="001B20FF" w:rsidP="00B318DA">
      <w:pPr>
        <w:pStyle w:val="H1G"/>
        <w:rPr>
          <w:lang w:val="en-CA"/>
        </w:rPr>
      </w:pPr>
      <w:r>
        <w:rPr>
          <w:lang w:val="en-CA"/>
        </w:rPr>
        <w:tab/>
      </w:r>
      <w:r>
        <w:rPr>
          <w:lang w:val="en-CA"/>
        </w:rPr>
        <w:tab/>
        <w:t>Transmitte</w:t>
      </w:r>
      <w:r w:rsidR="00E12839">
        <w:rPr>
          <w:lang w:val="en-CA"/>
        </w:rPr>
        <w:t>d by the expert from Austria</w:t>
      </w:r>
    </w:p>
    <w:p w14:paraId="06CD71F3" w14:textId="77777777" w:rsidR="001B20FF" w:rsidRDefault="001B20FF" w:rsidP="001B20FF">
      <w:pPr>
        <w:pStyle w:val="HChG"/>
        <w:rPr>
          <w:lang w:val="en-CA"/>
        </w:rPr>
      </w:pPr>
      <w:r>
        <w:rPr>
          <w:lang w:val="en-CA"/>
        </w:rPr>
        <w:tab/>
      </w:r>
      <w:r>
        <w:rPr>
          <w:lang w:val="en-CA"/>
        </w:rPr>
        <w:tab/>
        <w:t>Introduction</w:t>
      </w:r>
    </w:p>
    <w:p w14:paraId="2A5CF4F3" w14:textId="77777777" w:rsidR="00E76E07" w:rsidRPr="00E76E07" w:rsidRDefault="00E76E07" w:rsidP="001B20FF">
      <w:pPr>
        <w:pStyle w:val="SingleTxtG"/>
      </w:pPr>
      <w:r w:rsidRPr="00E76E07">
        <w:t>1.</w:t>
      </w:r>
      <w:r w:rsidRPr="00E76E07">
        <w:tab/>
        <w:t>Section 5.5.3 defines special provisions applicable to packages, wagons and containers containing substances presenting a risk of asphyxiation when used for cooling or conditioning purposes (such as UN 1845 Dry ice, UN 1977 Nitrogen, refrigerated liquid or UN 1951 Argon, refrigerated liquid).</w:t>
      </w:r>
    </w:p>
    <w:p w14:paraId="0F384924" w14:textId="1EE25D96" w:rsidR="00E76E07" w:rsidRDefault="001B20FF" w:rsidP="00E76E07">
      <w:pPr>
        <w:pStyle w:val="SingleTxtG"/>
      </w:pPr>
      <w:r>
        <w:t>2.</w:t>
      </w:r>
      <w:r>
        <w:tab/>
      </w:r>
      <w:r w:rsidR="00E6204C">
        <w:t>Document 21 deals with the addition of “protection” as reason for the appl</w:t>
      </w:r>
      <w:r w:rsidR="00053A7E">
        <w:t>ication of an asphyxiating gas.</w:t>
      </w:r>
      <w:r w:rsidR="0007395C">
        <w:t xml:space="preserve"> Therefore the proposal is to add to the two versions of figure 5.5.2 with “AS COOLANT” and “AS CONDITIONER” an additional version with “AS PROTECTIVE AGENT”.</w:t>
      </w:r>
      <w:r w:rsidR="00A91E64">
        <w:t xml:space="preserve"> That means that additional versions of the figure have to be printed and made available.</w:t>
      </w:r>
    </w:p>
    <w:p w14:paraId="330CD2AA" w14:textId="419471F0" w:rsidR="004246D9" w:rsidRDefault="004246D9" w:rsidP="004246D9">
      <w:pPr>
        <w:pStyle w:val="SingleTxtG"/>
      </w:pPr>
      <w:r>
        <w:t>3.</w:t>
      </w:r>
      <w:r>
        <w:tab/>
        <w:t>The warning mark is used to inform that inside the cargo transport unit is an asphyxiate atmosphere, it does not matter if it for cooling, conditioning, or protection purposes! The resulting measures will be exactly the same in all these cases.</w:t>
      </w:r>
    </w:p>
    <w:p w14:paraId="0DFA83AD" w14:textId="77777777" w:rsidR="004246D9" w:rsidRDefault="004246D9" w:rsidP="004246D9">
      <w:pPr>
        <w:pStyle w:val="SingleTxtG"/>
        <w:rPr>
          <w:color w:val="000000"/>
          <w:lang w:val="en-CA"/>
        </w:rPr>
      </w:pPr>
      <w:r>
        <w:rPr>
          <w:color w:val="000000"/>
          <w:lang w:val="en-CA"/>
        </w:rPr>
        <w:t xml:space="preserve">4. </w:t>
      </w:r>
      <w:r>
        <w:rPr>
          <w:color w:val="000000"/>
          <w:lang w:val="en-CA"/>
        </w:rPr>
        <w:tab/>
        <w:t xml:space="preserve">Therefore we propose an even simpler solution as in document 21 for the footnote to figure 5.5.2 and that is to eliminate the </w:t>
      </w:r>
      <w:r w:rsidRPr="00E252D8">
        <w:rPr>
          <w:color w:val="000000"/>
          <w:lang w:val="en-CA"/>
        </w:rPr>
        <w:t>double asterix</w:t>
      </w:r>
      <w:r>
        <w:rPr>
          <w:color w:val="000000"/>
          <w:lang w:val="en-CA"/>
        </w:rPr>
        <w:t xml:space="preserve"> and the text for it under the figure.</w:t>
      </w:r>
    </w:p>
    <w:p w14:paraId="216F287F" w14:textId="3357417B" w:rsidR="004246D9" w:rsidRDefault="004246D9" w:rsidP="004246D9">
      <w:pPr>
        <w:pStyle w:val="SingleTxtG"/>
        <w:rPr>
          <w:lang w:val="en-US" w:eastAsia="fr-FR"/>
        </w:rPr>
      </w:pPr>
      <w:r>
        <w:rPr>
          <w:color w:val="000000"/>
          <w:lang w:val="en-CA"/>
        </w:rPr>
        <w:t>5.</w:t>
      </w:r>
      <w:r>
        <w:rPr>
          <w:color w:val="000000"/>
          <w:lang w:val="en-CA"/>
        </w:rPr>
        <w:tab/>
        <w:t xml:space="preserve">This will solve another problem </w:t>
      </w:r>
      <w:r w:rsidR="002B21E9">
        <w:rPr>
          <w:color w:val="000000"/>
          <w:lang w:val="en-CA"/>
        </w:rPr>
        <w:t>in ADR/RID/ADN</w:t>
      </w:r>
      <w:r w:rsidR="00B84261">
        <w:rPr>
          <w:color w:val="000000"/>
          <w:lang w:val="en-CA"/>
        </w:rPr>
        <w:t xml:space="preserve"> </w:t>
      </w:r>
      <w:r>
        <w:rPr>
          <w:color w:val="000000"/>
          <w:lang w:val="en-CA"/>
        </w:rPr>
        <w:t>as we</w:t>
      </w:r>
      <w:r w:rsidR="00B84261">
        <w:rPr>
          <w:color w:val="000000"/>
          <w:lang w:val="en-CA"/>
        </w:rPr>
        <w:t xml:space="preserve">ll, </w:t>
      </w:r>
      <w:r w:rsidR="00B84261" w:rsidRPr="004246D9">
        <w:rPr>
          <w:color w:val="000000"/>
          <w:lang w:val="en-CA"/>
        </w:rPr>
        <w:t xml:space="preserve">where the text “AS COOLANT” or “AS CONDITIONER” does not fit </w:t>
      </w:r>
      <w:r w:rsidR="00B84261">
        <w:rPr>
          <w:color w:val="000000"/>
          <w:lang w:val="en-CA"/>
        </w:rPr>
        <w:t xml:space="preserve">for </w:t>
      </w:r>
      <w:r w:rsidRPr="004246D9">
        <w:rPr>
          <w:color w:val="000000"/>
          <w:lang w:val="en-CA"/>
        </w:rPr>
        <w:t>th</w:t>
      </w:r>
      <w:r w:rsidR="00B84261">
        <w:rPr>
          <w:color w:val="000000"/>
          <w:lang w:val="en-CA"/>
        </w:rPr>
        <w:t>e transport of dry ice as load.</w:t>
      </w:r>
    </w:p>
    <w:p w14:paraId="55D4F224" w14:textId="77777777" w:rsidR="004246D9" w:rsidRDefault="004246D9" w:rsidP="004246D9">
      <w:pPr>
        <w:pStyle w:val="HChG"/>
      </w:pPr>
      <w:r>
        <w:tab/>
      </w:r>
      <w:r>
        <w:tab/>
        <w:t>Proposal</w:t>
      </w:r>
    </w:p>
    <w:p w14:paraId="655A23BF" w14:textId="19283197" w:rsidR="004246D9" w:rsidRPr="00D70457" w:rsidRDefault="004246D9" w:rsidP="004246D9">
      <w:pPr>
        <w:pStyle w:val="SingleTxtG"/>
        <w:rPr>
          <w:color w:val="000000"/>
          <w:lang w:val="en-CA"/>
        </w:rPr>
      </w:pPr>
      <w:r>
        <w:rPr>
          <w:color w:val="000000"/>
          <w:lang w:val="en-CA"/>
        </w:rPr>
        <w:t xml:space="preserve">Eliminate the </w:t>
      </w:r>
      <w:r w:rsidRPr="00E252D8">
        <w:rPr>
          <w:color w:val="000000"/>
          <w:lang w:val="en-CA"/>
        </w:rPr>
        <w:t>double asterix</w:t>
      </w:r>
      <w:r>
        <w:rPr>
          <w:color w:val="000000"/>
          <w:lang w:val="en-CA"/>
        </w:rPr>
        <w:t xml:space="preserve"> in the figure and the corresponding </w:t>
      </w:r>
      <w:r w:rsidR="00C40669">
        <w:rPr>
          <w:color w:val="000000"/>
          <w:lang w:val="en-CA"/>
        </w:rPr>
        <w:t>text for it under the figure</w:t>
      </w:r>
      <w:r w:rsidR="00A91E64">
        <w:rPr>
          <w:color w:val="000000"/>
          <w:lang w:val="en-CA"/>
        </w:rPr>
        <w:t xml:space="preserve"> </w:t>
      </w:r>
      <w:r w:rsidR="00C40669">
        <w:rPr>
          <w:color w:val="000000"/>
          <w:lang w:val="en-CA"/>
        </w:rPr>
        <w:t>t</w:t>
      </w:r>
      <w:r w:rsidR="00A91E64">
        <w:rPr>
          <w:color w:val="000000"/>
          <w:lang w:val="en-CA"/>
        </w:rPr>
        <w:t>o read 5.5.6.2 as follows.</w:t>
      </w:r>
    </w:p>
    <w:p w14:paraId="38C7613A" w14:textId="77777777" w:rsidR="00B84261" w:rsidRDefault="00B84261">
      <w:pPr>
        <w:suppressAutoHyphens w:val="0"/>
        <w:spacing w:line="240" w:lineRule="auto"/>
        <w:rPr>
          <w:b/>
        </w:rPr>
      </w:pPr>
      <w:r>
        <w:rPr>
          <w:b/>
        </w:rPr>
        <w:br w:type="page"/>
      </w:r>
    </w:p>
    <w:p w14:paraId="623D0602" w14:textId="77777777" w:rsidR="00F570D4" w:rsidRPr="007F7B33" w:rsidRDefault="00F570D4" w:rsidP="00F570D4">
      <w:pPr>
        <w:pStyle w:val="SingleTxtG"/>
        <w:ind w:firstLine="567"/>
        <w:rPr>
          <w:lang w:val="en-US"/>
        </w:rPr>
      </w:pPr>
      <w:r w:rsidRPr="001803EE">
        <w:lastRenderedPageBreak/>
        <w:t>5.5.3.6.2</w:t>
      </w:r>
      <w:r>
        <w:t xml:space="preserve"> </w:t>
      </w:r>
      <w:r w:rsidRPr="003B0064">
        <w:rPr>
          <w:lang w:val="en-US"/>
        </w:rPr>
        <w:tab/>
      </w:r>
      <w:r>
        <w:t>The warning mark shall be as shown in Figure 5.5.2</w:t>
      </w:r>
      <w:r w:rsidRPr="003B0064">
        <w:rPr>
          <w:lang w:val="en-US"/>
        </w:rPr>
        <w:t>.</w:t>
      </w:r>
    </w:p>
    <w:p w14:paraId="72F2EA50" w14:textId="1B12BC1D" w:rsidR="00053A7E" w:rsidRDefault="00053A7E" w:rsidP="00053A7E">
      <w:pPr>
        <w:spacing w:before="240"/>
        <w:ind w:left="1134" w:right="1134" w:hanging="1134"/>
        <w:jc w:val="center"/>
        <w:rPr>
          <w:b/>
          <w:lang w:val="ru-RU"/>
        </w:rPr>
      </w:pPr>
      <w:r>
        <w:rPr>
          <w:b/>
        </w:rPr>
        <w:t>Figure 5.5</w:t>
      </w:r>
      <w:r w:rsidRPr="003B0064">
        <w:rPr>
          <w:b/>
        </w:rPr>
        <w:t>.2</w:t>
      </w:r>
    </w:p>
    <w:p w14:paraId="1AABD248" w14:textId="53A53B9B" w:rsidR="00053A7E" w:rsidRPr="00FA5562" w:rsidRDefault="007A569D" w:rsidP="00053A7E">
      <w:pPr>
        <w:pStyle w:val="SingleTxtG"/>
        <w:jc w:val="center"/>
        <w:rPr>
          <w:lang w:val="ru-RU"/>
        </w:rPr>
      </w:pPr>
      <w:r>
        <w:rPr>
          <w:noProof/>
          <w:lang w:eastAsia="en-GB"/>
        </w:rPr>
        <w:drawing>
          <wp:inline distT="0" distB="0" distL="0" distR="0" wp14:anchorId="04EC8B05" wp14:editId="1858400D">
            <wp:extent cx="2287750" cy="301386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png"/>
                    <pic:cNvPicPr/>
                  </pic:nvPicPr>
                  <pic:blipFill>
                    <a:blip r:embed="rId9">
                      <a:extLst>
                        <a:ext uri="{28A0092B-C50C-407E-A947-70E740481C1C}">
                          <a14:useLocalDpi xmlns:a14="http://schemas.microsoft.com/office/drawing/2010/main" val="0"/>
                        </a:ext>
                      </a:extLst>
                    </a:blip>
                    <a:stretch>
                      <a:fillRect/>
                    </a:stretch>
                  </pic:blipFill>
                  <pic:spPr>
                    <a:xfrm>
                      <a:off x="0" y="0"/>
                      <a:ext cx="2288803" cy="3015249"/>
                    </a:xfrm>
                    <a:prstGeom prst="rect">
                      <a:avLst/>
                    </a:prstGeom>
                  </pic:spPr>
                </pic:pic>
              </a:graphicData>
            </a:graphic>
          </wp:inline>
        </w:drawing>
      </w:r>
    </w:p>
    <w:p w14:paraId="5D327351" w14:textId="77777777" w:rsidR="00053A7E" w:rsidRPr="007F7B33" w:rsidRDefault="00053A7E" w:rsidP="00053A7E">
      <w:pPr>
        <w:pStyle w:val="SingleTxtG"/>
        <w:rPr>
          <w:lang w:val="en-US"/>
        </w:rPr>
      </w:pPr>
      <w:r>
        <w:rPr>
          <w:lang w:val="ru-RU"/>
        </w:rPr>
        <w:tab/>
      </w:r>
      <w:r>
        <w:t>Coolant/conditioning/</w:t>
      </w:r>
      <w:r w:rsidRPr="00547D68">
        <w:rPr>
          <w:u w:val="single"/>
        </w:rPr>
        <w:t>protective a</w:t>
      </w:r>
      <w:r w:rsidRPr="007F7B33">
        <w:rPr>
          <w:u w:val="single"/>
        </w:rPr>
        <w:t>gent</w:t>
      </w:r>
      <w:r>
        <w:t xml:space="preserve"> warning mark for cargo</w:t>
      </w:r>
      <w:r w:rsidRPr="00C0399C">
        <w:t xml:space="preserve"> </w:t>
      </w:r>
      <w:r>
        <w:t>transport units</w:t>
      </w:r>
    </w:p>
    <w:p w14:paraId="737EE35B" w14:textId="72F7D499" w:rsidR="00053A7E" w:rsidRDefault="00053A7E" w:rsidP="00053A7E">
      <w:pPr>
        <w:pStyle w:val="SingleTxtG"/>
        <w:ind w:left="1701" w:hanging="567"/>
      </w:pPr>
      <w:r w:rsidRPr="007F7B33">
        <w:rPr>
          <w:lang w:val="en-US"/>
        </w:rPr>
        <w:tab/>
      </w:r>
      <w:r>
        <w:t>* Insert proper shipping name of the coolant/conditioner/</w:t>
      </w:r>
      <w:r w:rsidRPr="007F7B33">
        <w:rPr>
          <w:u w:val="single"/>
        </w:rPr>
        <w:t>protective agent</w:t>
      </w:r>
      <w:r>
        <w:t xml:space="preserve">. The lettering shall be in capitals, all be on one line and shall be at least 25 mm high. If the length of the proper shipping name is too long to fit in the space provided, the lettering may be reduced to the maximum size possible to fit. For </w:t>
      </w:r>
      <w:r w:rsidR="00B84261">
        <w:t>example: CARBON DIOXIDE, SOLID.</w:t>
      </w:r>
    </w:p>
    <w:p w14:paraId="0C9BB52D" w14:textId="77777777" w:rsidR="00F570D4" w:rsidRDefault="00F570D4" w:rsidP="00F570D4">
      <w:pPr>
        <w:pStyle w:val="SingleTxtG"/>
        <w:ind w:left="1701" w:hanging="567"/>
      </w:pPr>
      <w:r w:rsidRPr="00AB5BA1">
        <w:rPr>
          <w:lang w:val="en-US"/>
        </w:rPr>
        <w:tab/>
      </w:r>
      <w:r>
        <w:t xml:space="preserve">The mark shall be a rectangle. The minimum dimensions shall be 150 mm wide × 250 mm high. </w:t>
      </w:r>
      <w:r>
        <w:rPr>
          <w:lang w:val="en-US"/>
        </w:rPr>
        <w:t xml:space="preserve"> </w:t>
      </w:r>
      <w:r>
        <w:t xml:space="preserve">The word "WARNING" shall be in red or white and be at least 25 mm high. Where dimensions are not specified, all features shall be in approximate proportion to those shown. </w:t>
      </w:r>
    </w:p>
    <w:p w14:paraId="0F71677C" w14:textId="00AAAB53" w:rsidR="00F570D4" w:rsidRPr="00B318DA" w:rsidRDefault="00B318DA" w:rsidP="00B318DA">
      <w:pPr>
        <w:pStyle w:val="SingleTxtG"/>
        <w:spacing w:before="240" w:after="0"/>
        <w:jc w:val="center"/>
        <w:rPr>
          <w:u w:val="single"/>
        </w:rPr>
      </w:pPr>
      <w:r>
        <w:rPr>
          <w:u w:val="single"/>
        </w:rPr>
        <w:tab/>
      </w:r>
      <w:r>
        <w:rPr>
          <w:u w:val="single"/>
        </w:rPr>
        <w:tab/>
      </w:r>
      <w:r>
        <w:rPr>
          <w:u w:val="single"/>
        </w:rPr>
        <w:tab/>
      </w:r>
      <w:bookmarkStart w:id="0" w:name="_GoBack"/>
      <w:bookmarkEnd w:id="0"/>
    </w:p>
    <w:sectPr w:rsidR="00F570D4" w:rsidRPr="00B318DA" w:rsidSect="0099001C">
      <w:headerReference w:type="even" r:id="rId10"/>
      <w:headerReference w:type="default" r:id="rId11"/>
      <w:footerReference w:type="even" r:id="rId12"/>
      <w:footerReference w:type="default" r:id="rId13"/>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F2FBF" w14:textId="77777777" w:rsidR="00781597" w:rsidRDefault="00781597"/>
  </w:endnote>
  <w:endnote w:type="continuationSeparator" w:id="0">
    <w:p w14:paraId="14A76502" w14:textId="77777777" w:rsidR="00781597" w:rsidRDefault="00781597"/>
  </w:endnote>
  <w:endnote w:type="continuationNotice" w:id="1">
    <w:p w14:paraId="0850A116" w14:textId="77777777" w:rsidR="00781597" w:rsidRDefault="00781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23016" w14:textId="77777777" w:rsidR="00DE47FC" w:rsidRPr="0099001C" w:rsidRDefault="00DE47FC"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B318DA">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199A7" w14:textId="77777777" w:rsidR="00DE47FC" w:rsidRPr="0099001C" w:rsidRDefault="00DE47FC"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7A569D">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A5969" w14:textId="77777777" w:rsidR="00781597" w:rsidRPr="000B175B" w:rsidRDefault="00781597" w:rsidP="000B175B">
      <w:pPr>
        <w:tabs>
          <w:tab w:val="right" w:pos="2155"/>
        </w:tabs>
        <w:spacing w:after="80"/>
        <w:ind w:left="680"/>
        <w:rPr>
          <w:u w:val="single"/>
        </w:rPr>
      </w:pPr>
      <w:r>
        <w:rPr>
          <w:u w:val="single"/>
        </w:rPr>
        <w:tab/>
      </w:r>
    </w:p>
  </w:footnote>
  <w:footnote w:type="continuationSeparator" w:id="0">
    <w:p w14:paraId="0E105C31" w14:textId="77777777" w:rsidR="00781597" w:rsidRPr="00FC68B7" w:rsidRDefault="00781597" w:rsidP="00FC68B7">
      <w:pPr>
        <w:tabs>
          <w:tab w:val="left" w:pos="2155"/>
        </w:tabs>
        <w:spacing w:after="80"/>
        <w:ind w:left="680"/>
        <w:rPr>
          <w:u w:val="single"/>
        </w:rPr>
      </w:pPr>
      <w:r>
        <w:rPr>
          <w:u w:val="single"/>
        </w:rPr>
        <w:tab/>
      </w:r>
    </w:p>
  </w:footnote>
  <w:footnote w:type="continuationNotice" w:id="1">
    <w:p w14:paraId="30DC2CE7" w14:textId="77777777" w:rsidR="00781597" w:rsidRDefault="007815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4FF" w14:textId="468F4083" w:rsidR="00DE47FC" w:rsidRPr="0099001C" w:rsidRDefault="00B318DA" w:rsidP="00DE3A0C">
    <w:pPr>
      <w:pStyle w:val="Header"/>
    </w:pPr>
    <w:r>
      <w:t>UN/SCETDG/51/INF.29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0B807" w14:textId="77777777" w:rsidR="00DE47FC" w:rsidRPr="0099001C" w:rsidRDefault="00DE47FC" w:rsidP="00DE3A0C">
    <w:pPr>
      <w:pStyle w:val="Header"/>
      <w:jc w:val="right"/>
    </w:pPr>
    <w:r w:rsidRPr="007E344F">
      <w:t>UN/SCETDG/37/INF.</w:t>
    </w:r>
    <w:r>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333B0CC4"/>
    <w:multiLevelType w:val="hybridMultilevel"/>
    <w:tmpl w:val="F0546AB0"/>
    <w:lvl w:ilvl="0" w:tplc="A19A3C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4378"/>
    <w:rsid w:val="0003119F"/>
    <w:rsid w:val="00050F6B"/>
    <w:rsid w:val="00053A7E"/>
    <w:rsid w:val="00072C8C"/>
    <w:rsid w:val="0007395C"/>
    <w:rsid w:val="000931C0"/>
    <w:rsid w:val="0009555B"/>
    <w:rsid w:val="000A07EB"/>
    <w:rsid w:val="000B175B"/>
    <w:rsid w:val="000B3A0F"/>
    <w:rsid w:val="000C6041"/>
    <w:rsid w:val="000E0415"/>
    <w:rsid w:val="00100D07"/>
    <w:rsid w:val="00111DF0"/>
    <w:rsid w:val="001220B8"/>
    <w:rsid w:val="00150F95"/>
    <w:rsid w:val="00161D70"/>
    <w:rsid w:val="00180C41"/>
    <w:rsid w:val="00197785"/>
    <w:rsid w:val="001A0FC9"/>
    <w:rsid w:val="001B20FF"/>
    <w:rsid w:val="001B2357"/>
    <w:rsid w:val="001B4B04"/>
    <w:rsid w:val="001B5ACD"/>
    <w:rsid w:val="001C6663"/>
    <w:rsid w:val="001C7895"/>
    <w:rsid w:val="001D26DF"/>
    <w:rsid w:val="001D3183"/>
    <w:rsid w:val="001E0674"/>
    <w:rsid w:val="00201ADA"/>
    <w:rsid w:val="002101F1"/>
    <w:rsid w:val="00211E0B"/>
    <w:rsid w:val="0022014D"/>
    <w:rsid w:val="002405A7"/>
    <w:rsid w:val="00274D48"/>
    <w:rsid w:val="00284DC3"/>
    <w:rsid w:val="00285F28"/>
    <w:rsid w:val="002A78B1"/>
    <w:rsid w:val="002B21E9"/>
    <w:rsid w:val="002C5CF3"/>
    <w:rsid w:val="002E21F0"/>
    <w:rsid w:val="002E42C4"/>
    <w:rsid w:val="00307FFE"/>
    <w:rsid w:val="003107FA"/>
    <w:rsid w:val="00314A63"/>
    <w:rsid w:val="00317F1A"/>
    <w:rsid w:val="003229D8"/>
    <w:rsid w:val="00334311"/>
    <w:rsid w:val="0033745A"/>
    <w:rsid w:val="003452D6"/>
    <w:rsid w:val="003503B1"/>
    <w:rsid w:val="00354EB5"/>
    <w:rsid w:val="003660FF"/>
    <w:rsid w:val="00375AB6"/>
    <w:rsid w:val="00391D76"/>
    <w:rsid w:val="0039277A"/>
    <w:rsid w:val="003972E0"/>
    <w:rsid w:val="0039784F"/>
    <w:rsid w:val="003B0606"/>
    <w:rsid w:val="003B7450"/>
    <w:rsid w:val="003C2CC4"/>
    <w:rsid w:val="003C3936"/>
    <w:rsid w:val="003C6B13"/>
    <w:rsid w:val="003D3365"/>
    <w:rsid w:val="003D338E"/>
    <w:rsid w:val="003D4B23"/>
    <w:rsid w:val="003F1ED3"/>
    <w:rsid w:val="003F30D7"/>
    <w:rsid w:val="00403098"/>
    <w:rsid w:val="00404E53"/>
    <w:rsid w:val="00417B26"/>
    <w:rsid w:val="004246D9"/>
    <w:rsid w:val="004270F6"/>
    <w:rsid w:val="004325CB"/>
    <w:rsid w:val="00437DB4"/>
    <w:rsid w:val="00446DE4"/>
    <w:rsid w:val="0045190E"/>
    <w:rsid w:val="00451982"/>
    <w:rsid w:val="00453178"/>
    <w:rsid w:val="004A41CA"/>
    <w:rsid w:val="004E09AC"/>
    <w:rsid w:val="004E302A"/>
    <w:rsid w:val="004F15A6"/>
    <w:rsid w:val="004F537F"/>
    <w:rsid w:val="00503228"/>
    <w:rsid w:val="00504608"/>
    <w:rsid w:val="00505384"/>
    <w:rsid w:val="00510C3B"/>
    <w:rsid w:val="00535F9E"/>
    <w:rsid w:val="005420F2"/>
    <w:rsid w:val="0054603C"/>
    <w:rsid w:val="005627B5"/>
    <w:rsid w:val="00564203"/>
    <w:rsid w:val="00564A8C"/>
    <w:rsid w:val="005A3220"/>
    <w:rsid w:val="005B3DB3"/>
    <w:rsid w:val="005D1C32"/>
    <w:rsid w:val="005F0DD1"/>
    <w:rsid w:val="005F72E1"/>
    <w:rsid w:val="00600B19"/>
    <w:rsid w:val="00602B95"/>
    <w:rsid w:val="00611FC4"/>
    <w:rsid w:val="006176FB"/>
    <w:rsid w:val="00627ED0"/>
    <w:rsid w:val="0063050A"/>
    <w:rsid w:val="00640B26"/>
    <w:rsid w:val="0066387E"/>
    <w:rsid w:val="00665595"/>
    <w:rsid w:val="00685B23"/>
    <w:rsid w:val="006A7392"/>
    <w:rsid w:val="006B7086"/>
    <w:rsid w:val="006E32FA"/>
    <w:rsid w:val="006E3B52"/>
    <w:rsid w:val="006E535C"/>
    <w:rsid w:val="006E564B"/>
    <w:rsid w:val="006F73EE"/>
    <w:rsid w:val="00701292"/>
    <w:rsid w:val="007017DA"/>
    <w:rsid w:val="00724962"/>
    <w:rsid w:val="0072632A"/>
    <w:rsid w:val="007303B2"/>
    <w:rsid w:val="00730810"/>
    <w:rsid w:val="00732639"/>
    <w:rsid w:val="00733AAE"/>
    <w:rsid w:val="00781597"/>
    <w:rsid w:val="0079511F"/>
    <w:rsid w:val="00797762"/>
    <w:rsid w:val="007A569D"/>
    <w:rsid w:val="007B4BEC"/>
    <w:rsid w:val="007B6BA5"/>
    <w:rsid w:val="007B7918"/>
    <w:rsid w:val="007C3390"/>
    <w:rsid w:val="007C4F4B"/>
    <w:rsid w:val="007D22FD"/>
    <w:rsid w:val="007E344F"/>
    <w:rsid w:val="007F0B83"/>
    <w:rsid w:val="007F4FCD"/>
    <w:rsid w:val="007F6611"/>
    <w:rsid w:val="008010DD"/>
    <w:rsid w:val="00801A24"/>
    <w:rsid w:val="00802579"/>
    <w:rsid w:val="008056BE"/>
    <w:rsid w:val="00813B27"/>
    <w:rsid w:val="008175E9"/>
    <w:rsid w:val="00817F27"/>
    <w:rsid w:val="00822414"/>
    <w:rsid w:val="008242D7"/>
    <w:rsid w:val="00827E05"/>
    <w:rsid w:val="008311A3"/>
    <w:rsid w:val="00835EB6"/>
    <w:rsid w:val="00871FD5"/>
    <w:rsid w:val="0088041B"/>
    <w:rsid w:val="00886119"/>
    <w:rsid w:val="00895C06"/>
    <w:rsid w:val="008979B1"/>
    <w:rsid w:val="008A6B25"/>
    <w:rsid w:val="008A6C4F"/>
    <w:rsid w:val="008D0F3F"/>
    <w:rsid w:val="008E0675"/>
    <w:rsid w:val="008E0E46"/>
    <w:rsid w:val="008E35B1"/>
    <w:rsid w:val="008E3A43"/>
    <w:rsid w:val="008F02A0"/>
    <w:rsid w:val="008F321A"/>
    <w:rsid w:val="00906526"/>
    <w:rsid w:val="00907AD2"/>
    <w:rsid w:val="009111C7"/>
    <w:rsid w:val="00915D65"/>
    <w:rsid w:val="0092654D"/>
    <w:rsid w:val="009334FE"/>
    <w:rsid w:val="00963CBA"/>
    <w:rsid w:val="00974A8D"/>
    <w:rsid w:val="0099001C"/>
    <w:rsid w:val="00991261"/>
    <w:rsid w:val="009A00F2"/>
    <w:rsid w:val="009A1A51"/>
    <w:rsid w:val="009C57E5"/>
    <w:rsid w:val="009D04D9"/>
    <w:rsid w:val="009D2BF9"/>
    <w:rsid w:val="009F277A"/>
    <w:rsid w:val="009F3A17"/>
    <w:rsid w:val="009F3AEC"/>
    <w:rsid w:val="00A11117"/>
    <w:rsid w:val="00A1427D"/>
    <w:rsid w:val="00A178D3"/>
    <w:rsid w:val="00A36006"/>
    <w:rsid w:val="00A50936"/>
    <w:rsid w:val="00A72F22"/>
    <w:rsid w:val="00A748A6"/>
    <w:rsid w:val="00A74999"/>
    <w:rsid w:val="00A752FB"/>
    <w:rsid w:val="00A805EB"/>
    <w:rsid w:val="00A80961"/>
    <w:rsid w:val="00A879A4"/>
    <w:rsid w:val="00A90573"/>
    <w:rsid w:val="00A91E64"/>
    <w:rsid w:val="00AA426C"/>
    <w:rsid w:val="00AA617C"/>
    <w:rsid w:val="00AD741B"/>
    <w:rsid w:val="00AE1A34"/>
    <w:rsid w:val="00AF0B2D"/>
    <w:rsid w:val="00B16223"/>
    <w:rsid w:val="00B30179"/>
    <w:rsid w:val="00B318DA"/>
    <w:rsid w:val="00B33EC0"/>
    <w:rsid w:val="00B81E12"/>
    <w:rsid w:val="00B82575"/>
    <w:rsid w:val="00B84261"/>
    <w:rsid w:val="00B84573"/>
    <w:rsid w:val="00B902A6"/>
    <w:rsid w:val="00BA02A0"/>
    <w:rsid w:val="00BA177E"/>
    <w:rsid w:val="00BA1781"/>
    <w:rsid w:val="00BB2C95"/>
    <w:rsid w:val="00BC413E"/>
    <w:rsid w:val="00BC74E9"/>
    <w:rsid w:val="00BD2146"/>
    <w:rsid w:val="00BE4F74"/>
    <w:rsid w:val="00BE52DC"/>
    <w:rsid w:val="00BE618E"/>
    <w:rsid w:val="00BF4485"/>
    <w:rsid w:val="00BF4F5D"/>
    <w:rsid w:val="00C00341"/>
    <w:rsid w:val="00C14072"/>
    <w:rsid w:val="00C17699"/>
    <w:rsid w:val="00C34E78"/>
    <w:rsid w:val="00C36701"/>
    <w:rsid w:val="00C3731C"/>
    <w:rsid w:val="00C40669"/>
    <w:rsid w:val="00C41A28"/>
    <w:rsid w:val="00C463DD"/>
    <w:rsid w:val="00C745C3"/>
    <w:rsid w:val="00CE4A8F"/>
    <w:rsid w:val="00D2031B"/>
    <w:rsid w:val="00D25FE2"/>
    <w:rsid w:val="00D317BB"/>
    <w:rsid w:val="00D33331"/>
    <w:rsid w:val="00D36BEB"/>
    <w:rsid w:val="00D43252"/>
    <w:rsid w:val="00D56172"/>
    <w:rsid w:val="00D63626"/>
    <w:rsid w:val="00D70457"/>
    <w:rsid w:val="00D7433B"/>
    <w:rsid w:val="00D80E31"/>
    <w:rsid w:val="00D81BB9"/>
    <w:rsid w:val="00D83CD1"/>
    <w:rsid w:val="00D87B56"/>
    <w:rsid w:val="00D978C6"/>
    <w:rsid w:val="00DA67AD"/>
    <w:rsid w:val="00DB5D0F"/>
    <w:rsid w:val="00DB5E48"/>
    <w:rsid w:val="00DC3242"/>
    <w:rsid w:val="00DD3A3B"/>
    <w:rsid w:val="00DD6A25"/>
    <w:rsid w:val="00DE3A0C"/>
    <w:rsid w:val="00DE47FC"/>
    <w:rsid w:val="00DF12F7"/>
    <w:rsid w:val="00E018CE"/>
    <w:rsid w:val="00E02C81"/>
    <w:rsid w:val="00E12839"/>
    <w:rsid w:val="00E130AB"/>
    <w:rsid w:val="00E252D8"/>
    <w:rsid w:val="00E31970"/>
    <w:rsid w:val="00E34BA6"/>
    <w:rsid w:val="00E56114"/>
    <w:rsid w:val="00E61967"/>
    <w:rsid w:val="00E6204C"/>
    <w:rsid w:val="00E66A1A"/>
    <w:rsid w:val="00E7260F"/>
    <w:rsid w:val="00E76E07"/>
    <w:rsid w:val="00E87921"/>
    <w:rsid w:val="00E903CF"/>
    <w:rsid w:val="00E96630"/>
    <w:rsid w:val="00EA264E"/>
    <w:rsid w:val="00ED7A2A"/>
    <w:rsid w:val="00EE20B2"/>
    <w:rsid w:val="00EF1D7F"/>
    <w:rsid w:val="00F033C8"/>
    <w:rsid w:val="00F10CCD"/>
    <w:rsid w:val="00F16F22"/>
    <w:rsid w:val="00F4068E"/>
    <w:rsid w:val="00F43682"/>
    <w:rsid w:val="00F53544"/>
    <w:rsid w:val="00F53EDA"/>
    <w:rsid w:val="00F570D4"/>
    <w:rsid w:val="00F7753D"/>
    <w:rsid w:val="00F830AD"/>
    <w:rsid w:val="00F842C1"/>
    <w:rsid w:val="00F85F34"/>
    <w:rsid w:val="00F938F6"/>
    <w:rsid w:val="00FA06F7"/>
    <w:rsid w:val="00FA5562"/>
    <w:rsid w:val="00FA6BA2"/>
    <w:rsid w:val="00FB0AC7"/>
    <w:rsid w:val="00FB171A"/>
    <w:rsid w:val="00FC68B7"/>
    <w:rsid w:val="00FC715F"/>
    <w:rsid w:val="00FD7BF6"/>
    <w:rsid w:val="00FF2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5C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0A07EB"/>
    <w:rPr>
      <w:b/>
      <w:sz w:val="24"/>
      <w:lang w:eastAsia="en-US"/>
    </w:rPr>
  </w:style>
  <w:style w:type="paragraph" w:styleId="ListParagraph">
    <w:name w:val="List Paragraph"/>
    <w:basedOn w:val="Normal"/>
    <w:uiPriority w:val="34"/>
    <w:qFormat/>
    <w:rsid w:val="00100D07"/>
    <w:pPr>
      <w:ind w:left="720"/>
      <w:contextualSpacing/>
    </w:pPr>
  </w:style>
  <w:style w:type="character" w:customStyle="1" w:styleId="SingleTxtGChar">
    <w:name w:val="_ Single Txt_G Char"/>
    <w:link w:val="SingleTxtG"/>
    <w:rsid w:val="001B20FF"/>
    <w:rPr>
      <w:lang w:eastAsia="en-US"/>
    </w:rPr>
  </w:style>
  <w:style w:type="paragraph" w:styleId="BalloonText">
    <w:name w:val="Balloon Text"/>
    <w:basedOn w:val="Normal"/>
    <w:link w:val="BalloonTextChar"/>
    <w:semiHidden/>
    <w:unhideWhenUsed/>
    <w:rsid w:val="00801A2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01A2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0A07EB"/>
    <w:rPr>
      <w:b/>
      <w:sz w:val="24"/>
      <w:lang w:eastAsia="en-US"/>
    </w:rPr>
  </w:style>
  <w:style w:type="paragraph" w:styleId="ListParagraph">
    <w:name w:val="List Paragraph"/>
    <w:basedOn w:val="Normal"/>
    <w:uiPriority w:val="34"/>
    <w:qFormat/>
    <w:rsid w:val="00100D07"/>
    <w:pPr>
      <w:ind w:left="720"/>
      <w:contextualSpacing/>
    </w:pPr>
  </w:style>
  <w:style w:type="character" w:customStyle="1" w:styleId="SingleTxtGChar">
    <w:name w:val="_ Single Txt_G Char"/>
    <w:link w:val="SingleTxtG"/>
    <w:rsid w:val="001B20FF"/>
    <w:rPr>
      <w:lang w:eastAsia="en-US"/>
    </w:rPr>
  </w:style>
  <w:style w:type="paragraph" w:styleId="BalloonText">
    <w:name w:val="Balloon Text"/>
    <w:basedOn w:val="Normal"/>
    <w:link w:val="BalloonTextChar"/>
    <w:semiHidden/>
    <w:unhideWhenUsed/>
    <w:rsid w:val="00801A2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01A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3648">
      <w:bodyDiv w:val="1"/>
      <w:marLeft w:val="0"/>
      <w:marRight w:val="0"/>
      <w:marTop w:val="0"/>
      <w:marBottom w:val="0"/>
      <w:divBdr>
        <w:top w:val="none" w:sz="0" w:space="0" w:color="auto"/>
        <w:left w:val="none" w:sz="0" w:space="0" w:color="auto"/>
        <w:bottom w:val="none" w:sz="0" w:space="0" w:color="auto"/>
        <w:right w:val="none" w:sz="0" w:space="0" w:color="auto"/>
      </w:divBdr>
    </w:div>
    <w:div w:id="221141905">
      <w:bodyDiv w:val="1"/>
      <w:marLeft w:val="0"/>
      <w:marRight w:val="0"/>
      <w:marTop w:val="0"/>
      <w:marBottom w:val="0"/>
      <w:divBdr>
        <w:top w:val="none" w:sz="0" w:space="0" w:color="auto"/>
        <w:left w:val="none" w:sz="0" w:space="0" w:color="auto"/>
        <w:bottom w:val="none" w:sz="0" w:space="0" w:color="auto"/>
        <w:right w:val="none" w:sz="0" w:space="0" w:color="auto"/>
      </w:divBdr>
    </w:div>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378552972">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 w:id="13309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5990A-99D4-4990-8D7F-F793F5E7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4</TotalTime>
  <Pages>2</Pages>
  <Words>409</Words>
  <Characters>2335</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2017-06-27T12:09:00Z</cp:lastPrinted>
  <dcterms:created xsi:type="dcterms:W3CDTF">2017-06-27T12:06:00Z</dcterms:created>
  <dcterms:modified xsi:type="dcterms:W3CDTF">2017-06-27T12:09:00Z</dcterms:modified>
</cp:coreProperties>
</file>