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rsidTr="00404FD4">
        <w:trPr>
          <w:cantSplit/>
          <w:trHeight w:hRule="exact" w:val="851"/>
        </w:trPr>
        <w:tc>
          <w:tcPr>
            <w:tcW w:w="9639" w:type="dxa"/>
            <w:tcBorders>
              <w:bottom w:val="single" w:sz="4" w:space="0" w:color="auto"/>
            </w:tcBorders>
            <w:shd w:val="clear" w:color="auto" w:fill="FFFFFF"/>
            <w:vAlign w:val="bottom"/>
          </w:tcPr>
          <w:p w:rsidR="00280D2B" w:rsidRPr="005A1F2E" w:rsidRDefault="00280D2B" w:rsidP="001E3363">
            <w:pPr>
              <w:spacing w:after="240"/>
              <w:jc w:val="right"/>
              <w:rPr>
                <w:b/>
                <w:sz w:val="40"/>
                <w:szCs w:val="40"/>
              </w:rPr>
            </w:pPr>
            <w:r>
              <w:rPr>
                <w:b/>
                <w:sz w:val="40"/>
                <w:szCs w:val="40"/>
              </w:rPr>
              <w:t>UN/SCETDG/</w:t>
            </w:r>
            <w:r w:rsidR="004B4BF9">
              <w:rPr>
                <w:b/>
                <w:sz w:val="40"/>
                <w:szCs w:val="40"/>
              </w:rPr>
              <w:t>51</w:t>
            </w:r>
            <w:r w:rsidRPr="005A1F2E">
              <w:rPr>
                <w:b/>
                <w:sz w:val="40"/>
                <w:szCs w:val="40"/>
              </w:rPr>
              <w:t>/INF.</w:t>
            </w:r>
            <w:r w:rsidR="00387EA9">
              <w:rPr>
                <w:b/>
                <w:sz w:val="40"/>
                <w:szCs w:val="40"/>
              </w:rPr>
              <w:t>2</w:t>
            </w:r>
            <w:r w:rsidR="001E3363">
              <w:rPr>
                <w:b/>
                <w:sz w:val="40"/>
                <w:szCs w:val="40"/>
              </w:rPr>
              <w:t>6</w:t>
            </w:r>
          </w:p>
        </w:tc>
      </w:tr>
      <w:tr w:rsidR="00280D2B" w:rsidRPr="005A1F2E" w:rsidTr="005149A9">
        <w:trPr>
          <w:cantSplit/>
          <w:trHeight w:val="126"/>
        </w:trPr>
        <w:tc>
          <w:tcPr>
            <w:tcW w:w="9639" w:type="dxa"/>
            <w:tcBorders>
              <w:top w:val="single" w:sz="4" w:space="0" w:color="auto"/>
            </w:tcBorders>
          </w:tcPr>
          <w:p w:rsidR="00280D2B" w:rsidRPr="002A294A" w:rsidRDefault="00280D2B" w:rsidP="00280D2B">
            <w:pPr>
              <w:spacing w:after="240"/>
              <w:rPr>
                <w:b/>
              </w:rPr>
            </w:pPr>
          </w:p>
        </w:tc>
      </w:tr>
    </w:tbl>
    <w:tbl>
      <w:tblPr>
        <w:tblW w:w="9645" w:type="dxa"/>
        <w:tblInd w:w="108" w:type="dxa"/>
        <w:tblLayout w:type="fixed"/>
        <w:tblLook w:val="04A0" w:firstRow="1" w:lastRow="0" w:firstColumn="1" w:lastColumn="0" w:noHBand="0" w:noVBand="1"/>
      </w:tblPr>
      <w:tblGrid>
        <w:gridCol w:w="9072"/>
        <w:gridCol w:w="573"/>
      </w:tblGrid>
      <w:tr w:rsidR="00280D2B" w:rsidRPr="0045083B" w:rsidTr="00211CD6">
        <w:tc>
          <w:tcPr>
            <w:tcW w:w="9645" w:type="dxa"/>
            <w:gridSpan w:val="2"/>
            <w:tcMar>
              <w:top w:w="142" w:type="dxa"/>
              <w:left w:w="108" w:type="dxa"/>
              <w:bottom w:w="142" w:type="dxa"/>
              <w:right w:w="108" w:type="dxa"/>
            </w:tcMar>
          </w:tcPr>
          <w:p w:rsidR="00280D2B" w:rsidRPr="0045083B" w:rsidRDefault="00280D2B" w:rsidP="00A713CF">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A713CF">
              <w:rPr>
                <w:b/>
              </w:rPr>
              <w:t>27</w:t>
            </w:r>
            <w:r w:rsidR="00C75A3A">
              <w:rPr>
                <w:b/>
              </w:rPr>
              <w:t xml:space="preserve"> June</w:t>
            </w:r>
            <w:r w:rsidR="004B4BF9">
              <w:rPr>
                <w:b/>
                <w:sz w:val="18"/>
                <w:szCs w:val="24"/>
              </w:rPr>
              <w:t xml:space="preserve"> 2017</w:t>
            </w: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5083B" w:rsidRDefault="00280D2B" w:rsidP="00280D2B">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45083B" w:rsidRDefault="004B4BF9" w:rsidP="008A6CAE">
            <w:pPr>
              <w:spacing w:before="120"/>
              <w:ind w:left="34" w:hanging="34"/>
              <w:rPr>
                <w:b/>
              </w:rPr>
            </w:pPr>
            <w:r>
              <w:rPr>
                <w:b/>
              </w:rPr>
              <w:t>Fifty-first</w:t>
            </w:r>
            <w:r w:rsidRPr="007B2B1F">
              <w:rPr>
                <w:b/>
              </w:rPr>
              <w:t xml:space="preserve"> session</w:t>
            </w:r>
          </w:p>
        </w:tc>
        <w:tc>
          <w:tcPr>
            <w:tcW w:w="573" w:type="dxa"/>
            <w:tcMar>
              <w:top w:w="57" w:type="dxa"/>
              <w:left w:w="108" w:type="dxa"/>
              <w:bottom w:w="0" w:type="dxa"/>
              <w:right w:w="108" w:type="dxa"/>
            </w:tcMar>
            <w:vAlign w:val="center"/>
          </w:tcPr>
          <w:p w:rsidR="00280D2B" w:rsidRPr="0045083B" w:rsidRDefault="00280D2B" w:rsidP="00211CD6">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F54DDA" w:rsidRDefault="00280D2B" w:rsidP="00F54DDA">
            <w:pPr>
              <w:spacing w:before="120"/>
              <w:ind w:left="34" w:hanging="34"/>
            </w:pPr>
            <w:r w:rsidRPr="00F54DDA">
              <w:t xml:space="preserve">Geneva, </w:t>
            </w:r>
            <w:r w:rsidR="004B4BF9">
              <w:t>3-7</w:t>
            </w:r>
            <w:r w:rsidR="004B4BF9" w:rsidRPr="007B2B1F">
              <w:t xml:space="preserve"> July</w:t>
            </w:r>
            <w:r w:rsidR="004B4BF9">
              <w:t xml:space="preserve"> 2017</w:t>
            </w:r>
          </w:p>
          <w:p w:rsidR="00B65DF4" w:rsidRPr="00700147" w:rsidRDefault="00B65DF4" w:rsidP="00B65DF4">
            <w:pPr>
              <w:rPr>
                <w:lang w:val="en-CA"/>
              </w:rPr>
            </w:pPr>
            <w:r w:rsidRPr="00700147">
              <w:rPr>
                <w:lang w:val="en-CA"/>
              </w:rPr>
              <w:t>Item </w:t>
            </w:r>
            <w:r w:rsidR="00F95CCF">
              <w:rPr>
                <w:lang w:val="en-CA"/>
              </w:rPr>
              <w:t>4</w:t>
            </w:r>
            <w:r w:rsidRPr="00700147">
              <w:rPr>
                <w:lang w:val="en-CA"/>
              </w:rPr>
              <w:t xml:space="preserve"> </w:t>
            </w:r>
            <w:r w:rsidR="00F52B10">
              <w:rPr>
                <w:lang w:val="en-CA"/>
              </w:rPr>
              <w:t>(</w:t>
            </w:r>
            <w:r w:rsidR="001E3363">
              <w:rPr>
                <w:lang w:val="en-CA"/>
              </w:rPr>
              <w:t>b</w:t>
            </w:r>
            <w:r w:rsidR="00F52B10">
              <w:rPr>
                <w:lang w:val="en-CA"/>
              </w:rPr>
              <w:t xml:space="preserve">) </w:t>
            </w:r>
            <w:r w:rsidRPr="00700147">
              <w:rPr>
                <w:lang w:val="en-CA"/>
              </w:rPr>
              <w:t>of the provisional agenda</w:t>
            </w:r>
          </w:p>
          <w:p w:rsidR="005149A9" w:rsidRPr="00F95CCF" w:rsidRDefault="00F95CCF" w:rsidP="004B4BF9">
            <w:pPr>
              <w:spacing w:after="120"/>
              <w:ind w:left="4" w:hanging="4"/>
              <w:rPr>
                <w:b/>
              </w:rPr>
            </w:pPr>
            <w:r w:rsidRPr="00F95CCF">
              <w:rPr>
                <w:b/>
              </w:rPr>
              <w:t xml:space="preserve">Electric storage systems: </w:t>
            </w:r>
            <w:r w:rsidR="001E3363">
              <w:rPr>
                <w:b/>
              </w:rPr>
              <w:br/>
            </w:r>
            <w:r w:rsidR="001E3363" w:rsidRPr="001E3363">
              <w:rPr>
                <w:b/>
              </w:rPr>
              <w:t>Hazard-based system for classification of lithium batteries</w:t>
            </w:r>
          </w:p>
        </w:tc>
        <w:tc>
          <w:tcPr>
            <w:tcW w:w="573" w:type="dxa"/>
            <w:tcMar>
              <w:top w:w="57" w:type="dxa"/>
              <w:left w:w="108" w:type="dxa"/>
              <w:bottom w:w="0" w:type="dxa"/>
              <w:right w:w="108" w:type="dxa"/>
            </w:tcMar>
            <w:vAlign w:val="center"/>
          </w:tcPr>
          <w:p w:rsidR="00280D2B" w:rsidRPr="00280D2B" w:rsidRDefault="00280D2B" w:rsidP="00280D2B">
            <w:pPr>
              <w:spacing w:before="120"/>
              <w:rPr>
                <w:b/>
              </w:rPr>
            </w:pPr>
          </w:p>
        </w:tc>
      </w:tr>
    </w:tbl>
    <w:p w:rsidR="001E3363" w:rsidRDefault="001E3363" w:rsidP="001E3363">
      <w:pPr>
        <w:pStyle w:val="HChG"/>
        <w:spacing w:before="240" w:after="120"/>
      </w:pPr>
      <w:r>
        <w:tab/>
      </w:r>
      <w:r>
        <w:tab/>
        <w:t xml:space="preserve">Hazard based classification of lithium batteries - Investigative testing to assess their reactivity </w:t>
      </w:r>
    </w:p>
    <w:p w:rsidR="001E3363" w:rsidRDefault="001E3363" w:rsidP="001E3363">
      <w:pPr>
        <w:pStyle w:val="H1G"/>
        <w:keepLines w:val="0"/>
        <w:spacing w:before="240" w:after="120"/>
        <w:jc w:val="both"/>
      </w:pPr>
      <w:r>
        <w:tab/>
      </w:r>
      <w:r>
        <w:tab/>
        <w:t>Transmitted by the expert from France</w:t>
      </w:r>
    </w:p>
    <w:p w:rsidR="001E3363" w:rsidRDefault="001E3363" w:rsidP="001E3363">
      <w:pPr>
        <w:pStyle w:val="HChG"/>
        <w:keepLines w:val="0"/>
      </w:pPr>
      <w:r>
        <w:tab/>
      </w:r>
      <w:r>
        <w:tab/>
        <w:t>Introduction</w:t>
      </w:r>
    </w:p>
    <w:p w:rsidR="001E3363" w:rsidRPr="001E3363" w:rsidRDefault="001E3363" w:rsidP="001E3363">
      <w:pPr>
        <w:pStyle w:val="SingleTxtG"/>
      </w:pPr>
      <w:r>
        <w:t>1.</w:t>
      </w:r>
      <w:r>
        <w:tab/>
      </w:r>
      <w:r w:rsidRPr="001E3363">
        <w:t xml:space="preserve">The informal working group on lithium batteries met in Montreal in March 2017 and discussed about the inherent hazards associated to lithium batteries (see </w:t>
      </w:r>
      <w:bookmarkStart w:id="0" w:name="__DdeLink__171_665482746"/>
      <w:r w:rsidRPr="001E3363">
        <w:t>ST/SG/AC.10/C.3/2017/16</w:t>
      </w:r>
      <w:bookmarkEnd w:id="0"/>
      <w:r w:rsidRPr="001E3363">
        <w:t>) with the goal of reaching a hazard-based system to classify lithium batteries and cells for transport.</w:t>
      </w:r>
    </w:p>
    <w:p w:rsidR="001E3363" w:rsidRPr="001E3363" w:rsidRDefault="001E3363" w:rsidP="001E3363">
      <w:pPr>
        <w:pStyle w:val="SingleTxtG"/>
      </w:pPr>
      <w:r>
        <w:t>2.</w:t>
      </w:r>
      <w:r>
        <w:tab/>
      </w:r>
      <w:r w:rsidRPr="001E3363">
        <w:t>Following this meeting, it was agreed that, to compare these hazards caused by lithium cells and batteries, destructive testing should be considered to assess their hazardous effects within accident scenarios. It was also agreed that, to achieve this goal, these tests should ensure that a thermal runaway occurs on the tested samples.</w:t>
      </w:r>
    </w:p>
    <w:p w:rsidR="001E3363" w:rsidRPr="001E3363" w:rsidRDefault="001E3363" w:rsidP="001E3363">
      <w:pPr>
        <w:pStyle w:val="SingleTxtG"/>
      </w:pPr>
      <w:r>
        <w:t>3.</w:t>
      </w:r>
      <w:r>
        <w:tab/>
      </w:r>
      <w:r w:rsidRPr="001E3363">
        <w:t>The hazardous effects to be considered within the classification process were discussed during the session and the tests should permit to measure the different parameters which are necessary to assess these hazards. Expected hazardous effects were classified in five categories: Thermal effects, Smoke/Vapor, Mechanical, Chemical and Electrical effects.</w:t>
      </w:r>
    </w:p>
    <w:p w:rsidR="001E3363" w:rsidRPr="001E3363" w:rsidRDefault="001E3363" w:rsidP="001E3363">
      <w:pPr>
        <w:pStyle w:val="SingleTxtG"/>
      </w:pPr>
      <w:r>
        <w:t>4.</w:t>
      </w:r>
      <w:r>
        <w:tab/>
      </w:r>
      <w:r w:rsidRPr="001E3363">
        <w:t>The expert from France was invited to present a document recommending an investigative testing plan to answer these questions. (see paragraph 41 to 44 of ST/SG/AC.10/C3/2017/16)</w:t>
      </w:r>
    </w:p>
    <w:p w:rsidR="001E3363" w:rsidRPr="001E3363" w:rsidRDefault="001E3363" w:rsidP="001E3363">
      <w:pPr>
        <w:pStyle w:val="SingleTxtG"/>
      </w:pPr>
      <w:r>
        <w:t>5.</w:t>
      </w:r>
      <w:r>
        <w:tab/>
      </w:r>
      <w:r w:rsidRPr="001E3363">
        <w:t>This document proposes some concepts to help developing such investigative plan. Several general principles for the testing plan that might be performed to determine the relevant parameters and the threshold values to be used to classify the lithium cells and batteries according to their hazards and effects when reacting are listed.</w:t>
      </w:r>
    </w:p>
    <w:p w:rsidR="001E3363" w:rsidRPr="001E3363" w:rsidRDefault="001E3363" w:rsidP="001E3363">
      <w:pPr>
        <w:pStyle w:val="SingleTxtG"/>
      </w:pPr>
      <w:r>
        <w:t>6.</w:t>
      </w:r>
      <w:r>
        <w:tab/>
      </w:r>
      <w:r w:rsidRPr="001E3363">
        <w:t>This document is produced as a thought starter. The subcommittee is invited to consider the different options and check how such plan may be implemented. A lunch</w:t>
      </w:r>
      <w:bookmarkStart w:id="1" w:name="_GoBack"/>
      <w:bookmarkEnd w:id="1"/>
      <w:r w:rsidRPr="001E3363">
        <w:t>time  working group might be held to discuss technical issues as proposed in document  ST/SG/AC.10/C.3/2017/16.</w:t>
      </w:r>
    </w:p>
    <w:p w:rsidR="001E3363" w:rsidRDefault="001E3363" w:rsidP="001E3363">
      <w:pPr>
        <w:pStyle w:val="HChG"/>
      </w:pPr>
      <w:r>
        <w:lastRenderedPageBreak/>
        <w:tab/>
      </w:r>
      <w:r>
        <w:tab/>
      </w:r>
      <w:r w:rsidRPr="001E3363">
        <w:t>Background</w:t>
      </w:r>
    </w:p>
    <w:p w:rsidR="001E3363" w:rsidRDefault="001E3363" w:rsidP="001E3363">
      <w:pPr>
        <w:pStyle w:val="SingleTxtG"/>
      </w:pPr>
      <w:r>
        <w:t>7.</w:t>
      </w:r>
      <w:r>
        <w:tab/>
      </w:r>
      <w:r>
        <w:t xml:space="preserve">To </w:t>
      </w:r>
      <w:r w:rsidRPr="001E3363">
        <w:t>achieve</w:t>
      </w:r>
      <w:r>
        <w:t xml:space="preserve"> the goal of comprehensively cover reaction hazards of lithium batteries the performed investigative testing should cover different influence parameters listed below: </w:t>
      </w:r>
    </w:p>
    <w:p w:rsidR="001E3363" w:rsidRDefault="001E3363" w:rsidP="001E3363">
      <w:pPr>
        <w:pStyle w:val="Bullet1G"/>
      </w:pPr>
      <w:r>
        <w:t>choice of a relevant initiation method to ignite the thermal runaway,</w:t>
      </w:r>
    </w:p>
    <w:p w:rsidR="001E3363" w:rsidRDefault="001E3363" w:rsidP="001E3363">
      <w:pPr>
        <w:pStyle w:val="Bullet1G"/>
      </w:pPr>
      <w:r>
        <w:t>Definition of a relevant state of charge of the sample,</w:t>
      </w:r>
    </w:p>
    <w:p w:rsidR="001E3363" w:rsidRDefault="001E3363" w:rsidP="001E3363">
      <w:pPr>
        <w:pStyle w:val="Bullet1G"/>
      </w:pPr>
      <w:r>
        <w:t>Investigation of a relevant sampling of the devices on the market,</w:t>
      </w:r>
    </w:p>
    <w:p w:rsidR="001E3363" w:rsidRDefault="001E3363" w:rsidP="001E3363">
      <w:pPr>
        <w:pStyle w:val="Bullet1G"/>
      </w:pPr>
      <w:r>
        <w:t>Definition of the nature of the device to be tested, (cells/batteries/modules).</w:t>
      </w:r>
    </w:p>
    <w:p w:rsidR="001E3363" w:rsidRDefault="001E3363" w:rsidP="001E3363">
      <w:pPr>
        <w:pStyle w:val="SingleTxtG"/>
      </w:pPr>
      <w:r>
        <w:rPr>
          <w:lang w:val="en-US"/>
        </w:rPr>
        <w:t>8.</w:t>
      </w:r>
      <w:r>
        <w:rPr>
          <w:lang w:val="en-US"/>
        </w:rPr>
        <w:tab/>
      </w:r>
      <w:r>
        <w:t>Trying to achieve an exhaustive testing campaign, covering the entire lithium cells and batteries market (maybe 100 to 200 types) and several initiation methods (4 to 6), at several states of charges (around 3 values) , would result in performing several thousands of tests.</w:t>
      </w:r>
    </w:p>
    <w:p w:rsidR="001E3363" w:rsidRDefault="001E3363" w:rsidP="001E3363">
      <w:pPr>
        <w:pStyle w:val="SingleTxtG"/>
        <w:rPr>
          <w:lang w:val="en-US"/>
        </w:rPr>
      </w:pPr>
      <w:r>
        <w:t>9.</w:t>
      </w:r>
      <w:r>
        <w:tab/>
      </w:r>
      <w:r>
        <w:t>For each case, the parameters that must be measured are (see Annex of ST/SG/AC.10/C.3/2017/16):</w:t>
      </w:r>
    </w:p>
    <w:p w:rsidR="001E3363" w:rsidRDefault="001E3363" w:rsidP="001E3363">
      <w:pPr>
        <w:pStyle w:val="Bullet1G"/>
        <w:rPr>
          <w:lang w:val="en-US"/>
        </w:rPr>
      </w:pPr>
      <w:r>
        <w:rPr>
          <w:lang w:val="en-US"/>
        </w:rPr>
        <w:t>Thermal: heat flow, flame duration and height, temperature,</w:t>
      </w:r>
    </w:p>
    <w:p w:rsidR="001E3363" w:rsidRDefault="001E3363" w:rsidP="001E3363">
      <w:pPr>
        <w:pStyle w:val="Bullet1G"/>
        <w:rPr>
          <w:lang w:val="en-US"/>
        </w:rPr>
      </w:pPr>
      <w:r>
        <w:rPr>
          <w:lang w:val="en-US"/>
        </w:rPr>
        <w:t>Smoke/Vapor: opacity,</w:t>
      </w:r>
    </w:p>
    <w:p w:rsidR="001E3363" w:rsidRDefault="001E3363" w:rsidP="001E3363">
      <w:pPr>
        <w:pStyle w:val="Bullet1G"/>
        <w:rPr>
          <w:lang w:val="en-US"/>
        </w:rPr>
      </w:pPr>
      <w:r>
        <w:rPr>
          <w:lang w:val="en-US"/>
        </w:rPr>
        <w:t>Mechanical: energy of the ejected parts, pressure pulse,</w:t>
      </w:r>
    </w:p>
    <w:p w:rsidR="001E3363" w:rsidRDefault="001E3363" w:rsidP="001E3363">
      <w:pPr>
        <w:pStyle w:val="Bullet1G"/>
        <w:rPr>
          <w:lang w:val="en-US"/>
        </w:rPr>
      </w:pPr>
      <w:r>
        <w:rPr>
          <w:lang w:val="en-US"/>
        </w:rPr>
        <w:t>Chemical: toxicity, flammability,</w:t>
      </w:r>
    </w:p>
    <w:p w:rsidR="001E3363" w:rsidRDefault="001E3363" w:rsidP="001E3363">
      <w:pPr>
        <w:pStyle w:val="Bullet1G"/>
        <w:rPr>
          <w:lang w:val="en-US"/>
        </w:rPr>
      </w:pPr>
      <w:r>
        <w:rPr>
          <w:lang w:val="en-US"/>
        </w:rPr>
        <w:t>Electrical: total energy in system, possibility of ignition by high voltage,</w:t>
      </w:r>
    </w:p>
    <w:p w:rsidR="001E3363" w:rsidRDefault="001E3363" w:rsidP="001E3363">
      <w:pPr>
        <w:pStyle w:val="SingleTxtG"/>
      </w:pPr>
      <w:r>
        <w:rPr>
          <w:lang w:val="en-US"/>
        </w:rPr>
        <w:t>Depending on the number of parameters to be measured and on the total number of tests, the cost of one test would be, based on an average cost on these types of tests observed in testing facilities in Europe, between 5 000 and 10 000 €. This would result in a cost exceeding several millions.</w:t>
      </w:r>
    </w:p>
    <w:p w:rsidR="001E3363" w:rsidRDefault="001E3363" w:rsidP="001E3363">
      <w:pPr>
        <w:pStyle w:val="HChG"/>
      </w:pPr>
      <w:r>
        <w:tab/>
      </w:r>
      <w:r>
        <w:tab/>
      </w:r>
      <w:r>
        <w:t>Proposal</w:t>
      </w:r>
    </w:p>
    <w:p w:rsidR="001E3363" w:rsidRPr="001E3363" w:rsidRDefault="001E3363" w:rsidP="001E3363">
      <w:pPr>
        <w:pStyle w:val="SingleTxtG"/>
      </w:pPr>
      <w:r>
        <w:t>10.</w:t>
      </w:r>
      <w:r>
        <w:tab/>
      </w:r>
      <w:r w:rsidRPr="001E3363">
        <w:t>Therefore, in order to reduce the cost and the duration of the campaign, we propose to perform it in steps:</w:t>
      </w:r>
    </w:p>
    <w:p w:rsidR="001E3363" w:rsidRPr="001E3363" w:rsidRDefault="001E3363" w:rsidP="001E3363">
      <w:pPr>
        <w:pStyle w:val="SingleTxtG"/>
      </w:pPr>
      <w:r>
        <w:t>11.</w:t>
      </w:r>
      <w:r>
        <w:tab/>
      </w:r>
      <w:r w:rsidRPr="001E3363">
        <w:rPr>
          <w:u w:val="single"/>
        </w:rPr>
        <w:t>Step 1</w:t>
      </w:r>
      <w:r w:rsidRPr="001E3363">
        <w:t xml:space="preserve">: First screening tests should be performed on several cells or batteries of different types (geometry, chemistry, …) in order to study if the final reaction of each type varies greatly depending on the initiation method. This initiation method has to be meaningful and practical in reality. The initiation method that are proposed are: </w:t>
      </w:r>
    </w:p>
    <w:p w:rsidR="001E3363" w:rsidRDefault="001E3363" w:rsidP="001E3363">
      <w:pPr>
        <w:pStyle w:val="Bullet1G"/>
        <w:rPr>
          <w:lang w:val="en-US"/>
        </w:rPr>
      </w:pPr>
      <w:r>
        <w:rPr>
          <w:lang w:val="en-US"/>
        </w:rPr>
        <w:t>Fire,</w:t>
      </w:r>
    </w:p>
    <w:p w:rsidR="001E3363" w:rsidRDefault="001E3363" w:rsidP="001E3363">
      <w:pPr>
        <w:pStyle w:val="Bullet1G"/>
        <w:rPr>
          <w:lang w:val="en-US"/>
        </w:rPr>
      </w:pPr>
      <w:r>
        <w:rPr>
          <w:lang w:val="en-US"/>
        </w:rPr>
        <w:t>Radiant heat</w:t>
      </w:r>
    </w:p>
    <w:p w:rsidR="001E3363" w:rsidRDefault="001E3363" w:rsidP="001E3363">
      <w:pPr>
        <w:pStyle w:val="Bullet1G"/>
        <w:rPr>
          <w:lang w:val="en-US"/>
        </w:rPr>
      </w:pPr>
      <w:r>
        <w:rPr>
          <w:lang w:val="en-US"/>
        </w:rPr>
        <w:t>High temperature storage</w:t>
      </w:r>
    </w:p>
    <w:p w:rsidR="001E3363" w:rsidRDefault="001E3363" w:rsidP="001E3363">
      <w:pPr>
        <w:pStyle w:val="Bullet1G"/>
        <w:rPr>
          <w:lang w:val="en-US"/>
        </w:rPr>
      </w:pPr>
      <w:r>
        <w:rPr>
          <w:lang w:val="en-US"/>
        </w:rPr>
        <w:t>Heating cartridge</w:t>
      </w:r>
    </w:p>
    <w:p w:rsidR="001E3363" w:rsidRDefault="001E3363" w:rsidP="001E3363">
      <w:pPr>
        <w:pStyle w:val="Bullet1G"/>
        <w:rPr>
          <w:lang w:val="en-US"/>
        </w:rPr>
      </w:pPr>
      <w:r>
        <w:rPr>
          <w:lang w:val="en-US"/>
        </w:rPr>
        <w:t>Electrical stress (ex: over-charge)</w:t>
      </w:r>
    </w:p>
    <w:p w:rsidR="001E3363" w:rsidRDefault="001E3363" w:rsidP="001E3363">
      <w:pPr>
        <w:pStyle w:val="SingleTxtG"/>
      </w:pPr>
      <w:r>
        <w:rPr>
          <w:lang w:val="en-US"/>
        </w:rPr>
        <w:t>12.</w:t>
      </w:r>
      <w:r>
        <w:rPr>
          <w:lang w:val="en-US"/>
        </w:rPr>
        <w:tab/>
      </w:r>
      <w:r>
        <w:rPr>
          <w:lang w:val="en-US"/>
        </w:rPr>
        <w:t>During these screening tests, several sample scales (cell, modules, and batteries) would be tested to dertermine:</w:t>
      </w:r>
    </w:p>
    <w:p w:rsidR="001E3363" w:rsidRDefault="001E3363" w:rsidP="001E3363">
      <w:pPr>
        <w:pStyle w:val="Bullet1G"/>
        <w:rPr>
          <w:lang w:val="en-US"/>
        </w:rPr>
      </w:pPr>
      <w:r>
        <w:rPr>
          <w:lang w:val="en-US"/>
        </w:rPr>
        <w:t xml:space="preserve">if, by increasing the sample scale (cell </w:t>
      </w:r>
      <w:r>
        <w:rPr>
          <w:rFonts w:ascii="Wingdings" w:eastAsia="Wingdings" w:hAnsi="Wingdings" w:cs="Wingdings"/>
          <w:lang w:val="en-US"/>
        </w:rPr>
        <w:t></w:t>
      </w:r>
      <w:r>
        <w:rPr>
          <w:lang w:val="en-US"/>
        </w:rPr>
        <w:t xml:space="preserve"> module </w:t>
      </w:r>
      <w:r>
        <w:rPr>
          <w:rFonts w:ascii="Wingdings" w:eastAsia="Wingdings" w:hAnsi="Wingdings" w:cs="Wingdings"/>
          <w:lang w:val="en-US"/>
        </w:rPr>
        <w:t></w:t>
      </w:r>
      <w:r>
        <w:rPr>
          <w:lang w:val="en-US"/>
        </w:rPr>
        <w:t xml:space="preserve"> pack), the hazards effects observed during the tests are systematically lower,</w:t>
      </w:r>
    </w:p>
    <w:p w:rsidR="001E3363" w:rsidRDefault="001E3363" w:rsidP="001E3363">
      <w:pPr>
        <w:pStyle w:val="Bullet1G"/>
        <w:rPr>
          <w:lang w:val="en-US"/>
        </w:rPr>
      </w:pPr>
      <w:r>
        <w:rPr>
          <w:lang w:val="en-US"/>
        </w:rPr>
        <w:lastRenderedPageBreak/>
        <w:t>what is the maximum sample size that can be reasonably tested in a laboratory.</w:t>
      </w:r>
    </w:p>
    <w:p w:rsidR="001E3363" w:rsidRPr="001E3363" w:rsidRDefault="001E3363" w:rsidP="001E3363">
      <w:pPr>
        <w:pStyle w:val="SingleTxtG"/>
      </w:pPr>
      <w:r>
        <w:t>13.</w:t>
      </w:r>
      <w:r>
        <w:tab/>
      </w:r>
      <w:r w:rsidRPr="001E3363">
        <w:rPr>
          <w:u w:val="single"/>
        </w:rPr>
        <w:t>Step 2</w:t>
      </w:r>
      <w:r w:rsidRPr="001E3363">
        <w:t>: A second screening tests campaign might be performed on several cells or batteries of different types using the selected initiation method in order to determine whether the state of charge has an impact on the parameters observed. The goal will be to determine which state of charge may be required to observed the highest hazardous effects that could be expected in transport.</w:t>
      </w:r>
    </w:p>
    <w:p w:rsidR="001E3363" w:rsidRPr="001E3363" w:rsidRDefault="001E3363" w:rsidP="001E3363">
      <w:pPr>
        <w:pStyle w:val="SingleTxtG"/>
      </w:pPr>
      <w:r>
        <w:t>14.</w:t>
      </w:r>
      <w:r>
        <w:tab/>
      </w:r>
      <w:r w:rsidRPr="001E3363">
        <w:t>Using these two screening tests, the informal working group will decide the initiation method and the state of charge (or the range of state of charge) that will then be used to conduct the Step 3 of the testing campaign.</w:t>
      </w:r>
    </w:p>
    <w:p w:rsidR="001E3363" w:rsidRPr="001E3363" w:rsidRDefault="001E3363" w:rsidP="001E3363">
      <w:pPr>
        <w:pStyle w:val="SingleTxtG"/>
      </w:pPr>
      <w:r>
        <w:t>15.</w:t>
      </w:r>
      <w:r>
        <w:tab/>
      </w:r>
      <w:r w:rsidRPr="001E3363">
        <w:t>During these screening tests, every parameter listed in the §8 of the present document will be measured. Therefore, there will be no need to perform then again during the complete testing campaign.</w:t>
      </w:r>
    </w:p>
    <w:p w:rsidR="001E3363" w:rsidRPr="001E3363" w:rsidRDefault="001E3363" w:rsidP="001E3363">
      <w:pPr>
        <w:pStyle w:val="SingleTxtG"/>
      </w:pPr>
      <w:r>
        <w:t>16.</w:t>
      </w:r>
      <w:r>
        <w:tab/>
      </w:r>
      <w:r w:rsidRPr="001E3363">
        <w:rPr>
          <w:u w:val="single"/>
        </w:rPr>
        <w:t>Step 3</w:t>
      </w:r>
      <w:r w:rsidRPr="001E3363">
        <w:t>: Finally, in order to achieve the objective of campaign (see §1), a complete testing campaign will be performed. It will consist in performing, after having chosen the initiation method, the state of charge and the sample scale, one (or several) test(s) on a satisfactory representative sampling in order to be representative of the lithium battery market in terms of geometry (cylindrical, pouch, …), chemistry (lithium-iron-phosphate, lithium-metal-polymer, lithium thionyle chloride, …) and manufacturers.</w:t>
      </w:r>
    </w:p>
    <w:p w:rsidR="001E3363" w:rsidRPr="001E3363" w:rsidRDefault="001E3363" w:rsidP="001E3363">
      <w:pPr>
        <w:pStyle w:val="SingleTxtG"/>
      </w:pPr>
      <w:r>
        <w:t>17.</w:t>
      </w:r>
      <w:r>
        <w:tab/>
      </w:r>
      <w:r w:rsidRPr="001E3363">
        <w:t xml:space="preserve">This complete testing campaign could be performed in steps: </w:t>
      </w:r>
    </w:p>
    <w:p w:rsidR="001E3363" w:rsidRDefault="001E3363" w:rsidP="001E3363">
      <w:pPr>
        <w:pStyle w:val="Bullet1G"/>
        <w:rPr>
          <w:lang w:val="en-US"/>
        </w:rPr>
      </w:pPr>
      <w:r>
        <w:rPr>
          <w:lang w:val="en-US"/>
        </w:rPr>
        <w:t>Tests on a first selection of cells and batteries samples,</w:t>
      </w:r>
    </w:p>
    <w:p w:rsidR="001E3363" w:rsidRDefault="001E3363" w:rsidP="001E3363">
      <w:pPr>
        <w:pStyle w:val="Bullet1G"/>
        <w:rPr>
          <w:lang w:val="en-US"/>
        </w:rPr>
      </w:pPr>
      <w:r>
        <w:rPr>
          <w:lang w:val="en-US"/>
        </w:rPr>
        <w:t>Analysis of the results and discussion about the possibility of optimizing the number of samples to be tested and the parameters to be measured,</w:t>
      </w:r>
    </w:p>
    <w:p w:rsidR="001E3363" w:rsidRDefault="001E3363" w:rsidP="001E3363">
      <w:pPr>
        <w:pStyle w:val="Bullet1G"/>
        <w:rPr>
          <w:lang w:val="en-US"/>
        </w:rPr>
      </w:pPr>
      <w:r>
        <w:rPr>
          <w:lang w:val="en-US"/>
        </w:rPr>
        <w:t>Tests on a second selection of cells and batteries samples,</w:t>
      </w:r>
    </w:p>
    <w:p w:rsidR="001E3363" w:rsidRDefault="001E3363" w:rsidP="001E3363">
      <w:pPr>
        <w:pStyle w:val="Bullet1G"/>
        <w:rPr>
          <w:lang w:val="en-US"/>
        </w:rPr>
      </w:pPr>
      <w:r>
        <w:rPr>
          <w:lang w:val="en-US"/>
        </w:rPr>
        <w:t>Etc.</w:t>
      </w:r>
    </w:p>
    <w:p w:rsidR="001E3363" w:rsidRDefault="001E3363" w:rsidP="001E3363">
      <w:pPr>
        <w:pStyle w:val="Bullet1G"/>
        <w:rPr>
          <w:lang w:val="en-US"/>
        </w:rPr>
      </w:pPr>
      <w:r>
        <w:rPr>
          <w:lang w:val="en-US"/>
        </w:rPr>
        <w:t>results will be shared between the different parties within the framework of the informal working group on… in order to verify if the total number of tests can be lowered.</w:t>
      </w:r>
    </w:p>
    <w:p w:rsidR="001E3363" w:rsidRPr="001E3363" w:rsidRDefault="001E3363" w:rsidP="001E3363">
      <w:pPr>
        <w:pStyle w:val="SingleTxtG"/>
      </w:pPr>
      <w:r>
        <w:t>18.</w:t>
      </w:r>
      <w:r>
        <w:tab/>
      </w:r>
      <w:r w:rsidRPr="001E3363">
        <w:t>It has to be kept in mind that the number of tests to perform on each sample could be higher than one, if in fact, one test is not enough to get every parameter listed in §8. Some measurement might be incompatible one to each other.</w:t>
      </w:r>
    </w:p>
    <w:p w:rsidR="001E3363" w:rsidRPr="001E3363" w:rsidRDefault="001E3363" w:rsidP="001E3363">
      <w:pPr>
        <w:pStyle w:val="SingleTxtG"/>
      </w:pPr>
      <w:r>
        <w:t>19.</w:t>
      </w:r>
      <w:r>
        <w:tab/>
      </w:r>
      <w:r w:rsidRPr="001E3363">
        <w:t>The number and choice of cells and batteries that would be tested during the two screening tests (Step 1 and Step 2) and the satisfactory representative sampling (Step 3) should be defined with the help of battery manufacturers associations according to their knowledge of the product they are marketing.</w:t>
      </w:r>
    </w:p>
    <w:p w:rsidR="001E3363" w:rsidRPr="001E3363" w:rsidRDefault="001E3363" w:rsidP="001E3363">
      <w:pPr>
        <w:pStyle w:val="SingleTxtG"/>
      </w:pPr>
      <w:r>
        <w:t>20.</w:t>
      </w:r>
      <w:r>
        <w:tab/>
      </w:r>
      <w:r w:rsidRPr="001E3363">
        <w:t>Procedures to ensure confidentially of the manufacturers should be defined an agreed upon. No company names should be displayed.</w:t>
      </w:r>
    </w:p>
    <w:p w:rsidR="001E3363" w:rsidRPr="001E3363" w:rsidRDefault="001E3363" w:rsidP="001E3363">
      <w:pPr>
        <w:pStyle w:val="SingleTxtG"/>
      </w:pPr>
      <w:r>
        <w:t>21.</w:t>
      </w:r>
      <w:r>
        <w:tab/>
      </w:r>
      <w:r w:rsidRPr="001E3363">
        <w:t>The expert of France, through INERIS is ready to take his part of the work however to shorten the duration of the testing campaign, the tests may be performed in several laboratories in a shared effort after having ensured that, using the same testing conditions, the results coming from every laboratory is equivalent.</w:t>
      </w:r>
    </w:p>
    <w:p w:rsidR="001E3363" w:rsidRPr="001E3363" w:rsidRDefault="001E3363" w:rsidP="001E3363">
      <w:pPr>
        <w:pStyle w:val="SingleTxtG"/>
        <w:spacing w:before="240" w:after="0"/>
        <w:jc w:val="center"/>
        <w:rPr>
          <w:u w:val="single"/>
        </w:rPr>
      </w:pPr>
      <w:r>
        <w:rPr>
          <w:u w:val="single"/>
        </w:rPr>
        <w:tab/>
      </w:r>
      <w:r>
        <w:rPr>
          <w:u w:val="single"/>
        </w:rPr>
        <w:tab/>
      </w:r>
      <w:r>
        <w:rPr>
          <w:u w:val="single"/>
        </w:rPr>
        <w:tab/>
      </w:r>
    </w:p>
    <w:p w:rsidR="001E3363" w:rsidRPr="001E3363" w:rsidRDefault="001E3363" w:rsidP="001E3363">
      <w:pPr>
        <w:pStyle w:val="SingleTxtG"/>
      </w:pPr>
    </w:p>
    <w:sectPr w:rsidR="001E3363" w:rsidRPr="001E3363" w:rsidSect="0005570C">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43" w:rsidRDefault="00D70543"/>
  </w:endnote>
  <w:endnote w:type="continuationSeparator" w:id="0">
    <w:p w:rsidR="00D70543" w:rsidRDefault="00D70543"/>
  </w:endnote>
  <w:endnote w:type="continuationNotice" w:id="1">
    <w:p w:rsidR="00D70543" w:rsidRDefault="00D70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E6" w:rsidRPr="00796B95" w:rsidRDefault="00D426E6"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1E3363">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E6" w:rsidRPr="0005570C" w:rsidRDefault="00D426E6"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1E3363">
      <w:rPr>
        <w:b/>
        <w:noProof/>
        <w:sz w:val="18"/>
      </w:rPr>
      <w:t>3</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43" w:rsidRPr="000B175B" w:rsidRDefault="00D70543" w:rsidP="000B175B">
      <w:pPr>
        <w:tabs>
          <w:tab w:val="right" w:pos="2155"/>
        </w:tabs>
        <w:spacing w:after="80"/>
        <w:ind w:left="680"/>
        <w:rPr>
          <w:u w:val="single"/>
        </w:rPr>
      </w:pPr>
      <w:r>
        <w:rPr>
          <w:u w:val="single"/>
        </w:rPr>
        <w:tab/>
      </w:r>
    </w:p>
  </w:footnote>
  <w:footnote w:type="continuationSeparator" w:id="0">
    <w:p w:rsidR="00D70543" w:rsidRPr="00FC68B7" w:rsidRDefault="00D70543" w:rsidP="00FC68B7">
      <w:pPr>
        <w:tabs>
          <w:tab w:val="left" w:pos="2155"/>
        </w:tabs>
        <w:spacing w:after="80"/>
        <w:ind w:left="680"/>
        <w:rPr>
          <w:u w:val="single"/>
        </w:rPr>
      </w:pPr>
      <w:r>
        <w:rPr>
          <w:u w:val="single"/>
        </w:rPr>
        <w:tab/>
      </w:r>
    </w:p>
  </w:footnote>
  <w:footnote w:type="continuationNotice" w:id="1">
    <w:p w:rsidR="00D70543" w:rsidRDefault="00D705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E6" w:rsidRPr="00EB3249" w:rsidRDefault="00387EA9" w:rsidP="00F54DDA">
    <w:pPr>
      <w:pStyle w:val="Header"/>
      <w:rPr>
        <w:lang w:val="fr-CH"/>
      </w:rPr>
    </w:pPr>
    <w:r>
      <w:rPr>
        <w:lang w:val="fr-CH"/>
      </w:rPr>
      <w:t>UN/SCETDG/5</w:t>
    </w:r>
    <w:r w:rsidR="00C75A3A">
      <w:rPr>
        <w:lang w:val="fr-CH"/>
      </w:rPr>
      <w:t>1</w:t>
    </w:r>
    <w:r w:rsidR="00D426E6">
      <w:rPr>
        <w:lang w:val="fr-CH"/>
      </w:rPr>
      <w:t>/INF</w:t>
    </w:r>
    <w:r w:rsidR="001E3363">
      <w:rPr>
        <w:lang w:val="fr-CH"/>
      </w:rPr>
      <w:t>.26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E6" w:rsidRPr="0005570C" w:rsidRDefault="001E3363" w:rsidP="0005570C">
    <w:pPr>
      <w:pStyle w:val="Header"/>
      <w:jc w:val="right"/>
    </w:pPr>
    <w:r>
      <w:t>UN/SCETDG/51</w:t>
    </w:r>
    <w:r w:rsidR="00D426E6" w:rsidRPr="00F54DDA">
      <w:t>/INF.</w:t>
    </w:r>
    <w:r>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0E0C0E2D"/>
    <w:multiLevelType w:val="hybridMultilevel"/>
    <w:tmpl w:val="4F8AF9A8"/>
    <w:lvl w:ilvl="0" w:tplc="50BEFABA">
      <w:start w:val="1"/>
      <w:numFmt w:val="decimal"/>
      <w:lvlText w:val="%1."/>
      <w:lvlJc w:val="left"/>
      <w:pPr>
        <w:ind w:left="1548"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nsid w:val="0F7E1076"/>
    <w:multiLevelType w:val="hybridMultilevel"/>
    <w:tmpl w:val="481A8D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C85D67"/>
    <w:multiLevelType w:val="hybridMultilevel"/>
    <w:tmpl w:val="8FC03B7C"/>
    <w:lvl w:ilvl="0" w:tplc="00FC3C64">
      <w:start w:val="1"/>
      <w:numFmt w:val="decimal"/>
      <w:lvlText w:val="%1."/>
      <w:lvlJc w:val="left"/>
      <w:pPr>
        <w:ind w:left="1699" w:hanging="565"/>
      </w:pPr>
      <w:rPr>
        <w:rFonts w:hint="default"/>
      </w:rPr>
    </w:lvl>
    <w:lvl w:ilvl="1" w:tplc="04090001">
      <w:start w:val="1"/>
      <w:numFmt w:val="bullet"/>
      <w:lvlText w:val=""/>
      <w:lvlJc w:val="left"/>
      <w:pPr>
        <w:ind w:left="2214" w:hanging="360"/>
      </w:pPr>
      <w:rPr>
        <w:rFonts w:ascii="Symbol" w:hAnsi="Symbol"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2A997A6D"/>
    <w:multiLevelType w:val="multilevel"/>
    <w:tmpl w:val="16C25CAA"/>
    <w:lvl w:ilvl="0">
      <w:start w:val="1"/>
      <w:numFmt w:val="decimal"/>
      <w:lvlText w:val="%1."/>
      <w:lvlJc w:val="left"/>
      <w:pPr>
        <w:ind w:left="1689" w:hanging="555"/>
      </w:pPr>
    </w:lvl>
    <w:lvl w:ilvl="1">
      <w:start w:val="1"/>
      <w:numFmt w:val="bullet"/>
      <w:lvlText w:val="-"/>
      <w:lvlJc w:val="left"/>
      <w:pPr>
        <w:ind w:left="2214" w:hanging="360"/>
      </w:pPr>
      <w:rPr>
        <w:rFonts w:ascii="Times New Roman" w:hAnsi="Times New Roman" w:cs="Times New Roman" w:hint="default"/>
      </w:r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2">
    <w:nsid w:val="30B12EA9"/>
    <w:multiLevelType w:val="hybridMultilevel"/>
    <w:tmpl w:val="002608C0"/>
    <w:lvl w:ilvl="0" w:tplc="1D3E389C">
      <w:start w:val="1"/>
      <w:numFmt w:val="decimal"/>
      <w:lvlText w:val="%1."/>
      <w:lvlJc w:val="left"/>
      <w:pPr>
        <w:ind w:left="927" w:hanging="360"/>
      </w:pPr>
      <w:rPr>
        <w:rFonts w:hint="default"/>
        <w:strike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0C07904"/>
    <w:multiLevelType w:val="hybridMultilevel"/>
    <w:tmpl w:val="DF2C5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449127F4"/>
    <w:multiLevelType w:val="hybridMultilevel"/>
    <w:tmpl w:val="B3820C64"/>
    <w:lvl w:ilvl="0" w:tplc="DDDCD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9">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0F13C5A"/>
    <w:multiLevelType w:val="hybridMultilevel"/>
    <w:tmpl w:val="2B1AD9A0"/>
    <w:lvl w:ilvl="0" w:tplc="647EAA3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68AD07B2"/>
    <w:multiLevelType w:val="hybridMultilevel"/>
    <w:tmpl w:val="D7D47906"/>
    <w:lvl w:ilvl="0" w:tplc="8C4849AC">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31"/>
  </w:num>
  <w:num w:numId="15">
    <w:abstractNumId w:val="16"/>
  </w:num>
  <w:num w:numId="16">
    <w:abstractNumId w:val="11"/>
  </w:num>
  <w:num w:numId="17">
    <w:abstractNumId w:val="34"/>
  </w:num>
  <w:num w:numId="18">
    <w:abstractNumId w:val="25"/>
  </w:num>
  <w:num w:numId="19">
    <w:abstractNumId w:val="12"/>
  </w:num>
  <w:num w:numId="20">
    <w:abstractNumId w:val="28"/>
  </w:num>
  <w:num w:numId="21">
    <w:abstractNumId w:val="18"/>
  </w:num>
  <w:num w:numId="22">
    <w:abstractNumId w:val="15"/>
  </w:num>
  <w:num w:numId="23">
    <w:abstractNumId w:val="17"/>
  </w:num>
  <w:num w:numId="24">
    <w:abstractNumId w:val="27"/>
  </w:num>
  <w:num w:numId="25">
    <w:abstractNumId w:val="29"/>
  </w:num>
  <w:num w:numId="26">
    <w:abstractNumId w:val="30"/>
  </w:num>
  <w:num w:numId="27">
    <w:abstractNumId w:val="33"/>
  </w:num>
  <w:num w:numId="28">
    <w:abstractNumId w:val="23"/>
  </w:num>
  <w:num w:numId="29">
    <w:abstractNumId w:val="14"/>
  </w:num>
  <w:num w:numId="30">
    <w:abstractNumId w:val="32"/>
  </w:num>
  <w:num w:numId="31">
    <w:abstractNumId w:val="22"/>
  </w:num>
  <w:num w:numId="32">
    <w:abstractNumId w:val="13"/>
  </w:num>
  <w:num w:numId="33">
    <w:abstractNumId w:val="26"/>
  </w:num>
  <w:num w:numId="34">
    <w:abstractNumId w:val="20"/>
  </w:num>
  <w:num w:numId="3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AU" w:vendorID="64" w:dllVersion="6" w:nlCheck="1" w:checkStyle="1"/>
  <w:activeWritingStyle w:appName="MSWord" w:lang="en-CA" w:vendorID="64" w:dllVersion="6" w:nlCheck="1" w:checkStyle="0"/>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en-GB"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5B7"/>
    <w:rsid w:val="00010DB3"/>
    <w:rsid w:val="00015A1E"/>
    <w:rsid w:val="00027F2A"/>
    <w:rsid w:val="0003260B"/>
    <w:rsid w:val="00044167"/>
    <w:rsid w:val="00050F6B"/>
    <w:rsid w:val="0005111B"/>
    <w:rsid w:val="0005570C"/>
    <w:rsid w:val="00063DE1"/>
    <w:rsid w:val="00064F24"/>
    <w:rsid w:val="00067A4F"/>
    <w:rsid w:val="00067C1A"/>
    <w:rsid w:val="00071BC5"/>
    <w:rsid w:val="00072C8C"/>
    <w:rsid w:val="000732CC"/>
    <w:rsid w:val="00073E97"/>
    <w:rsid w:val="0007718E"/>
    <w:rsid w:val="000814A8"/>
    <w:rsid w:val="000869B4"/>
    <w:rsid w:val="00086BA4"/>
    <w:rsid w:val="00091419"/>
    <w:rsid w:val="00092DE4"/>
    <w:rsid w:val="000931C0"/>
    <w:rsid w:val="00097A34"/>
    <w:rsid w:val="000A0405"/>
    <w:rsid w:val="000A3945"/>
    <w:rsid w:val="000A3ADF"/>
    <w:rsid w:val="000A4318"/>
    <w:rsid w:val="000A607C"/>
    <w:rsid w:val="000B175B"/>
    <w:rsid w:val="000B2276"/>
    <w:rsid w:val="000B265A"/>
    <w:rsid w:val="000B3A0F"/>
    <w:rsid w:val="000B3B18"/>
    <w:rsid w:val="000B4BFA"/>
    <w:rsid w:val="000B4E5A"/>
    <w:rsid w:val="000B5ECB"/>
    <w:rsid w:val="000B7325"/>
    <w:rsid w:val="000C6428"/>
    <w:rsid w:val="000D43C8"/>
    <w:rsid w:val="000E0415"/>
    <w:rsid w:val="000E572A"/>
    <w:rsid w:val="000F143A"/>
    <w:rsid w:val="000F5FF7"/>
    <w:rsid w:val="0010003C"/>
    <w:rsid w:val="00103C0E"/>
    <w:rsid w:val="00114E72"/>
    <w:rsid w:val="00117787"/>
    <w:rsid w:val="00120F5D"/>
    <w:rsid w:val="00125775"/>
    <w:rsid w:val="001266BA"/>
    <w:rsid w:val="00131D42"/>
    <w:rsid w:val="00144FC4"/>
    <w:rsid w:val="00156B56"/>
    <w:rsid w:val="0016063F"/>
    <w:rsid w:val="001633FB"/>
    <w:rsid w:val="001665AA"/>
    <w:rsid w:val="00166B07"/>
    <w:rsid w:val="00177434"/>
    <w:rsid w:val="00182494"/>
    <w:rsid w:val="001842ED"/>
    <w:rsid w:val="00187869"/>
    <w:rsid w:val="00191BE2"/>
    <w:rsid w:val="001967AB"/>
    <w:rsid w:val="001A6691"/>
    <w:rsid w:val="001B0DDE"/>
    <w:rsid w:val="001B4B04"/>
    <w:rsid w:val="001B574E"/>
    <w:rsid w:val="001C0FC4"/>
    <w:rsid w:val="001C6663"/>
    <w:rsid w:val="001C7895"/>
    <w:rsid w:val="001D0C12"/>
    <w:rsid w:val="001D26DF"/>
    <w:rsid w:val="001D2FDC"/>
    <w:rsid w:val="001D2FE8"/>
    <w:rsid w:val="001E3363"/>
    <w:rsid w:val="001F1227"/>
    <w:rsid w:val="001F57B4"/>
    <w:rsid w:val="002034A7"/>
    <w:rsid w:val="00211CD6"/>
    <w:rsid w:val="00211E0B"/>
    <w:rsid w:val="00225106"/>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09DE"/>
    <w:rsid w:val="002A2560"/>
    <w:rsid w:val="002A2FB9"/>
    <w:rsid w:val="002A44E5"/>
    <w:rsid w:val="002A7532"/>
    <w:rsid w:val="002B1CDA"/>
    <w:rsid w:val="002B2EA7"/>
    <w:rsid w:val="002B521D"/>
    <w:rsid w:val="002B79CF"/>
    <w:rsid w:val="002B7D6F"/>
    <w:rsid w:val="002C54A4"/>
    <w:rsid w:val="002C5B9E"/>
    <w:rsid w:val="002C7649"/>
    <w:rsid w:val="002D6BA3"/>
    <w:rsid w:val="002D7530"/>
    <w:rsid w:val="002E7C35"/>
    <w:rsid w:val="002F0918"/>
    <w:rsid w:val="002F1234"/>
    <w:rsid w:val="00302963"/>
    <w:rsid w:val="00303816"/>
    <w:rsid w:val="003107FA"/>
    <w:rsid w:val="00316C13"/>
    <w:rsid w:val="00320A76"/>
    <w:rsid w:val="003229D8"/>
    <w:rsid w:val="00322F52"/>
    <w:rsid w:val="003311AD"/>
    <w:rsid w:val="003323B3"/>
    <w:rsid w:val="00333732"/>
    <w:rsid w:val="0034522A"/>
    <w:rsid w:val="00347184"/>
    <w:rsid w:val="00364941"/>
    <w:rsid w:val="00364FF3"/>
    <w:rsid w:val="00372BDC"/>
    <w:rsid w:val="00373815"/>
    <w:rsid w:val="00374763"/>
    <w:rsid w:val="00381262"/>
    <w:rsid w:val="00387EA9"/>
    <w:rsid w:val="00390C22"/>
    <w:rsid w:val="0039277A"/>
    <w:rsid w:val="00396C00"/>
    <w:rsid w:val="003972E0"/>
    <w:rsid w:val="003A0598"/>
    <w:rsid w:val="003A5482"/>
    <w:rsid w:val="003B1E0F"/>
    <w:rsid w:val="003B292E"/>
    <w:rsid w:val="003B4359"/>
    <w:rsid w:val="003B47CC"/>
    <w:rsid w:val="003B70FF"/>
    <w:rsid w:val="003C2CC4"/>
    <w:rsid w:val="003C3167"/>
    <w:rsid w:val="003C5C9D"/>
    <w:rsid w:val="003C65A7"/>
    <w:rsid w:val="003C7585"/>
    <w:rsid w:val="003D4B23"/>
    <w:rsid w:val="003E1C5A"/>
    <w:rsid w:val="003E5413"/>
    <w:rsid w:val="003F0697"/>
    <w:rsid w:val="003F3F40"/>
    <w:rsid w:val="003F40C8"/>
    <w:rsid w:val="0040291E"/>
    <w:rsid w:val="0040320D"/>
    <w:rsid w:val="00404FD4"/>
    <w:rsid w:val="00416FC4"/>
    <w:rsid w:val="004179D7"/>
    <w:rsid w:val="00431E5D"/>
    <w:rsid w:val="004325CB"/>
    <w:rsid w:val="00437F3F"/>
    <w:rsid w:val="0044017E"/>
    <w:rsid w:val="00444B29"/>
    <w:rsid w:val="0044679E"/>
    <w:rsid w:val="00446C28"/>
    <w:rsid w:val="00446DE4"/>
    <w:rsid w:val="004479B5"/>
    <w:rsid w:val="00450B3A"/>
    <w:rsid w:val="00451CCB"/>
    <w:rsid w:val="004522E0"/>
    <w:rsid w:val="00464C2B"/>
    <w:rsid w:val="00472CDF"/>
    <w:rsid w:val="0047319B"/>
    <w:rsid w:val="004735FB"/>
    <w:rsid w:val="00473BEA"/>
    <w:rsid w:val="00475444"/>
    <w:rsid w:val="0049309D"/>
    <w:rsid w:val="00494D24"/>
    <w:rsid w:val="004951B4"/>
    <w:rsid w:val="004969ED"/>
    <w:rsid w:val="00497FF3"/>
    <w:rsid w:val="004A2BD1"/>
    <w:rsid w:val="004B163A"/>
    <w:rsid w:val="004B2C9D"/>
    <w:rsid w:val="004B49FD"/>
    <w:rsid w:val="004B4BF9"/>
    <w:rsid w:val="004B4F7C"/>
    <w:rsid w:val="004B6475"/>
    <w:rsid w:val="004C255E"/>
    <w:rsid w:val="004E4073"/>
    <w:rsid w:val="004E4DCE"/>
    <w:rsid w:val="00500DCD"/>
    <w:rsid w:val="00512574"/>
    <w:rsid w:val="005149A9"/>
    <w:rsid w:val="00515763"/>
    <w:rsid w:val="005206A2"/>
    <w:rsid w:val="005248FF"/>
    <w:rsid w:val="00527910"/>
    <w:rsid w:val="00532A62"/>
    <w:rsid w:val="005335B1"/>
    <w:rsid w:val="0053786F"/>
    <w:rsid w:val="005420F2"/>
    <w:rsid w:val="00543B03"/>
    <w:rsid w:val="00552C5F"/>
    <w:rsid w:val="005553A2"/>
    <w:rsid w:val="005557E8"/>
    <w:rsid w:val="005578F3"/>
    <w:rsid w:val="005627FA"/>
    <w:rsid w:val="00566392"/>
    <w:rsid w:val="00566B77"/>
    <w:rsid w:val="005676D5"/>
    <w:rsid w:val="0057509F"/>
    <w:rsid w:val="00577685"/>
    <w:rsid w:val="00581B62"/>
    <w:rsid w:val="00581C11"/>
    <w:rsid w:val="00590144"/>
    <w:rsid w:val="005A1FEB"/>
    <w:rsid w:val="005A37A2"/>
    <w:rsid w:val="005A6F78"/>
    <w:rsid w:val="005B2C26"/>
    <w:rsid w:val="005B3614"/>
    <w:rsid w:val="005B3DB3"/>
    <w:rsid w:val="005B6EC0"/>
    <w:rsid w:val="005B6FA9"/>
    <w:rsid w:val="005D407C"/>
    <w:rsid w:val="005E29AE"/>
    <w:rsid w:val="005E6C20"/>
    <w:rsid w:val="00611FC4"/>
    <w:rsid w:val="0061401C"/>
    <w:rsid w:val="006176FB"/>
    <w:rsid w:val="006322BA"/>
    <w:rsid w:val="0063330C"/>
    <w:rsid w:val="00633C10"/>
    <w:rsid w:val="0063419C"/>
    <w:rsid w:val="00640B26"/>
    <w:rsid w:val="00641876"/>
    <w:rsid w:val="00650267"/>
    <w:rsid w:val="00664F8E"/>
    <w:rsid w:val="00682466"/>
    <w:rsid w:val="0068393D"/>
    <w:rsid w:val="00691E86"/>
    <w:rsid w:val="006A0AE9"/>
    <w:rsid w:val="006A7392"/>
    <w:rsid w:val="006B3590"/>
    <w:rsid w:val="006B7406"/>
    <w:rsid w:val="006B79A2"/>
    <w:rsid w:val="006C0D34"/>
    <w:rsid w:val="006C1C4A"/>
    <w:rsid w:val="006D7D5F"/>
    <w:rsid w:val="006E564B"/>
    <w:rsid w:val="006F2EC5"/>
    <w:rsid w:val="006F61D4"/>
    <w:rsid w:val="00707A67"/>
    <w:rsid w:val="0071233A"/>
    <w:rsid w:val="00716D0F"/>
    <w:rsid w:val="0072171E"/>
    <w:rsid w:val="00725764"/>
    <w:rsid w:val="0072632A"/>
    <w:rsid w:val="00735D10"/>
    <w:rsid w:val="007428A0"/>
    <w:rsid w:val="0075177E"/>
    <w:rsid w:val="00757A17"/>
    <w:rsid w:val="00762021"/>
    <w:rsid w:val="00773755"/>
    <w:rsid w:val="00783EF6"/>
    <w:rsid w:val="0078779B"/>
    <w:rsid w:val="00790791"/>
    <w:rsid w:val="007909EA"/>
    <w:rsid w:val="00790A33"/>
    <w:rsid w:val="00795779"/>
    <w:rsid w:val="007965B5"/>
    <w:rsid w:val="00796B95"/>
    <w:rsid w:val="007A281C"/>
    <w:rsid w:val="007A689D"/>
    <w:rsid w:val="007A7FDF"/>
    <w:rsid w:val="007B6BA5"/>
    <w:rsid w:val="007B6BE5"/>
    <w:rsid w:val="007C3390"/>
    <w:rsid w:val="007C33AD"/>
    <w:rsid w:val="007C3416"/>
    <w:rsid w:val="007C3658"/>
    <w:rsid w:val="007C455E"/>
    <w:rsid w:val="007C4F4B"/>
    <w:rsid w:val="007D3266"/>
    <w:rsid w:val="007E3F55"/>
    <w:rsid w:val="007F3C74"/>
    <w:rsid w:val="007F42B1"/>
    <w:rsid w:val="007F6611"/>
    <w:rsid w:val="00800EE9"/>
    <w:rsid w:val="00803636"/>
    <w:rsid w:val="00811CD4"/>
    <w:rsid w:val="008138E4"/>
    <w:rsid w:val="008175E9"/>
    <w:rsid w:val="00820DBE"/>
    <w:rsid w:val="008242D7"/>
    <w:rsid w:val="008273BC"/>
    <w:rsid w:val="00832905"/>
    <w:rsid w:val="00842FAF"/>
    <w:rsid w:val="00844A23"/>
    <w:rsid w:val="008553AE"/>
    <w:rsid w:val="00855BE7"/>
    <w:rsid w:val="008566E6"/>
    <w:rsid w:val="0086041C"/>
    <w:rsid w:val="00870078"/>
    <w:rsid w:val="00871FD5"/>
    <w:rsid w:val="008749E1"/>
    <w:rsid w:val="00883DF9"/>
    <w:rsid w:val="008900F3"/>
    <w:rsid w:val="0089467C"/>
    <w:rsid w:val="008979B1"/>
    <w:rsid w:val="008A2299"/>
    <w:rsid w:val="008A6B25"/>
    <w:rsid w:val="008A6C4F"/>
    <w:rsid w:val="008A6CAE"/>
    <w:rsid w:val="008A7362"/>
    <w:rsid w:val="008B0C07"/>
    <w:rsid w:val="008C1494"/>
    <w:rsid w:val="008C182E"/>
    <w:rsid w:val="008D0A27"/>
    <w:rsid w:val="008D44E2"/>
    <w:rsid w:val="008E0E46"/>
    <w:rsid w:val="008E1D4C"/>
    <w:rsid w:val="008E1E70"/>
    <w:rsid w:val="008F36A7"/>
    <w:rsid w:val="008F3C98"/>
    <w:rsid w:val="008F42F2"/>
    <w:rsid w:val="00905AEA"/>
    <w:rsid w:val="00905FC9"/>
    <w:rsid w:val="00910E37"/>
    <w:rsid w:val="00915E24"/>
    <w:rsid w:val="009174F9"/>
    <w:rsid w:val="009178F6"/>
    <w:rsid w:val="00920C0E"/>
    <w:rsid w:val="00924330"/>
    <w:rsid w:val="0093457E"/>
    <w:rsid w:val="00945A5D"/>
    <w:rsid w:val="0094761C"/>
    <w:rsid w:val="00963CBA"/>
    <w:rsid w:val="00965ACC"/>
    <w:rsid w:val="00970D90"/>
    <w:rsid w:val="0097150D"/>
    <w:rsid w:val="00971B0B"/>
    <w:rsid w:val="00972131"/>
    <w:rsid w:val="00977813"/>
    <w:rsid w:val="009863A7"/>
    <w:rsid w:val="00986BF1"/>
    <w:rsid w:val="0099124E"/>
    <w:rsid w:val="00991261"/>
    <w:rsid w:val="00994010"/>
    <w:rsid w:val="00994014"/>
    <w:rsid w:val="009A37C7"/>
    <w:rsid w:val="009A68C4"/>
    <w:rsid w:val="009A7F92"/>
    <w:rsid w:val="009B2FB7"/>
    <w:rsid w:val="009B3CC1"/>
    <w:rsid w:val="009B62D2"/>
    <w:rsid w:val="009B6F46"/>
    <w:rsid w:val="009C711D"/>
    <w:rsid w:val="009D2073"/>
    <w:rsid w:val="009D3F40"/>
    <w:rsid w:val="009D7741"/>
    <w:rsid w:val="009E2874"/>
    <w:rsid w:val="009E35FF"/>
    <w:rsid w:val="009E587B"/>
    <w:rsid w:val="009F58B1"/>
    <w:rsid w:val="00A12267"/>
    <w:rsid w:val="00A1427D"/>
    <w:rsid w:val="00A22441"/>
    <w:rsid w:val="00A24E0D"/>
    <w:rsid w:val="00A25434"/>
    <w:rsid w:val="00A25EF3"/>
    <w:rsid w:val="00A27584"/>
    <w:rsid w:val="00A3317D"/>
    <w:rsid w:val="00A3734E"/>
    <w:rsid w:val="00A40281"/>
    <w:rsid w:val="00A475B8"/>
    <w:rsid w:val="00A549AB"/>
    <w:rsid w:val="00A6043B"/>
    <w:rsid w:val="00A64ED3"/>
    <w:rsid w:val="00A66610"/>
    <w:rsid w:val="00A679F9"/>
    <w:rsid w:val="00A713CF"/>
    <w:rsid w:val="00A72F22"/>
    <w:rsid w:val="00A748A6"/>
    <w:rsid w:val="00A7523F"/>
    <w:rsid w:val="00A757A7"/>
    <w:rsid w:val="00A75EC9"/>
    <w:rsid w:val="00A76B37"/>
    <w:rsid w:val="00A81CD3"/>
    <w:rsid w:val="00A82224"/>
    <w:rsid w:val="00A879A4"/>
    <w:rsid w:val="00AA022C"/>
    <w:rsid w:val="00AA2DB2"/>
    <w:rsid w:val="00AB390A"/>
    <w:rsid w:val="00AC0EEF"/>
    <w:rsid w:val="00AC3364"/>
    <w:rsid w:val="00AC38F2"/>
    <w:rsid w:val="00AC7451"/>
    <w:rsid w:val="00AD4C3F"/>
    <w:rsid w:val="00AE2BC1"/>
    <w:rsid w:val="00AE313E"/>
    <w:rsid w:val="00AF1489"/>
    <w:rsid w:val="00AF248C"/>
    <w:rsid w:val="00AF7785"/>
    <w:rsid w:val="00B01A65"/>
    <w:rsid w:val="00B02079"/>
    <w:rsid w:val="00B03CEC"/>
    <w:rsid w:val="00B05614"/>
    <w:rsid w:val="00B15037"/>
    <w:rsid w:val="00B2292E"/>
    <w:rsid w:val="00B30179"/>
    <w:rsid w:val="00B32399"/>
    <w:rsid w:val="00B3317B"/>
    <w:rsid w:val="00B34A94"/>
    <w:rsid w:val="00B35770"/>
    <w:rsid w:val="00B446F6"/>
    <w:rsid w:val="00B45379"/>
    <w:rsid w:val="00B46376"/>
    <w:rsid w:val="00B62799"/>
    <w:rsid w:val="00B65BD4"/>
    <w:rsid w:val="00B65DF4"/>
    <w:rsid w:val="00B668C3"/>
    <w:rsid w:val="00B7575E"/>
    <w:rsid w:val="00B76D98"/>
    <w:rsid w:val="00B80DD3"/>
    <w:rsid w:val="00B81E12"/>
    <w:rsid w:val="00B8308C"/>
    <w:rsid w:val="00B84410"/>
    <w:rsid w:val="00B90984"/>
    <w:rsid w:val="00B910C6"/>
    <w:rsid w:val="00B93068"/>
    <w:rsid w:val="00B96106"/>
    <w:rsid w:val="00BA4AAC"/>
    <w:rsid w:val="00BA611E"/>
    <w:rsid w:val="00BC4804"/>
    <w:rsid w:val="00BC553A"/>
    <w:rsid w:val="00BC5CF4"/>
    <w:rsid w:val="00BC74E9"/>
    <w:rsid w:val="00BD42B2"/>
    <w:rsid w:val="00BE618E"/>
    <w:rsid w:val="00C005FA"/>
    <w:rsid w:val="00C12FE8"/>
    <w:rsid w:val="00C14502"/>
    <w:rsid w:val="00C17582"/>
    <w:rsid w:val="00C20E3D"/>
    <w:rsid w:val="00C23226"/>
    <w:rsid w:val="00C3461F"/>
    <w:rsid w:val="00C4186E"/>
    <w:rsid w:val="00C443E4"/>
    <w:rsid w:val="00C463DD"/>
    <w:rsid w:val="00C46E2A"/>
    <w:rsid w:val="00C60DCD"/>
    <w:rsid w:val="00C626EA"/>
    <w:rsid w:val="00C62F76"/>
    <w:rsid w:val="00C64CF9"/>
    <w:rsid w:val="00C67F22"/>
    <w:rsid w:val="00C72209"/>
    <w:rsid w:val="00C745C3"/>
    <w:rsid w:val="00C75A3A"/>
    <w:rsid w:val="00C835F0"/>
    <w:rsid w:val="00C909FC"/>
    <w:rsid w:val="00CA1406"/>
    <w:rsid w:val="00CA5C02"/>
    <w:rsid w:val="00CB4C9D"/>
    <w:rsid w:val="00CC23F0"/>
    <w:rsid w:val="00CD2DAA"/>
    <w:rsid w:val="00CD42C3"/>
    <w:rsid w:val="00CD68B3"/>
    <w:rsid w:val="00CE4A8F"/>
    <w:rsid w:val="00CE58B6"/>
    <w:rsid w:val="00CE5C4D"/>
    <w:rsid w:val="00CE7E5D"/>
    <w:rsid w:val="00CF6553"/>
    <w:rsid w:val="00CF7C69"/>
    <w:rsid w:val="00CF7FCE"/>
    <w:rsid w:val="00D00E69"/>
    <w:rsid w:val="00D02365"/>
    <w:rsid w:val="00D04934"/>
    <w:rsid w:val="00D0609D"/>
    <w:rsid w:val="00D11828"/>
    <w:rsid w:val="00D2031B"/>
    <w:rsid w:val="00D2387E"/>
    <w:rsid w:val="00D25FE2"/>
    <w:rsid w:val="00D37949"/>
    <w:rsid w:val="00D42146"/>
    <w:rsid w:val="00D426E6"/>
    <w:rsid w:val="00D43252"/>
    <w:rsid w:val="00D44EFC"/>
    <w:rsid w:val="00D5171D"/>
    <w:rsid w:val="00D625F5"/>
    <w:rsid w:val="00D668CA"/>
    <w:rsid w:val="00D70543"/>
    <w:rsid w:val="00D72869"/>
    <w:rsid w:val="00D74A04"/>
    <w:rsid w:val="00D753D8"/>
    <w:rsid w:val="00D84DB1"/>
    <w:rsid w:val="00D95175"/>
    <w:rsid w:val="00D95849"/>
    <w:rsid w:val="00D96CC5"/>
    <w:rsid w:val="00D978C6"/>
    <w:rsid w:val="00DA67AD"/>
    <w:rsid w:val="00DB0284"/>
    <w:rsid w:val="00DB281B"/>
    <w:rsid w:val="00DC16B9"/>
    <w:rsid w:val="00DC1797"/>
    <w:rsid w:val="00DD4B6C"/>
    <w:rsid w:val="00DD70B8"/>
    <w:rsid w:val="00DE19A0"/>
    <w:rsid w:val="00DE4184"/>
    <w:rsid w:val="00DF0081"/>
    <w:rsid w:val="00DF7129"/>
    <w:rsid w:val="00E049CA"/>
    <w:rsid w:val="00E130AB"/>
    <w:rsid w:val="00E154D5"/>
    <w:rsid w:val="00E15862"/>
    <w:rsid w:val="00E20FE5"/>
    <w:rsid w:val="00E21A5F"/>
    <w:rsid w:val="00E24107"/>
    <w:rsid w:val="00E274C0"/>
    <w:rsid w:val="00E305E0"/>
    <w:rsid w:val="00E40163"/>
    <w:rsid w:val="00E4194D"/>
    <w:rsid w:val="00E450F1"/>
    <w:rsid w:val="00E45AAD"/>
    <w:rsid w:val="00E45DE2"/>
    <w:rsid w:val="00E5126A"/>
    <w:rsid w:val="00E5317F"/>
    <w:rsid w:val="00E5586B"/>
    <w:rsid w:val="00E5644E"/>
    <w:rsid w:val="00E62EE3"/>
    <w:rsid w:val="00E66AF1"/>
    <w:rsid w:val="00E7260F"/>
    <w:rsid w:val="00E8119A"/>
    <w:rsid w:val="00E82675"/>
    <w:rsid w:val="00E8535A"/>
    <w:rsid w:val="00E869EA"/>
    <w:rsid w:val="00E87C9C"/>
    <w:rsid w:val="00E92301"/>
    <w:rsid w:val="00E96630"/>
    <w:rsid w:val="00EA79E2"/>
    <w:rsid w:val="00EB3249"/>
    <w:rsid w:val="00EB6541"/>
    <w:rsid w:val="00EB6832"/>
    <w:rsid w:val="00EC0341"/>
    <w:rsid w:val="00EC42EA"/>
    <w:rsid w:val="00EC5D78"/>
    <w:rsid w:val="00ED4EB3"/>
    <w:rsid w:val="00ED67DB"/>
    <w:rsid w:val="00ED7A2A"/>
    <w:rsid w:val="00EE18BF"/>
    <w:rsid w:val="00EE204B"/>
    <w:rsid w:val="00EE32E6"/>
    <w:rsid w:val="00EE6D6E"/>
    <w:rsid w:val="00EE7FF7"/>
    <w:rsid w:val="00EF1393"/>
    <w:rsid w:val="00EF1D7F"/>
    <w:rsid w:val="00EF3CAB"/>
    <w:rsid w:val="00EF5126"/>
    <w:rsid w:val="00F01117"/>
    <w:rsid w:val="00F01716"/>
    <w:rsid w:val="00F0351B"/>
    <w:rsid w:val="00F054AD"/>
    <w:rsid w:val="00F10A80"/>
    <w:rsid w:val="00F14001"/>
    <w:rsid w:val="00F1411E"/>
    <w:rsid w:val="00F14936"/>
    <w:rsid w:val="00F40E75"/>
    <w:rsid w:val="00F416AA"/>
    <w:rsid w:val="00F45C14"/>
    <w:rsid w:val="00F45D1A"/>
    <w:rsid w:val="00F45DDD"/>
    <w:rsid w:val="00F475EB"/>
    <w:rsid w:val="00F51ADA"/>
    <w:rsid w:val="00F5272A"/>
    <w:rsid w:val="00F52B10"/>
    <w:rsid w:val="00F54674"/>
    <w:rsid w:val="00F54DDA"/>
    <w:rsid w:val="00F6331D"/>
    <w:rsid w:val="00F660F2"/>
    <w:rsid w:val="00F72912"/>
    <w:rsid w:val="00F73E3B"/>
    <w:rsid w:val="00F74124"/>
    <w:rsid w:val="00F85D7A"/>
    <w:rsid w:val="00F873E7"/>
    <w:rsid w:val="00F93B34"/>
    <w:rsid w:val="00F95CCF"/>
    <w:rsid w:val="00FA54B1"/>
    <w:rsid w:val="00FB7905"/>
    <w:rsid w:val="00FC68B7"/>
    <w:rsid w:val="00FD2AAF"/>
    <w:rsid w:val="00FD6B2B"/>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qFormat/>
    <w:rsid w:val="008A7362"/>
    <w:rPr>
      <w:b/>
      <w:sz w:val="24"/>
      <w:lang w:eastAsia="en-US"/>
    </w:rPr>
  </w:style>
  <w:style w:type="character" w:customStyle="1" w:styleId="SingleTxtGChar">
    <w:name w:val="_ Single Txt_G Char"/>
    <w:link w:val="SingleTxtG"/>
    <w:qFormat/>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qFormat/>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8A6CAE"/>
    <w:rPr>
      <w:lang w:val="en-GB"/>
    </w:rPr>
  </w:style>
  <w:style w:type="paragraph" w:customStyle="1" w:styleId="tableh">
    <w:name w:val="tableh"/>
    <w:basedOn w:val="Normal"/>
    <w:rsid w:val="008A6CAE"/>
    <w:pPr>
      <w:tabs>
        <w:tab w:val="left" w:pos="169"/>
        <w:tab w:val="left" w:pos="217"/>
      </w:tabs>
      <w:spacing w:before="20" w:after="20" w:line="240" w:lineRule="auto"/>
      <w:ind w:left="169" w:right="57"/>
    </w:pPr>
    <w:rPr>
      <w:rFonts w:ascii="Arial" w:hAnsi="Arial" w:cs="Arial"/>
      <w:lang w:val="ru-RU" w:eastAsia="zh-CN"/>
    </w:rPr>
  </w:style>
  <w:style w:type="paragraph" w:customStyle="1" w:styleId="tablahboldmid">
    <w:name w:val="tabla_hboldmid"/>
    <w:basedOn w:val="Normal"/>
    <w:rsid w:val="008A6CAE"/>
    <w:pPr>
      <w:spacing w:before="60" w:after="60" w:line="240" w:lineRule="auto"/>
      <w:ind w:left="57" w:right="57"/>
      <w:jc w:val="center"/>
    </w:pPr>
    <w:rPr>
      <w:rFonts w:ascii="Arial" w:hAnsi="Arial" w:cs="Arial"/>
      <w:b/>
      <w:lang w:val="ru-RU" w:eastAsia="ru-RU"/>
    </w:rPr>
  </w:style>
  <w:style w:type="paragraph" w:customStyle="1" w:styleId="tablehreq">
    <w:name w:val="tablehreq"/>
    <w:basedOn w:val="tableh"/>
    <w:rsid w:val="008A6CAE"/>
    <w:pPr>
      <w:tabs>
        <w:tab w:val="clear" w:pos="217"/>
        <w:tab w:val="left" w:pos="737"/>
      </w:tabs>
      <w:ind w:left="737" w:hanging="680"/>
    </w:pPr>
    <w:rPr>
      <w:sz w:val="19"/>
      <w:lang w:eastAsia="ru-RU"/>
    </w:rPr>
  </w:style>
  <w:style w:type="paragraph" w:customStyle="1" w:styleId="SingleTxtGR">
    <w:name w:val="_ Single Txt_GR"/>
    <w:basedOn w:val="Normal"/>
    <w:rsid w:val="008A6CAE"/>
    <w:pPr>
      <w:tabs>
        <w:tab w:val="left" w:pos="1701"/>
        <w:tab w:val="left" w:pos="2268"/>
        <w:tab w:val="left" w:pos="2835"/>
        <w:tab w:val="left" w:pos="3402"/>
        <w:tab w:val="left" w:pos="3969"/>
      </w:tabs>
      <w:spacing w:after="120"/>
      <w:ind w:left="1134" w:right="1134"/>
      <w:jc w:val="both"/>
    </w:pPr>
    <w:rPr>
      <w:spacing w:val="4"/>
      <w:w w:val="103"/>
      <w:kern w:val="1"/>
      <w:lang w:val="ru-RU" w:eastAsia="zh-CN"/>
    </w:rPr>
  </w:style>
  <w:style w:type="paragraph" w:customStyle="1" w:styleId="SingleTxt">
    <w:name w:val="__Single Txt"/>
    <w:basedOn w:val="Normal"/>
    <w:qFormat/>
    <w:rsid w:val="008A6CA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HAnsi"/>
      <w:spacing w:val="4"/>
      <w:w w:val="103"/>
      <w:kern w:val="14"/>
      <w:szCs w:val="22"/>
      <w:lang w:val="ru-RU"/>
    </w:rPr>
  </w:style>
  <w:style w:type="paragraph" w:customStyle="1" w:styleId="magyind">
    <w:name w:val="magy_ind"/>
    <w:basedOn w:val="Normal"/>
    <w:rsid w:val="004951B4"/>
    <w:pPr>
      <w:spacing w:before="120" w:after="60" w:line="240" w:lineRule="auto"/>
      <w:ind w:left="1560" w:hanging="709"/>
      <w:jc w:val="both"/>
    </w:pPr>
    <w:rPr>
      <w:rFonts w:ascii="Arial" w:hAnsi="Arial" w:cs="Arial"/>
      <w:bCs/>
      <w:lang w:val="ru-RU" w:eastAsia="zh-CN"/>
    </w:rPr>
  </w:style>
  <w:style w:type="paragraph" w:customStyle="1" w:styleId="magyind2">
    <w:name w:val="magy_ind2"/>
    <w:basedOn w:val="Normal"/>
    <w:rsid w:val="004951B4"/>
    <w:pPr>
      <w:tabs>
        <w:tab w:val="left" w:pos="1122"/>
        <w:tab w:val="left" w:pos="2160"/>
        <w:tab w:val="left" w:pos="2268"/>
      </w:tabs>
      <w:spacing w:before="60" w:after="60" w:line="240" w:lineRule="auto"/>
      <w:ind w:left="1701" w:hanging="283"/>
      <w:jc w:val="both"/>
    </w:pPr>
    <w:rPr>
      <w:rFonts w:ascii="Arial" w:hAnsi="Arial" w:cs="Arial"/>
      <w:lang w:val="ru-RU" w:eastAsia="zh-CN"/>
    </w:rPr>
  </w:style>
  <w:style w:type="paragraph" w:customStyle="1" w:styleId="HChGR">
    <w:name w:val="_ H _Ch_GR"/>
    <w:basedOn w:val="Normal"/>
    <w:next w:val="Normal"/>
    <w:rsid w:val="00C005FA"/>
    <w:pPr>
      <w:keepNext/>
      <w:keepLines/>
      <w:tabs>
        <w:tab w:val="right" w:pos="851"/>
      </w:tabs>
      <w:spacing w:before="360" w:after="240" w:line="300" w:lineRule="exact"/>
      <w:ind w:left="1134" w:right="1134" w:hanging="1134"/>
    </w:pPr>
    <w:rPr>
      <w:b/>
      <w:spacing w:val="4"/>
      <w:w w:val="103"/>
      <w:kern w:val="14"/>
      <w:sz w:val="28"/>
      <w:lang w:val="ru-RU" w:eastAsia="ru-RU"/>
    </w:rPr>
  </w:style>
  <w:style w:type="character" w:customStyle="1" w:styleId="FootnoteTextChar1">
    <w:name w:val="Footnote Text Char1"/>
    <w:aliases w:val="5_G Char1"/>
    <w:locked/>
    <w:rsid w:val="00DD4B6C"/>
    <w:rPr>
      <w:sz w:val="18"/>
      <w:lang w:val="fr-CH" w:eastAsia="en-US" w:bidi="ar-SA"/>
    </w:rPr>
  </w:style>
  <w:style w:type="paragraph" w:styleId="ListParagraph">
    <w:name w:val="List Paragraph"/>
    <w:basedOn w:val="Normal"/>
    <w:uiPriority w:val="34"/>
    <w:qFormat/>
    <w:rsid w:val="004E4073"/>
    <w:pPr>
      <w:suppressAutoHyphens w:val="0"/>
      <w:spacing w:after="200" w:line="276" w:lineRule="auto"/>
      <w:ind w:left="720"/>
      <w:contextualSpacing/>
    </w:pPr>
    <w:rPr>
      <w:rFonts w:asciiTheme="minorHAnsi" w:eastAsiaTheme="minorHAnsi" w:hAnsiTheme="minorHAnsi" w:cstheme="minorBidi"/>
      <w:sz w:val="22"/>
      <w:szCs w:val="22"/>
      <w:lang w:val="sv-SE"/>
    </w:rPr>
  </w:style>
  <w:style w:type="paragraph" w:customStyle="1" w:styleId="p1">
    <w:name w:val="p1"/>
    <w:basedOn w:val="Normal"/>
    <w:rsid w:val="00A25EF3"/>
    <w:pPr>
      <w:suppressAutoHyphens w:val="0"/>
      <w:spacing w:line="240" w:lineRule="auto"/>
    </w:pPr>
    <w:rPr>
      <w:sz w:val="18"/>
      <w:szCs w:val="18"/>
      <w:lang w:val="en-US"/>
    </w:rPr>
  </w:style>
  <w:style w:type="paragraph" w:customStyle="1" w:styleId="p2">
    <w:name w:val="p2"/>
    <w:basedOn w:val="Normal"/>
    <w:rsid w:val="00A25EF3"/>
    <w:pPr>
      <w:suppressAutoHyphens w:val="0"/>
      <w:spacing w:line="240" w:lineRule="auto"/>
    </w:pPr>
    <w:rPr>
      <w:sz w:val="21"/>
      <w:szCs w:val="21"/>
      <w:lang w:val="en-US"/>
    </w:rPr>
  </w:style>
  <w:style w:type="character" w:customStyle="1" w:styleId="apple-converted-space">
    <w:name w:val="apple-converted-space"/>
    <w:basedOn w:val="DefaultParagraphFont"/>
    <w:rsid w:val="00A25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qFormat/>
    <w:rsid w:val="008A7362"/>
    <w:rPr>
      <w:b/>
      <w:sz w:val="24"/>
      <w:lang w:eastAsia="en-US"/>
    </w:rPr>
  </w:style>
  <w:style w:type="character" w:customStyle="1" w:styleId="SingleTxtGChar">
    <w:name w:val="_ Single Txt_G Char"/>
    <w:link w:val="SingleTxtG"/>
    <w:qFormat/>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qFormat/>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8A6CAE"/>
    <w:rPr>
      <w:lang w:val="en-GB"/>
    </w:rPr>
  </w:style>
  <w:style w:type="paragraph" w:customStyle="1" w:styleId="tableh">
    <w:name w:val="tableh"/>
    <w:basedOn w:val="Normal"/>
    <w:rsid w:val="008A6CAE"/>
    <w:pPr>
      <w:tabs>
        <w:tab w:val="left" w:pos="169"/>
        <w:tab w:val="left" w:pos="217"/>
      </w:tabs>
      <w:spacing w:before="20" w:after="20" w:line="240" w:lineRule="auto"/>
      <w:ind w:left="169" w:right="57"/>
    </w:pPr>
    <w:rPr>
      <w:rFonts w:ascii="Arial" w:hAnsi="Arial" w:cs="Arial"/>
      <w:lang w:val="ru-RU" w:eastAsia="zh-CN"/>
    </w:rPr>
  </w:style>
  <w:style w:type="paragraph" w:customStyle="1" w:styleId="tablahboldmid">
    <w:name w:val="tabla_hboldmid"/>
    <w:basedOn w:val="Normal"/>
    <w:rsid w:val="008A6CAE"/>
    <w:pPr>
      <w:spacing w:before="60" w:after="60" w:line="240" w:lineRule="auto"/>
      <w:ind w:left="57" w:right="57"/>
      <w:jc w:val="center"/>
    </w:pPr>
    <w:rPr>
      <w:rFonts w:ascii="Arial" w:hAnsi="Arial" w:cs="Arial"/>
      <w:b/>
      <w:lang w:val="ru-RU" w:eastAsia="ru-RU"/>
    </w:rPr>
  </w:style>
  <w:style w:type="paragraph" w:customStyle="1" w:styleId="tablehreq">
    <w:name w:val="tablehreq"/>
    <w:basedOn w:val="tableh"/>
    <w:rsid w:val="008A6CAE"/>
    <w:pPr>
      <w:tabs>
        <w:tab w:val="clear" w:pos="217"/>
        <w:tab w:val="left" w:pos="737"/>
      </w:tabs>
      <w:ind w:left="737" w:hanging="680"/>
    </w:pPr>
    <w:rPr>
      <w:sz w:val="19"/>
      <w:lang w:eastAsia="ru-RU"/>
    </w:rPr>
  </w:style>
  <w:style w:type="paragraph" w:customStyle="1" w:styleId="SingleTxtGR">
    <w:name w:val="_ Single Txt_GR"/>
    <w:basedOn w:val="Normal"/>
    <w:rsid w:val="008A6CAE"/>
    <w:pPr>
      <w:tabs>
        <w:tab w:val="left" w:pos="1701"/>
        <w:tab w:val="left" w:pos="2268"/>
        <w:tab w:val="left" w:pos="2835"/>
        <w:tab w:val="left" w:pos="3402"/>
        <w:tab w:val="left" w:pos="3969"/>
      </w:tabs>
      <w:spacing w:after="120"/>
      <w:ind w:left="1134" w:right="1134"/>
      <w:jc w:val="both"/>
    </w:pPr>
    <w:rPr>
      <w:spacing w:val="4"/>
      <w:w w:val="103"/>
      <w:kern w:val="1"/>
      <w:lang w:val="ru-RU" w:eastAsia="zh-CN"/>
    </w:rPr>
  </w:style>
  <w:style w:type="paragraph" w:customStyle="1" w:styleId="SingleTxt">
    <w:name w:val="__Single Txt"/>
    <w:basedOn w:val="Normal"/>
    <w:qFormat/>
    <w:rsid w:val="008A6CA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HAnsi"/>
      <w:spacing w:val="4"/>
      <w:w w:val="103"/>
      <w:kern w:val="14"/>
      <w:szCs w:val="22"/>
      <w:lang w:val="ru-RU"/>
    </w:rPr>
  </w:style>
  <w:style w:type="paragraph" w:customStyle="1" w:styleId="magyind">
    <w:name w:val="magy_ind"/>
    <w:basedOn w:val="Normal"/>
    <w:rsid w:val="004951B4"/>
    <w:pPr>
      <w:spacing w:before="120" w:after="60" w:line="240" w:lineRule="auto"/>
      <w:ind w:left="1560" w:hanging="709"/>
      <w:jc w:val="both"/>
    </w:pPr>
    <w:rPr>
      <w:rFonts w:ascii="Arial" w:hAnsi="Arial" w:cs="Arial"/>
      <w:bCs/>
      <w:lang w:val="ru-RU" w:eastAsia="zh-CN"/>
    </w:rPr>
  </w:style>
  <w:style w:type="paragraph" w:customStyle="1" w:styleId="magyind2">
    <w:name w:val="magy_ind2"/>
    <w:basedOn w:val="Normal"/>
    <w:rsid w:val="004951B4"/>
    <w:pPr>
      <w:tabs>
        <w:tab w:val="left" w:pos="1122"/>
        <w:tab w:val="left" w:pos="2160"/>
        <w:tab w:val="left" w:pos="2268"/>
      </w:tabs>
      <w:spacing w:before="60" w:after="60" w:line="240" w:lineRule="auto"/>
      <w:ind w:left="1701" w:hanging="283"/>
      <w:jc w:val="both"/>
    </w:pPr>
    <w:rPr>
      <w:rFonts w:ascii="Arial" w:hAnsi="Arial" w:cs="Arial"/>
      <w:lang w:val="ru-RU" w:eastAsia="zh-CN"/>
    </w:rPr>
  </w:style>
  <w:style w:type="paragraph" w:customStyle="1" w:styleId="HChGR">
    <w:name w:val="_ H _Ch_GR"/>
    <w:basedOn w:val="Normal"/>
    <w:next w:val="Normal"/>
    <w:rsid w:val="00C005FA"/>
    <w:pPr>
      <w:keepNext/>
      <w:keepLines/>
      <w:tabs>
        <w:tab w:val="right" w:pos="851"/>
      </w:tabs>
      <w:spacing w:before="360" w:after="240" w:line="300" w:lineRule="exact"/>
      <w:ind w:left="1134" w:right="1134" w:hanging="1134"/>
    </w:pPr>
    <w:rPr>
      <w:b/>
      <w:spacing w:val="4"/>
      <w:w w:val="103"/>
      <w:kern w:val="14"/>
      <w:sz w:val="28"/>
      <w:lang w:val="ru-RU" w:eastAsia="ru-RU"/>
    </w:rPr>
  </w:style>
  <w:style w:type="character" w:customStyle="1" w:styleId="FootnoteTextChar1">
    <w:name w:val="Footnote Text Char1"/>
    <w:aliases w:val="5_G Char1"/>
    <w:locked/>
    <w:rsid w:val="00DD4B6C"/>
    <w:rPr>
      <w:sz w:val="18"/>
      <w:lang w:val="fr-CH" w:eastAsia="en-US" w:bidi="ar-SA"/>
    </w:rPr>
  </w:style>
  <w:style w:type="paragraph" w:styleId="ListParagraph">
    <w:name w:val="List Paragraph"/>
    <w:basedOn w:val="Normal"/>
    <w:uiPriority w:val="34"/>
    <w:qFormat/>
    <w:rsid w:val="004E4073"/>
    <w:pPr>
      <w:suppressAutoHyphens w:val="0"/>
      <w:spacing w:after="200" w:line="276" w:lineRule="auto"/>
      <w:ind w:left="720"/>
      <w:contextualSpacing/>
    </w:pPr>
    <w:rPr>
      <w:rFonts w:asciiTheme="minorHAnsi" w:eastAsiaTheme="minorHAnsi" w:hAnsiTheme="minorHAnsi" w:cstheme="minorBidi"/>
      <w:sz w:val="22"/>
      <w:szCs w:val="22"/>
      <w:lang w:val="sv-SE"/>
    </w:rPr>
  </w:style>
  <w:style w:type="paragraph" w:customStyle="1" w:styleId="p1">
    <w:name w:val="p1"/>
    <w:basedOn w:val="Normal"/>
    <w:rsid w:val="00A25EF3"/>
    <w:pPr>
      <w:suppressAutoHyphens w:val="0"/>
      <w:spacing w:line="240" w:lineRule="auto"/>
    </w:pPr>
    <w:rPr>
      <w:sz w:val="18"/>
      <w:szCs w:val="18"/>
      <w:lang w:val="en-US"/>
    </w:rPr>
  </w:style>
  <w:style w:type="paragraph" w:customStyle="1" w:styleId="p2">
    <w:name w:val="p2"/>
    <w:basedOn w:val="Normal"/>
    <w:rsid w:val="00A25EF3"/>
    <w:pPr>
      <w:suppressAutoHyphens w:val="0"/>
      <w:spacing w:line="240" w:lineRule="auto"/>
    </w:pPr>
    <w:rPr>
      <w:sz w:val="21"/>
      <w:szCs w:val="21"/>
      <w:lang w:val="en-US"/>
    </w:rPr>
  </w:style>
  <w:style w:type="character" w:customStyle="1" w:styleId="apple-converted-space">
    <w:name w:val="apple-converted-space"/>
    <w:basedOn w:val="DefaultParagraphFont"/>
    <w:rsid w:val="00A25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991940">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203915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1B60C-880A-4F9F-9C72-8BEC1847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1321580</vt:lpstr>
    </vt:vector>
  </TitlesOfParts>
  <Company>CSD</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3</cp:revision>
  <cp:lastPrinted>2017-06-27T07:49:00Z</cp:lastPrinted>
  <dcterms:created xsi:type="dcterms:W3CDTF">2017-06-27T07:41:00Z</dcterms:created>
  <dcterms:modified xsi:type="dcterms:W3CDTF">2017-06-27T07:49:00Z</dcterms:modified>
</cp:coreProperties>
</file>