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0" w:tblpY="568"/>
        <w:tblOverlap w:val="never"/>
        <w:tblW w:w="9644" w:type="dxa"/>
        <w:tblLayout w:type="fixed"/>
        <w:tblCellMar>
          <w:left w:w="0" w:type="dxa"/>
          <w:right w:w="0" w:type="dxa"/>
        </w:tblCellMar>
        <w:tblLook w:val="01E0" w:firstRow="1" w:lastRow="1" w:firstColumn="1" w:lastColumn="1" w:noHBand="0" w:noVBand="0"/>
      </w:tblPr>
      <w:tblGrid>
        <w:gridCol w:w="9644"/>
      </w:tblGrid>
      <w:tr w:rsidR="0099001C" w:rsidRPr="007E344F" w14:paraId="4A314927" w14:textId="77777777" w:rsidTr="003E36E1">
        <w:trPr>
          <w:cantSplit/>
          <w:trHeight w:hRule="exact" w:val="851"/>
        </w:trPr>
        <w:tc>
          <w:tcPr>
            <w:tcW w:w="9644" w:type="dxa"/>
            <w:tcBorders>
              <w:bottom w:val="single" w:sz="4" w:space="0" w:color="auto"/>
            </w:tcBorders>
          </w:tcPr>
          <w:p w14:paraId="59CDE0AE" w14:textId="3A765D70" w:rsidR="0099001C" w:rsidRPr="007E344F" w:rsidRDefault="0099001C" w:rsidP="00D723F0">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A07EB">
              <w:rPr>
                <w:b/>
                <w:sz w:val="40"/>
                <w:szCs w:val="40"/>
              </w:rPr>
              <w:t>51</w:t>
            </w:r>
            <w:r w:rsidRPr="007E344F">
              <w:rPr>
                <w:b/>
                <w:sz w:val="40"/>
                <w:szCs w:val="40"/>
              </w:rPr>
              <w:t>/INF.</w:t>
            </w:r>
            <w:r w:rsidR="00D723F0">
              <w:rPr>
                <w:b/>
                <w:sz w:val="40"/>
                <w:szCs w:val="40"/>
              </w:rPr>
              <w:t>22</w:t>
            </w:r>
          </w:p>
        </w:tc>
      </w:tr>
      <w:tr w:rsidR="0099001C" w:rsidRPr="007E344F" w14:paraId="0313627A" w14:textId="77777777" w:rsidTr="00D723F0">
        <w:trPr>
          <w:cantSplit/>
          <w:trHeight w:hRule="exact" w:val="2696"/>
        </w:trPr>
        <w:tc>
          <w:tcPr>
            <w:tcW w:w="9644" w:type="dxa"/>
            <w:tcBorders>
              <w:top w:val="single" w:sz="4" w:space="0" w:color="auto"/>
            </w:tcBorders>
          </w:tcPr>
          <w:p w14:paraId="5FD0441E" w14:textId="77777777" w:rsidR="00A805EB" w:rsidRPr="007E344F" w:rsidRDefault="00A805EB" w:rsidP="00197785">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53D222C4" w14:textId="39D0C479" w:rsidR="00A805EB" w:rsidRPr="007E344F" w:rsidRDefault="00A805EB" w:rsidP="00197785">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60794C">
              <w:rPr>
                <w:b/>
              </w:rPr>
              <w:t>27</w:t>
            </w:r>
            <w:bookmarkStart w:id="0" w:name="_GoBack"/>
            <w:bookmarkEnd w:id="0"/>
            <w:r w:rsidR="00F41476">
              <w:rPr>
                <w:b/>
              </w:rPr>
              <w:t xml:space="preserve"> June</w:t>
            </w:r>
            <w:r w:rsidR="000A07EB">
              <w:rPr>
                <w:b/>
              </w:rPr>
              <w:t xml:space="preserve"> 2017</w:t>
            </w:r>
          </w:p>
          <w:p w14:paraId="3D3E80AF" w14:textId="77777777" w:rsidR="003E36E1" w:rsidRPr="00432930" w:rsidRDefault="003E36E1" w:rsidP="003E36E1">
            <w:pPr>
              <w:spacing w:before="120"/>
              <w:rPr>
                <w:b/>
              </w:rPr>
            </w:pPr>
            <w:r>
              <w:rPr>
                <w:b/>
              </w:rPr>
              <w:t>Fifty-</w:t>
            </w:r>
            <w:r w:rsidRPr="0005466E">
              <w:rPr>
                <w:b/>
              </w:rPr>
              <w:t>first session</w:t>
            </w:r>
          </w:p>
          <w:p w14:paraId="21DB869A" w14:textId="6FE22140" w:rsidR="003E36E1" w:rsidRPr="0051274C" w:rsidRDefault="003E36E1" w:rsidP="003E36E1">
            <w:r w:rsidRPr="00432930">
              <w:t xml:space="preserve">Geneva, </w:t>
            </w:r>
            <w:r>
              <w:rPr>
                <w:color w:val="333333"/>
                <w:lang w:eastAsia="it-IT"/>
              </w:rPr>
              <w:t>3-7</w:t>
            </w:r>
            <w:r w:rsidRPr="00812689">
              <w:rPr>
                <w:color w:val="333333"/>
                <w:lang w:eastAsia="it-IT"/>
              </w:rPr>
              <w:t xml:space="preserve"> </w:t>
            </w:r>
            <w:r>
              <w:rPr>
                <w:color w:val="333333"/>
                <w:lang w:eastAsia="it-IT"/>
              </w:rPr>
              <w:t>July 2017</w:t>
            </w:r>
            <w:r w:rsidRPr="00432930">
              <w:rPr>
                <w:color w:val="333333"/>
                <w:lang w:eastAsia="it-IT"/>
              </w:rPr>
              <w:br/>
            </w:r>
            <w:r w:rsidRPr="0051274C">
              <w:t xml:space="preserve">Item </w:t>
            </w:r>
            <w:r w:rsidR="00C9513F">
              <w:t>4</w:t>
            </w:r>
            <w:r>
              <w:t xml:space="preserve"> (</w:t>
            </w:r>
            <w:r w:rsidR="00C9513F">
              <w:t>c</w:t>
            </w:r>
            <w:r>
              <w:t>)</w:t>
            </w:r>
            <w:r w:rsidRPr="0051274C">
              <w:t xml:space="preserve"> of the provisional agenda</w:t>
            </w:r>
          </w:p>
          <w:p w14:paraId="7DC7914A" w14:textId="306A78BC" w:rsidR="003E36E1" w:rsidRDefault="00C9513F" w:rsidP="003E36E1">
            <w:pPr>
              <w:pStyle w:val="NormalWeb"/>
              <w:rPr>
                <w:b/>
                <w:sz w:val="20"/>
                <w:szCs w:val="20"/>
              </w:rPr>
            </w:pPr>
            <w:r>
              <w:rPr>
                <w:b/>
                <w:sz w:val="20"/>
                <w:szCs w:val="20"/>
              </w:rPr>
              <w:t xml:space="preserve">Electric storage systems: transport provisions </w:t>
            </w:r>
          </w:p>
          <w:p w14:paraId="5CC8167B" w14:textId="77777777" w:rsidR="00317F1A" w:rsidRPr="00D63626" w:rsidRDefault="00317F1A" w:rsidP="00197785">
            <w:pPr>
              <w:spacing w:line="240" w:lineRule="exact"/>
            </w:pPr>
          </w:p>
        </w:tc>
      </w:tr>
    </w:tbl>
    <w:p w14:paraId="022C943D" w14:textId="697B42AE" w:rsidR="00F41476" w:rsidRPr="00C9513F" w:rsidRDefault="00F41476" w:rsidP="00F41476">
      <w:pPr>
        <w:pStyle w:val="HChG"/>
      </w:pPr>
      <w:r>
        <w:rPr>
          <w:lang w:val="en-US"/>
        </w:rPr>
        <w:tab/>
      </w:r>
      <w:r>
        <w:rPr>
          <w:lang w:val="en-US"/>
        </w:rPr>
        <w:tab/>
      </w:r>
      <w:r w:rsidR="00C9513F">
        <w:rPr>
          <w:lang w:val="en-US"/>
        </w:rPr>
        <w:t xml:space="preserve">Size of the UN number on </w:t>
      </w:r>
      <w:r w:rsidR="00C9513F">
        <w:t xml:space="preserve">lithium battery mark </w:t>
      </w:r>
      <w:r w:rsidR="00C9513F" w:rsidRPr="00C9513F">
        <w:t xml:space="preserve"> </w:t>
      </w:r>
    </w:p>
    <w:p w14:paraId="033FA6F4" w14:textId="405AAC2F" w:rsidR="00F41476" w:rsidRPr="0083343A" w:rsidRDefault="00F41476" w:rsidP="00F41476">
      <w:pPr>
        <w:pStyle w:val="H1G"/>
      </w:pPr>
      <w:r>
        <w:tab/>
      </w:r>
      <w:r>
        <w:tab/>
      </w:r>
      <w:r w:rsidR="003E36E1" w:rsidRPr="006B4408">
        <w:t xml:space="preserve">Submitted by the </w:t>
      </w:r>
      <w:r w:rsidR="003E36E1">
        <w:t>International Air Transport Association (IATA)</w:t>
      </w:r>
    </w:p>
    <w:p w14:paraId="3BF49A5D" w14:textId="77777777" w:rsidR="00F41476" w:rsidRDefault="00F41476" w:rsidP="00F41476">
      <w:pPr>
        <w:pStyle w:val="HChG"/>
        <w:spacing w:before="240" w:after="120"/>
      </w:pPr>
      <w:r>
        <w:tab/>
      </w:r>
      <w:r>
        <w:tab/>
        <w:t>Introduction</w:t>
      </w:r>
    </w:p>
    <w:p w14:paraId="22D5BB44" w14:textId="38E38C48" w:rsidR="00BF6E66" w:rsidRDefault="00F41476" w:rsidP="00F41476">
      <w:pPr>
        <w:pStyle w:val="SingleTxtG"/>
      </w:pPr>
      <w:r>
        <w:t>1.</w:t>
      </w:r>
      <w:r>
        <w:tab/>
      </w:r>
      <w:r w:rsidR="00FC362D">
        <w:t xml:space="preserve">Paragraph 5.2.1.1 in the Model Regulations sets out the provisions for the proper shipping name and UN number marks on packages. For the UN number mark there are minimum sizes specified for letters “UN” and the number based capacity of the packages. </w:t>
      </w:r>
    </w:p>
    <w:p w14:paraId="31D2A358" w14:textId="06CAA7B3" w:rsidR="00F41476" w:rsidRDefault="00BF6E66" w:rsidP="00F41476">
      <w:pPr>
        <w:pStyle w:val="SingleTxtG"/>
        <w:rPr>
          <w:sz w:val="22"/>
          <w:szCs w:val="22"/>
          <w:lang w:eastAsia="en-GB"/>
        </w:rPr>
      </w:pPr>
      <w:r>
        <w:t>2.</w:t>
      </w:r>
      <w:r>
        <w:tab/>
      </w:r>
      <w:r w:rsidR="00FC362D">
        <w:t xml:space="preserve">Similarly </w:t>
      </w:r>
      <w:r w:rsidR="00F2128F">
        <w:t xml:space="preserve">there are clear specifications for the size of certain marks required on packages such as “overpack”, paragraph 5.1.2.1, “salvage”, paragraph 5.2.1.3 and when called for in a special provision, paragraph 3.3.1. </w:t>
      </w:r>
    </w:p>
    <w:p w14:paraId="60F8F680" w14:textId="25F74A11" w:rsidR="00245413" w:rsidRDefault="00245413" w:rsidP="00F41476">
      <w:pPr>
        <w:pStyle w:val="SingleTxtG"/>
      </w:pPr>
      <w:r>
        <w:t>2.</w:t>
      </w:r>
      <w:r>
        <w:tab/>
      </w:r>
      <w:r w:rsidR="00F2128F">
        <w:t>With the introduction of the lithium battery mark for packages prepared in accordance with special provision 188</w:t>
      </w:r>
      <w:r w:rsidR="00BF2F74">
        <w:t xml:space="preserve"> there is a deal of specificity on the size and design of the mark but there is nothing that specifies the size of the UN number mark with the lithium battery mark. </w:t>
      </w:r>
    </w:p>
    <w:p w14:paraId="7026205C" w14:textId="07F61D37" w:rsidR="0054789D" w:rsidRPr="007211D2" w:rsidRDefault="0054789D" w:rsidP="00F41476">
      <w:pPr>
        <w:pStyle w:val="SingleTxtG"/>
      </w:pPr>
      <w:r>
        <w:t xml:space="preserve">3. </w:t>
      </w:r>
      <w:r>
        <w:tab/>
      </w:r>
      <w:r w:rsidR="00BF2F74">
        <w:t xml:space="preserve">Given that the UN number conveys an important piece of information in terms of hazard communication, it is believed that there is benefit in specifying some minimum size for the height of the UN number mark(s) </w:t>
      </w:r>
      <w:r w:rsidR="00AA7DB1">
        <w:t xml:space="preserve">s </w:t>
      </w:r>
      <w:r w:rsidR="00BF2F74">
        <w:t xml:space="preserve">within the lithium battery mark. </w:t>
      </w:r>
    </w:p>
    <w:p w14:paraId="34175B06" w14:textId="290BD782" w:rsidR="00F41476" w:rsidRPr="0083343A" w:rsidRDefault="00F41476" w:rsidP="0054789D">
      <w:pPr>
        <w:pStyle w:val="HChG"/>
        <w:spacing w:before="240"/>
      </w:pPr>
      <w:r>
        <w:tab/>
      </w:r>
      <w:r w:rsidR="0054789D">
        <w:tab/>
      </w:r>
      <w:r w:rsidRPr="0083343A">
        <w:t>Proposal</w:t>
      </w:r>
    </w:p>
    <w:p w14:paraId="51AA558E" w14:textId="0162778E" w:rsidR="00BF2F74" w:rsidRDefault="00CD2F98" w:rsidP="00F41476">
      <w:pPr>
        <w:pStyle w:val="SingleTxtG"/>
      </w:pPr>
      <w:r>
        <w:t>4</w:t>
      </w:r>
      <w:r w:rsidR="00F41476">
        <w:t>.</w:t>
      </w:r>
      <w:r w:rsidR="00F41476">
        <w:tab/>
      </w:r>
      <w:r w:rsidR="00283970">
        <w:t xml:space="preserve">The Subcommittee is invited to consider </w:t>
      </w:r>
      <w:r w:rsidR="00BF2F74">
        <w:t>specifying a minimum height for the UN number mark(s) within the lithium battery mark. Some possible options are:</w:t>
      </w:r>
    </w:p>
    <w:p w14:paraId="2303A941" w14:textId="70A662E0" w:rsidR="0028039B" w:rsidRDefault="00BF2F74" w:rsidP="00D723F0">
      <w:pPr>
        <w:pStyle w:val="SingleTxtG"/>
        <w:ind w:left="1701"/>
      </w:pPr>
      <w:r>
        <w:t>(a)</w:t>
      </w:r>
      <w:r>
        <w:tab/>
      </w:r>
      <w:proofErr w:type="gramStart"/>
      <w:r>
        <w:t>align</w:t>
      </w:r>
      <w:proofErr w:type="gramEnd"/>
      <w:r>
        <w:t xml:space="preserve"> to the requirements of paragraph </w:t>
      </w:r>
      <w:r w:rsidR="0028039B">
        <w:t>5.2.1.1, i.e. 6 mm, except for packages of</w:t>
      </w:r>
      <w:r>
        <w:t xml:space="preserve"> </w:t>
      </w:r>
      <w:r w:rsidR="0028039B">
        <w:t>5 kg or less when they shall be of an appropriate size;</w:t>
      </w:r>
    </w:p>
    <w:p w14:paraId="25864356" w14:textId="77777777" w:rsidR="00CD2F98" w:rsidRDefault="0028039B" w:rsidP="00D723F0">
      <w:pPr>
        <w:pStyle w:val="SingleTxtG"/>
        <w:ind w:left="1701"/>
      </w:pPr>
      <w:r>
        <w:t>(b)</w:t>
      </w:r>
      <w:r>
        <w:tab/>
      </w:r>
      <w:proofErr w:type="gramStart"/>
      <w:r w:rsidR="00CD2F98">
        <w:t>require</w:t>
      </w:r>
      <w:proofErr w:type="gramEnd"/>
      <w:r w:rsidR="00CD2F98">
        <w:t xml:space="preserve"> the UN number(s) to be of a minimum height of 12 mm as required by paragraph 3.3.1; or</w:t>
      </w:r>
    </w:p>
    <w:p w14:paraId="656ECF58" w14:textId="77777777" w:rsidR="00CD2F98" w:rsidRDefault="00CD2F98" w:rsidP="00D723F0">
      <w:pPr>
        <w:pStyle w:val="SingleTxtG"/>
        <w:ind w:left="1701"/>
      </w:pPr>
      <w:r>
        <w:t>(c)</w:t>
      </w:r>
      <w:r>
        <w:tab/>
      </w:r>
      <w:proofErr w:type="gramStart"/>
      <w:r>
        <w:t>require</w:t>
      </w:r>
      <w:proofErr w:type="gramEnd"/>
      <w:r>
        <w:t xml:space="preserve"> the UN number(s) to be of a minimum height of 12 mm, unless there are multiple UN numbers in the package where the height of the UN number marks may be reduced in size to allow all marks to applied on one lithium battery mark. </w:t>
      </w:r>
    </w:p>
    <w:p w14:paraId="02916D65" w14:textId="4F4E9DC2" w:rsidR="00F41476" w:rsidRDefault="00CD2F98" w:rsidP="00CD2F98">
      <w:pPr>
        <w:pStyle w:val="SingleTxtG"/>
      </w:pPr>
      <w:r>
        <w:t>5.</w:t>
      </w:r>
      <w:r>
        <w:tab/>
      </w:r>
      <w:r w:rsidR="00283970">
        <w:t>If there is support for this</w:t>
      </w:r>
      <w:r>
        <w:t xml:space="preserve"> approach, then based on the comments received</w:t>
      </w:r>
      <w:r w:rsidR="00283970">
        <w:t xml:space="preserve"> a formal paper with the proposed changes to the regulatory provisions will be presented at the next session. </w:t>
      </w:r>
    </w:p>
    <w:p w14:paraId="2AF7D6D6" w14:textId="03B7F8A5" w:rsidR="00F41476" w:rsidRPr="00F41476" w:rsidRDefault="00F41476" w:rsidP="00F41476">
      <w:pPr>
        <w:pStyle w:val="SingleTxtG"/>
        <w:spacing w:before="240" w:after="0"/>
        <w:jc w:val="center"/>
        <w:rPr>
          <w:u w:val="single"/>
        </w:rPr>
      </w:pPr>
      <w:r>
        <w:rPr>
          <w:u w:val="single"/>
        </w:rPr>
        <w:tab/>
      </w:r>
      <w:r>
        <w:rPr>
          <w:u w:val="single"/>
        </w:rPr>
        <w:tab/>
      </w:r>
      <w:r>
        <w:rPr>
          <w:u w:val="single"/>
        </w:rPr>
        <w:tab/>
      </w:r>
    </w:p>
    <w:sectPr w:rsidR="00F41476" w:rsidRPr="00F41476"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EDBC1" w14:textId="77777777" w:rsidR="003B6869" w:rsidRDefault="003B6869"/>
  </w:endnote>
  <w:endnote w:type="continuationSeparator" w:id="0">
    <w:p w14:paraId="62B0001F" w14:textId="77777777" w:rsidR="003B6869" w:rsidRDefault="003B6869"/>
  </w:endnote>
  <w:endnote w:type="continuationNotice" w:id="1">
    <w:p w14:paraId="757E79BA" w14:textId="77777777" w:rsidR="003B6869" w:rsidRDefault="003B6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23016" w14:textId="77777777" w:rsidR="001D1681" w:rsidRPr="0099001C" w:rsidRDefault="001D1681"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D2F9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99A7" w14:textId="77777777" w:rsidR="001D1681" w:rsidRPr="0099001C" w:rsidRDefault="001D1681"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83970">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DDF1F" w14:textId="77777777" w:rsidR="003B6869" w:rsidRPr="000B175B" w:rsidRDefault="003B6869" w:rsidP="000B175B">
      <w:pPr>
        <w:tabs>
          <w:tab w:val="right" w:pos="2155"/>
        </w:tabs>
        <w:spacing w:after="80"/>
        <w:ind w:left="680"/>
        <w:rPr>
          <w:u w:val="single"/>
        </w:rPr>
      </w:pPr>
      <w:r>
        <w:rPr>
          <w:u w:val="single"/>
        </w:rPr>
        <w:tab/>
      </w:r>
    </w:p>
  </w:footnote>
  <w:footnote w:type="continuationSeparator" w:id="0">
    <w:p w14:paraId="7D67D943" w14:textId="77777777" w:rsidR="003B6869" w:rsidRPr="00FC68B7" w:rsidRDefault="003B6869" w:rsidP="00FC68B7">
      <w:pPr>
        <w:tabs>
          <w:tab w:val="left" w:pos="2155"/>
        </w:tabs>
        <w:spacing w:after="80"/>
        <w:ind w:left="680"/>
        <w:rPr>
          <w:u w:val="single"/>
        </w:rPr>
      </w:pPr>
      <w:r>
        <w:rPr>
          <w:u w:val="single"/>
        </w:rPr>
        <w:tab/>
      </w:r>
    </w:p>
  </w:footnote>
  <w:footnote w:type="continuationNotice" w:id="1">
    <w:p w14:paraId="6553597B" w14:textId="77777777" w:rsidR="003B6869" w:rsidRDefault="003B68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4FF" w14:textId="4B01415B" w:rsidR="001D1681" w:rsidRPr="0099001C" w:rsidRDefault="00C9513F" w:rsidP="00DE3A0C">
    <w:pPr>
      <w:pStyle w:val="Header"/>
    </w:pPr>
    <w:r>
      <w:t>UN/SCETDG/51/</w:t>
    </w:r>
    <w:proofErr w:type="spellStart"/>
    <w:r>
      <w:t>INF.zz</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B807" w14:textId="49F62F1F" w:rsidR="001D1681" w:rsidRPr="0099001C" w:rsidRDefault="001D1681" w:rsidP="00DE3A0C">
    <w:pPr>
      <w:pStyle w:val="Header"/>
      <w:jc w:val="right"/>
    </w:pPr>
    <w:r>
      <w:t>UN/SCETDG/51</w:t>
    </w:r>
    <w:r w:rsidRPr="007E344F">
      <w:t>/INF.</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72C8C"/>
    <w:rsid w:val="00075DF3"/>
    <w:rsid w:val="000931C0"/>
    <w:rsid w:val="0009555B"/>
    <w:rsid w:val="000A07EB"/>
    <w:rsid w:val="000B175B"/>
    <w:rsid w:val="000B3A0F"/>
    <w:rsid w:val="000C6041"/>
    <w:rsid w:val="000E0415"/>
    <w:rsid w:val="00100D07"/>
    <w:rsid w:val="00111DF0"/>
    <w:rsid w:val="001220B8"/>
    <w:rsid w:val="00150F95"/>
    <w:rsid w:val="00161D70"/>
    <w:rsid w:val="001719FC"/>
    <w:rsid w:val="00180C41"/>
    <w:rsid w:val="00197785"/>
    <w:rsid w:val="001A0FC9"/>
    <w:rsid w:val="001B2357"/>
    <w:rsid w:val="001B4B04"/>
    <w:rsid w:val="001B5ACD"/>
    <w:rsid w:val="001C6663"/>
    <w:rsid w:val="001C7895"/>
    <w:rsid w:val="001D1681"/>
    <w:rsid w:val="001D26DF"/>
    <w:rsid w:val="001D3183"/>
    <w:rsid w:val="001E0674"/>
    <w:rsid w:val="00201ADA"/>
    <w:rsid w:val="002101F1"/>
    <w:rsid w:val="00211E0B"/>
    <w:rsid w:val="0022014D"/>
    <w:rsid w:val="002405A7"/>
    <w:rsid w:val="00245413"/>
    <w:rsid w:val="00274D48"/>
    <w:rsid w:val="0028039B"/>
    <w:rsid w:val="00283970"/>
    <w:rsid w:val="00284DC3"/>
    <w:rsid w:val="002A78B1"/>
    <w:rsid w:val="002C5CF3"/>
    <w:rsid w:val="002E21F0"/>
    <w:rsid w:val="002E42C4"/>
    <w:rsid w:val="00307FFE"/>
    <w:rsid w:val="003107FA"/>
    <w:rsid w:val="00314A63"/>
    <w:rsid w:val="00317F1A"/>
    <w:rsid w:val="003229D8"/>
    <w:rsid w:val="00334311"/>
    <w:rsid w:val="0033745A"/>
    <w:rsid w:val="003452D6"/>
    <w:rsid w:val="003503B1"/>
    <w:rsid w:val="003660FF"/>
    <w:rsid w:val="00391D76"/>
    <w:rsid w:val="0039277A"/>
    <w:rsid w:val="003972E0"/>
    <w:rsid w:val="0039784F"/>
    <w:rsid w:val="003B0606"/>
    <w:rsid w:val="003B6869"/>
    <w:rsid w:val="003B7450"/>
    <w:rsid w:val="003C2CC4"/>
    <w:rsid w:val="003C3936"/>
    <w:rsid w:val="003C6B13"/>
    <w:rsid w:val="003D3365"/>
    <w:rsid w:val="003D338E"/>
    <w:rsid w:val="003D4B23"/>
    <w:rsid w:val="003E36E1"/>
    <w:rsid w:val="003F1ED3"/>
    <w:rsid w:val="003F30D7"/>
    <w:rsid w:val="00403098"/>
    <w:rsid w:val="00404E53"/>
    <w:rsid w:val="00417B26"/>
    <w:rsid w:val="004270F6"/>
    <w:rsid w:val="004325CB"/>
    <w:rsid w:val="00437DB4"/>
    <w:rsid w:val="00446DE4"/>
    <w:rsid w:val="0045190E"/>
    <w:rsid w:val="00451982"/>
    <w:rsid w:val="00453178"/>
    <w:rsid w:val="004A41CA"/>
    <w:rsid w:val="004E302A"/>
    <w:rsid w:val="004F15A6"/>
    <w:rsid w:val="004F537F"/>
    <w:rsid w:val="00503228"/>
    <w:rsid w:val="00504608"/>
    <w:rsid w:val="00505384"/>
    <w:rsid w:val="00510C3B"/>
    <w:rsid w:val="00535F9E"/>
    <w:rsid w:val="005420F2"/>
    <w:rsid w:val="00542368"/>
    <w:rsid w:val="0054603C"/>
    <w:rsid w:val="0054789D"/>
    <w:rsid w:val="005627B5"/>
    <w:rsid w:val="00564203"/>
    <w:rsid w:val="00564A8C"/>
    <w:rsid w:val="005A3220"/>
    <w:rsid w:val="005B3DB3"/>
    <w:rsid w:val="005D1C32"/>
    <w:rsid w:val="005F0DD1"/>
    <w:rsid w:val="005F72E1"/>
    <w:rsid w:val="00600B19"/>
    <w:rsid w:val="00602B95"/>
    <w:rsid w:val="0060794C"/>
    <w:rsid w:val="00611FC4"/>
    <w:rsid w:val="006176FB"/>
    <w:rsid w:val="00627ED0"/>
    <w:rsid w:val="0063050A"/>
    <w:rsid w:val="00640B26"/>
    <w:rsid w:val="006542DE"/>
    <w:rsid w:val="0066387E"/>
    <w:rsid w:val="00665595"/>
    <w:rsid w:val="00685B23"/>
    <w:rsid w:val="006A34C5"/>
    <w:rsid w:val="006A7392"/>
    <w:rsid w:val="006B7086"/>
    <w:rsid w:val="006E32FA"/>
    <w:rsid w:val="006E3B52"/>
    <w:rsid w:val="006E535C"/>
    <w:rsid w:val="006E564B"/>
    <w:rsid w:val="006F73EE"/>
    <w:rsid w:val="00701292"/>
    <w:rsid w:val="007017DA"/>
    <w:rsid w:val="00724962"/>
    <w:rsid w:val="0072632A"/>
    <w:rsid w:val="007303B2"/>
    <w:rsid w:val="00730810"/>
    <w:rsid w:val="00732639"/>
    <w:rsid w:val="00733AAE"/>
    <w:rsid w:val="0079511F"/>
    <w:rsid w:val="00797762"/>
    <w:rsid w:val="007B4BEC"/>
    <w:rsid w:val="007B6BA5"/>
    <w:rsid w:val="007B7918"/>
    <w:rsid w:val="007C3390"/>
    <w:rsid w:val="007C4F4B"/>
    <w:rsid w:val="007D22FD"/>
    <w:rsid w:val="007E344F"/>
    <w:rsid w:val="007F0B83"/>
    <w:rsid w:val="007F4FCD"/>
    <w:rsid w:val="007F6611"/>
    <w:rsid w:val="008010DD"/>
    <w:rsid w:val="00801BB2"/>
    <w:rsid w:val="00802579"/>
    <w:rsid w:val="008056BE"/>
    <w:rsid w:val="008175E9"/>
    <w:rsid w:val="00817F27"/>
    <w:rsid w:val="00822414"/>
    <w:rsid w:val="008242D7"/>
    <w:rsid w:val="00827E05"/>
    <w:rsid w:val="008311A3"/>
    <w:rsid w:val="00835EB6"/>
    <w:rsid w:val="00871FD5"/>
    <w:rsid w:val="00886119"/>
    <w:rsid w:val="00895C06"/>
    <w:rsid w:val="008979B1"/>
    <w:rsid w:val="008A644E"/>
    <w:rsid w:val="008A6B25"/>
    <w:rsid w:val="008A6C4F"/>
    <w:rsid w:val="008D0F3F"/>
    <w:rsid w:val="008E0675"/>
    <w:rsid w:val="008E0E46"/>
    <w:rsid w:val="008E35B1"/>
    <w:rsid w:val="008E3A43"/>
    <w:rsid w:val="008F02A0"/>
    <w:rsid w:val="008F321A"/>
    <w:rsid w:val="00906526"/>
    <w:rsid w:val="00907AD2"/>
    <w:rsid w:val="009111C7"/>
    <w:rsid w:val="00915D65"/>
    <w:rsid w:val="0092654D"/>
    <w:rsid w:val="009334FE"/>
    <w:rsid w:val="00963CBA"/>
    <w:rsid w:val="00974A8D"/>
    <w:rsid w:val="0099001C"/>
    <w:rsid w:val="00991261"/>
    <w:rsid w:val="009A00F2"/>
    <w:rsid w:val="009A1A51"/>
    <w:rsid w:val="009D04D9"/>
    <w:rsid w:val="009D2BF9"/>
    <w:rsid w:val="009F277A"/>
    <w:rsid w:val="009F3A17"/>
    <w:rsid w:val="009F3AEC"/>
    <w:rsid w:val="009F3EF7"/>
    <w:rsid w:val="00A11117"/>
    <w:rsid w:val="00A1427D"/>
    <w:rsid w:val="00A178D3"/>
    <w:rsid w:val="00A36006"/>
    <w:rsid w:val="00A50936"/>
    <w:rsid w:val="00A72F22"/>
    <w:rsid w:val="00A748A6"/>
    <w:rsid w:val="00A74999"/>
    <w:rsid w:val="00A805EB"/>
    <w:rsid w:val="00A80961"/>
    <w:rsid w:val="00A879A4"/>
    <w:rsid w:val="00AA426C"/>
    <w:rsid w:val="00AA617C"/>
    <w:rsid w:val="00AA7DB1"/>
    <w:rsid w:val="00AD741B"/>
    <w:rsid w:val="00AE1A34"/>
    <w:rsid w:val="00B16223"/>
    <w:rsid w:val="00B30179"/>
    <w:rsid w:val="00B33EC0"/>
    <w:rsid w:val="00B81E12"/>
    <w:rsid w:val="00B82575"/>
    <w:rsid w:val="00B84573"/>
    <w:rsid w:val="00B902A6"/>
    <w:rsid w:val="00BA02A0"/>
    <w:rsid w:val="00BA177E"/>
    <w:rsid w:val="00BA1781"/>
    <w:rsid w:val="00BB2C95"/>
    <w:rsid w:val="00BC413E"/>
    <w:rsid w:val="00BC74E9"/>
    <w:rsid w:val="00BD2146"/>
    <w:rsid w:val="00BE4F74"/>
    <w:rsid w:val="00BE52DC"/>
    <w:rsid w:val="00BE618E"/>
    <w:rsid w:val="00BF2F74"/>
    <w:rsid w:val="00BF4485"/>
    <w:rsid w:val="00BF4F5D"/>
    <w:rsid w:val="00BF6E66"/>
    <w:rsid w:val="00C00341"/>
    <w:rsid w:val="00C14072"/>
    <w:rsid w:val="00C17699"/>
    <w:rsid w:val="00C36701"/>
    <w:rsid w:val="00C41A28"/>
    <w:rsid w:val="00C463DD"/>
    <w:rsid w:val="00C745C3"/>
    <w:rsid w:val="00C92E86"/>
    <w:rsid w:val="00C9513F"/>
    <w:rsid w:val="00CD2F98"/>
    <w:rsid w:val="00CE4A8F"/>
    <w:rsid w:val="00D2031B"/>
    <w:rsid w:val="00D25FE2"/>
    <w:rsid w:val="00D317BB"/>
    <w:rsid w:val="00D33331"/>
    <w:rsid w:val="00D36BEB"/>
    <w:rsid w:val="00D43252"/>
    <w:rsid w:val="00D56172"/>
    <w:rsid w:val="00D63626"/>
    <w:rsid w:val="00D723F0"/>
    <w:rsid w:val="00D7433B"/>
    <w:rsid w:val="00D81BB9"/>
    <w:rsid w:val="00D83CD1"/>
    <w:rsid w:val="00D87B56"/>
    <w:rsid w:val="00D978C6"/>
    <w:rsid w:val="00DA67AD"/>
    <w:rsid w:val="00DB5D0F"/>
    <w:rsid w:val="00DB5E48"/>
    <w:rsid w:val="00DC3242"/>
    <w:rsid w:val="00DD6A25"/>
    <w:rsid w:val="00DE3A0C"/>
    <w:rsid w:val="00DE47FC"/>
    <w:rsid w:val="00DF12F7"/>
    <w:rsid w:val="00E02C81"/>
    <w:rsid w:val="00E130AB"/>
    <w:rsid w:val="00E1647D"/>
    <w:rsid w:val="00E26781"/>
    <w:rsid w:val="00E31970"/>
    <w:rsid w:val="00E56114"/>
    <w:rsid w:val="00E577FF"/>
    <w:rsid w:val="00E61967"/>
    <w:rsid w:val="00E66A1A"/>
    <w:rsid w:val="00E7260F"/>
    <w:rsid w:val="00E87921"/>
    <w:rsid w:val="00E903CF"/>
    <w:rsid w:val="00E96630"/>
    <w:rsid w:val="00EA264E"/>
    <w:rsid w:val="00ED1024"/>
    <w:rsid w:val="00ED37E3"/>
    <w:rsid w:val="00ED7A2A"/>
    <w:rsid w:val="00EE20B2"/>
    <w:rsid w:val="00EF1D7F"/>
    <w:rsid w:val="00EF3CF6"/>
    <w:rsid w:val="00F033C8"/>
    <w:rsid w:val="00F10CCD"/>
    <w:rsid w:val="00F16F22"/>
    <w:rsid w:val="00F2128F"/>
    <w:rsid w:val="00F4068E"/>
    <w:rsid w:val="00F41476"/>
    <w:rsid w:val="00F43682"/>
    <w:rsid w:val="00F53544"/>
    <w:rsid w:val="00F53EDA"/>
    <w:rsid w:val="00F7753D"/>
    <w:rsid w:val="00F830AD"/>
    <w:rsid w:val="00F842C1"/>
    <w:rsid w:val="00F85F34"/>
    <w:rsid w:val="00F938F6"/>
    <w:rsid w:val="00FA06F7"/>
    <w:rsid w:val="00FA4D13"/>
    <w:rsid w:val="00FA6BA2"/>
    <w:rsid w:val="00FB0AC7"/>
    <w:rsid w:val="00FB171A"/>
    <w:rsid w:val="00FC362D"/>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C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paragraph" w:styleId="NormalWeb">
    <w:name w:val="Normal (Web)"/>
    <w:basedOn w:val="Normal"/>
    <w:uiPriority w:val="99"/>
    <w:rsid w:val="003E36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paragraph" w:styleId="NormalWeb">
    <w:name w:val="Normal (Web)"/>
    <w:basedOn w:val="Normal"/>
    <w:uiPriority w:val="99"/>
    <w:rsid w:val="003E3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 w:id="18000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D1F3-70FB-4C38-8FB5-E9CC2226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2017-06-27T05:56:00Z</cp:lastPrinted>
  <dcterms:created xsi:type="dcterms:W3CDTF">2017-06-23T14:17:00Z</dcterms:created>
  <dcterms:modified xsi:type="dcterms:W3CDTF">2017-06-27T05:56:00Z</dcterms:modified>
</cp:coreProperties>
</file>